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5" w:name="Xf447a46770b42096d9796ba9c0a8a76b08a6255"/>
    <w:p>
      <w:pPr>
        <w:pStyle w:val="Heading1"/>
      </w:pPr>
      <w:r>
        <w:t xml:space="preserve">Requirements Traceability Matrix — Governance Rollup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Ogma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Traceability Matrix (governance rollup)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Bamuhigire, Lead Consultant, Chwezi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 for owner sign-off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basis</w:t>
            </w:r>
          </w:p>
        </w:tc>
        <w:tc>
          <w:tcPr/>
          <w:p>
            <w:pPr>
              <w:pStyle w:val="Compact"/>
            </w:pPr>
            <w:r>
              <w:t xml:space="preserve">IEEE 1012-2016 (bidirectional traceability)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p>
      <w:pPr>
        <w:pStyle w:val="BodyText"/>
      </w:pPr>
      <w:r>
        <w:t xml:space="preserve">This is the governance-level rollup: business goals to requirement modules to verification method to implementation status. Per-requirement traceability detail (requirement → test case) lives in the SRS §8 (</w:t>
      </w:r>
      <w:r>
        <w:rPr>
          <w:rStyle w:val="VerbatimChar"/>
        </w:rPr>
        <w:t xml:space="preserve">02-requirements-engineering/01-srs/08-verification-and-traceability.md</w:t>
      </w:r>
      <w:r>
        <w:t xml:space="preserve">); story-level traces live in</w:t>
      </w:r>
      <w:r>
        <w:t xml:space="preserve"> </w:t>
      </w:r>
      <w:r>
        <w:rPr>
          <w:rStyle w:val="VerbatimChar"/>
        </w:rPr>
        <w:t xml:space="preserve">07-agile-artifacts/02-user-stories.md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_registry/baseline-trace.yaml</w:t>
      </w:r>
      <w:r>
        <w:t xml:space="preserve">. Counts agree with the closed FR inventory in</w:t>
      </w:r>
      <w:r>
        <w:t xml:space="preserve"> </w:t>
      </w:r>
      <w:r>
        <w:rPr>
          <w:rStyle w:val="VerbatimChar"/>
        </w:rPr>
        <w:t xml:space="preserve">_context/features.md</w:t>
      </w:r>
      <w:r>
        <w:t xml:space="preserve"> </w:t>
      </w:r>
      <w:r>
        <w:t xml:space="preserve">(101 FRs) and statuses with</w:t>
      </w:r>
      <w:r>
        <w:t xml:space="preserve"> </w:t>
      </w:r>
      <w:r>
        <w:rPr>
          <w:rStyle w:val="VerbatimChar"/>
        </w:rPr>
        <w:t xml:space="preserve">_context/build-status.md</w:t>
      </w:r>
      <w:r>
        <w:t xml:space="preserve"> </w:t>
      </w:r>
      <w:r>
        <w:t xml:space="preserve">(verified 2026-07-06).</w:t>
      </w:r>
    </w:p>
    <w:bookmarkStart w:id="9" w:name="Xad0a4799dc8026c00b7a0062ec65045602acc4b"/>
    <w:p>
      <w:pPr>
        <w:pStyle w:val="Heading2"/>
      </w:pPr>
      <w:r>
        <w:t xml:space="preserve">1. Business Goals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BG-001 Visible library</w:t>
      </w:r>
      <w:r>
        <w:t xml:space="preserve"> </w:t>
      </w:r>
      <w:r>
        <w:t xml:space="preserve">— covers, shelves, metadata, multiple browsing modes.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BG-002 Usable library</w:t>
      </w:r>
      <w:r>
        <w:t xml:space="preserve"> </w:t>
      </w:r>
      <w:r>
        <w:t xml:space="preserve">— progress, bookmarks, annotations, search, statistics.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BG-003 Intelligent library</w:t>
      </w:r>
      <w:r>
        <w:t xml:space="preserve"> </w:t>
      </w:r>
      <w:r>
        <w:t xml:space="preserve">— an explainable AI advisor over the user's own collection.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BG-004 Durable ownership</w:t>
      </w:r>
      <w:r>
        <w:t xml:space="preserve"> </w:t>
      </w:r>
      <w:r>
        <w:t xml:space="preserve">— files stay the user's files; the catalogue augments, never replaces.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BG-005 Private by default</w:t>
      </w:r>
      <w:r>
        <w:t xml:space="preserve"> </w:t>
      </w:r>
      <w:r>
        <w:t xml:space="preserve">— on-device by default; every off-device transmission explicit, consented, reversible.</w:t>
      </w:r>
    </w:p>
    <w:p>
      <w:pPr>
        <w:pStyle w:val="FirstParagraph"/>
      </w:pPr>
      <w:r>
        <w:t xml:space="preserve">The classroom scope expansion (LAN/CLIENT/ADMIN, baseline v2.0) extends BG-001/BG-002 to a shared institutional collection and BG-005 to students as data subjects; no new business goal was created — the Change Impact Analysis entry for the expansion records this decision.</w:t>
      </w:r>
    </w:p>
    <w:bookmarkEnd w:id="9"/>
    <w:bookmarkStart w:id="10" w:name="X968870449b72cbb42d5e03af3b75d722649fd0d"/>
    <w:p>
      <w:pPr>
        <w:pStyle w:val="Heading2"/>
      </w:pPr>
      <w:r>
        <w:t xml:space="preserve">2. Forward Traceability: Goals → Modules → Verification →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FR module (count)</w:t>
            </w:r>
          </w:p>
        </w:tc>
        <w:tc>
          <w:tcPr/>
          <w:p>
            <w:pPr>
              <w:pStyle w:val="Compact"/>
            </w:pPr>
            <w:r>
              <w:t xml:space="preserve">Primary verification method</w:t>
            </w:r>
          </w:p>
        </w:tc>
        <w:tc>
          <w:tcPr/>
          <w:p>
            <w:pPr>
              <w:pStyle w:val="Compact"/>
            </w:pPr>
            <w:r>
              <w:t xml:space="preserve">Verification vehicle</w:t>
            </w:r>
          </w:p>
        </w:tc>
        <w:tc>
          <w:tcPr/>
          <w:p>
            <w:pPr>
              <w:pStyle w:val="Compact"/>
            </w:pPr>
            <w:r>
              <w:t xml:space="preserve">Implementation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t xml:space="preserve">LIB (7)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Fixture-tree scanning and identity round-trip tests; golden corpus</w:t>
            </w:r>
          </w:p>
        </w:tc>
        <w:tc>
          <w:tcPr/>
          <w:p>
            <w:pPr>
              <w:pStyle w:val="Compact"/>
            </w:pPr>
            <w:r>
              <w:t xml:space="preserve">7/7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CAT (7)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View-equivalence and filter-conjunction assertions; smart-shelf evaluator tests</w:t>
            </w:r>
          </w:p>
        </w:tc>
        <w:tc>
          <w:tcPr/>
          <w:p>
            <w:pPr>
              <w:pStyle w:val="Compact"/>
            </w:pPr>
            <w:r>
              <w:t xml:space="preserve">6/7 Done; FR-CAT-007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BG-001, BG-004</w:t>
            </w:r>
          </w:p>
        </w:tc>
        <w:tc>
          <w:tcPr/>
          <w:p>
            <w:pPr>
              <w:pStyle w:val="Compact"/>
            </w:pPr>
            <w:r>
              <w:t xml:space="preserve">META (8)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Provider-stub lookups; write-back fault injection; health-dashboard checks</w:t>
            </w:r>
          </w:p>
        </w:tc>
        <w:tc>
          <w:tcPr/>
          <w:p>
            <w:pPr>
              <w:pStyle w:val="Compact"/>
            </w:pPr>
            <w:r>
              <w:t xml:space="preserve">8/8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BG-002, BG-004</w:t>
            </w:r>
          </w:p>
        </w:tc>
        <w:tc>
          <w:tcPr/>
          <w:p>
            <w:pPr>
              <w:pStyle w:val="Compact"/>
            </w:pPr>
            <w:r>
              <w:t xml:space="preserve">READ (15)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Reader-state round-trip; annotation durability; OCR and password fixtures</w:t>
            </w:r>
          </w:p>
        </w:tc>
        <w:tc>
          <w:tcPr/>
          <w:p>
            <w:pPr>
              <w:pStyle w:val="Compact"/>
            </w:pPr>
            <w:r>
              <w:t xml:space="preserve">14/15 Done; FR-READ-012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BG-002, BG-003</w:t>
            </w:r>
          </w:p>
        </w:tc>
        <w:tc>
          <w:tcPr/>
          <w:p>
            <w:pPr>
              <w:pStyle w:val="Compact"/>
            </w:pPr>
            <w:r>
              <w:t xml:space="preserve">SEARCH (6)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Query-replay benchmarks; index rebuild reconciliation</w:t>
            </w:r>
          </w:p>
        </w:tc>
        <w:tc>
          <w:tcPr/>
          <w:p>
            <w:pPr>
              <w:pStyle w:val="Compact"/>
            </w:pPr>
            <w:r>
              <w:t xml:space="preserve">6/6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BG-003, BG-005</w:t>
            </w:r>
          </w:p>
        </w:tc>
        <w:tc>
          <w:tcPr/>
          <w:p>
            <w:pPr>
              <w:pStyle w:val="Compact"/>
            </w:pPr>
            <w:r>
              <w:t xml:space="preserve">AI (11)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Gateway payload-capture and tier-enforcement tests; AI evaluation harness</w:t>
            </w:r>
          </w:p>
        </w:tc>
        <w:tc>
          <w:tcPr/>
          <w:p>
            <w:pPr>
              <w:pStyle w:val="Compact"/>
            </w:pPr>
            <w:r>
              <w:t xml:space="preserve">10/11 Done; FR-AI-008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BG-001, BG-005 (institutional)</w:t>
            </w:r>
          </w:p>
        </w:tc>
        <w:tc>
          <w:tcPr/>
          <w:p>
            <w:pPr>
              <w:pStyle w:val="Compact"/>
            </w:pPr>
            <w:r>
              <w:t xml:space="preserve">LAN (10)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Phase 16 LAN verification tooling; path-validation and TLS/TOFU tests</w:t>
            </w:r>
          </w:p>
        </w:tc>
        <w:tc>
          <w:tcPr/>
          <w:p>
            <w:pPr>
              <w:pStyle w:val="Compact"/>
            </w:pPr>
            <w:r>
              <w:t xml:space="preserve">10/10 Done (Windows-verified; macOS/Linux pass open, retro action A-5)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BG-002, BG-005 (students)</w:t>
            </w:r>
          </w:p>
        </w:tc>
        <w:tc>
          <w:tcPr/>
          <w:p>
            <w:pPr>
              <w:pStyle w:val="Compact"/>
            </w:pPr>
            <w:r>
              <w:t xml:space="preserve">CLIENT (13)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Sync-conflict, offline-cache, profile-isolation, read-only architecture tests</w:t>
            </w:r>
          </w:p>
        </w:tc>
        <w:tc>
          <w:tcPr/>
          <w:p>
            <w:pPr>
              <w:pStyle w:val="Compact"/>
            </w:pPr>
            <w:r>
              <w:t xml:space="preserve">13/13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BG-003, BG-005 (students)</w:t>
            </w:r>
          </w:p>
        </w:tc>
        <w:tc>
          <w:tcPr/>
          <w:p>
            <w:pPr>
              <w:pStyle w:val="Compact"/>
            </w:pPr>
            <w:r>
              <w:t xml:space="preserve">ADMIN (13)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Proxy key-capture, quota-enforcement, audit-export tests; DPIA screening</w:t>
            </w:r>
          </w:p>
        </w:tc>
        <w:tc>
          <w:tcPr/>
          <w:p>
            <w:pPr>
              <w:pStyle w:val="Compact"/>
            </w:pPr>
            <w:r>
              <w:t xml:space="preserve">13/13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BG-004 (ecosystem)</w:t>
            </w:r>
          </w:p>
        </w:tc>
        <w:tc>
          <w:tcPr/>
          <w:p>
            <w:pPr>
              <w:pStyle w:val="Compact"/>
            </w:pPr>
            <w:r>
              <w:t xml:space="preserve">EXT (3)</w:t>
            </w:r>
          </w:p>
        </w:tc>
        <w:tc>
          <w:tcPr/>
          <w:p>
            <w:pPr>
              <w:pStyle w:val="Compact"/>
            </w:pPr>
            <w:r>
              <w:t xml:space="preserve">Test (planned)</w:t>
            </w:r>
          </w:p>
        </w:tc>
        <w:tc>
          <w:tcPr/>
          <w:p>
            <w:pPr>
              <w:pStyle w:val="Compact"/>
            </w:pPr>
            <w:r>
              <w:t xml:space="preserve">Gateway-enforced plugin contract demonstration; import reconciliation</w:t>
            </w:r>
          </w:p>
        </w:tc>
        <w:tc>
          <w:tcPr/>
          <w:p>
            <w:pPr>
              <w:pStyle w:val="Compact"/>
            </w:pPr>
            <w:r>
              <w:t xml:space="preserve">0/3 — Planned (Phase 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UX (8)</w:t>
            </w:r>
          </w:p>
        </w:tc>
        <w:tc>
          <w:tcPr/>
          <w:p>
            <w:pPr>
              <w:pStyle w:val="Compact"/>
            </w:pPr>
            <w:r>
              <w:t xml:space="preserve">Test + Inspection</w:t>
            </w:r>
          </w:p>
        </w:tc>
        <w:tc>
          <w:tcPr/>
          <w:p>
            <w:pPr>
              <w:pStyle w:val="Compact"/>
            </w:pPr>
            <w:r>
              <w:t xml:space="preserve">Headless UI state tests; scripted journeys on W-REF-01; WCAG 2.2 AA audit</w:t>
            </w:r>
          </w:p>
        </w:tc>
        <w:tc>
          <w:tcPr/>
          <w:p>
            <w:pPr>
              <w:pStyle w:val="Compact"/>
            </w:pPr>
            <w:r>
              <w:t xml:space="preserve">2/8 Done; 4 In verification (Phases 20–21); FR-UX-003, FR-UX-006 Planned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 Done, 4 In verification, 8 Planned</w:t>
            </w:r>
          </w:p>
        </w:tc>
      </w:tr>
    </w:tbl>
    <w:bookmarkEnd w:id="10"/>
    <w:bookmarkStart w:id="11" w:name="X7103bce53f48700774496845b418fa9776611bd"/>
    <w:p>
      <w:pPr>
        <w:pStyle w:val="Heading2"/>
      </w:pPr>
      <w:r>
        <w:t xml:space="preserve">3. Backward Traceability: Coverage of Each Goal</w:t>
      </w:r>
    </w:p>
    <w:p>
      <w:pPr>
        <w:pStyle w:val="FirstParagraph"/>
      </w:pPr>
      <w:r>
        <w:t xml:space="preserve">Every business goal has implementing requirements and no goal is orphaned: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Implementing modules</w:t>
            </w:r>
          </w:p>
        </w:tc>
        <w:tc>
          <w:tcPr/>
          <w:p>
            <w:pPr>
              <w:pStyle w:val="Compact"/>
            </w:pPr>
            <w:r>
              <w:t xml:space="preserve">Delivered evidence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LIB, CAT, META, LAN, UX</w:t>
            </w:r>
          </w:p>
        </w:tc>
        <w:tc>
          <w:tcPr/>
          <w:p>
            <w:pPr>
              <w:pStyle w:val="Compact"/>
            </w:pPr>
            <w:r>
              <w:t xml:space="preserve">Catalogue, 4 views incl. 3D shelf, health dashboard, published host catalogues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READ, SEARCH, CAT, CLIENT, UX</w:t>
            </w:r>
          </w:p>
        </w:tc>
        <w:tc>
          <w:tcPr/>
          <w:p>
            <w:pPr>
              <w:pStyle w:val="Compact"/>
            </w:pPr>
            <w:r>
              <w:t xml:space="preserve">Resume/annotations/search shipped; formal journey measurement pending Phase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AI, SEARCH, ADMIN</w:t>
            </w:r>
          </w:p>
        </w:tc>
        <w:tc>
          <w:tcPr/>
          <w:p>
            <w:pPr>
              <w:pStyle w:val="Compact"/>
            </w:pPr>
            <w:r>
              <w:t xml:space="preserve">Explained recommendations, plans, semantic search, managed classroom AI; answer mode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LIB, META, READ, EXT</w:t>
            </w:r>
          </w:p>
        </w:tc>
        <w:tc>
          <w:tcPr/>
          <w:p>
            <w:pPr>
              <w:pStyle w:val="Compact"/>
            </w:pPr>
            <w:r>
              <w:t xml:space="preserve">Identity preservation, reversible write-back, citation export; importers/read API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AI, LAN, CLIENT, ADMIN + CTRL-001..024</w:t>
            </w:r>
          </w:p>
        </w:tc>
        <w:tc>
          <w:tcPr/>
          <w:p>
            <w:pPr>
              <w:pStyle w:val="Compact"/>
            </w:pPr>
            <w:r>
              <w:t xml:space="preserve">Tier system, payload preview, Privacy Center, student privacy isolation; at-rest encryption pending Phase 19</w:t>
            </w:r>
          </w:p>
        </w:tc>
      </w:tr>
    </w:tbl>
    <w:p>
      <w:pPr>
        <w:pStyle w:val="BodyText"/>
      </w:pPr>
      <w:r>
        <w:t xml:space="preserve">Conversely, every FR module names its goals (column 1 of §2), so no implemented capability lacks a business anchor.</w:t>
      </w:r>
    </w:p>
    <w:bookmarkEnd w:id="11"/>
    <w:bookmarkStart w:id="12" w:name="X335866562f8ec0b2d29cabb0f24e1e416eb62a8"/>
    <w:p>
      <w:pPr>
        <w:pStyle w:val="Heading2"/>
      </w:pPr>
      <w:r>
        <w:t xml:space="preserve">4. NFR → Mechanism → Test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Budget/obligation</w:t>
            </w:r>
          </w:p>
        </w:tc>
        <w:tc>
          <w:tcPr/>
          <w:p>
            <w:pPr>
              <w:pStyle w:val="Compact"/>
            </w:pPr>
            <w:r>
              <w:t xml:space="preserve">Implementing mechanism</w:t>
            </w:r>
          </w:p>
        </w:tc>
        <w:tc>
          <w:tcPr/>
          <w:p>
            <w:pPr>
              <w:pStyle w:val="Compact"/>
            </w:pPr>
            <w:r>
              <w:t xml:space="preserve">Test layer / evidence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NFR-OGMA-001</w:t>
            </w:r>
          </w:p>
        </w:tc>
        <w:tc>
          <w:tcPr/>
          <w:p>
            <w:pPr>
              <w:pStyle w:val="Compact"/>
            </w:pPr>
            <w:r>
              <w:t xml:space="preserve">Cold start ≤ 3 s (P95, W-REF-01)</w:t>
            </w:r>
          </w:p>
        </w:tc>
        <w:tc>
          <w:tcPr/>
          <w:p>
            <w:pPr>
              <w:pStyle w:val="Compact"/>
            </w:pPr>
            <w:r>
              <w:t xml:space="preserve">Deferred service start, skeleton shell</w:t>
            </w:r>
          </w:p>
        </w:tc>
        <w:tc>
          <w:tcPr/>
          <w:p>
            <w:pPr>
              <w:pStyle w:val="Compact"/>
            </w:pPr>
            <w:r>
              <w:t xml:space="preserve">CI benchmark (trend) → Phase 20 acceptance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NFR-OGMA-002</w:t>
            </w:r>
          </w:p>
        </w:tc>
        <w:tc>
          <w:tcPr/>
          <w:p>
            <w:pPr>
              <w:pStyle w:val="Compact"/>
            </w:pPr>
            <w:r>
              <w:t xml:space="preserve">Catalogue load ≤ 2 s, 2,000 books</w:t>
            </w:r>
          </w:p>
        </w:tc>
        <w:tc>
          <w:tcPr/>
          <w:p>
            <w:pPr>
              <w:pStyle w:val="Compact"/>
            </w:pPr>
            <w:r>
              <w:t xml:space="preserve">Read-model projection, virtualised views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gc-perf-2000</w:t>
            </w:r>
            <w:r>
              <w:t xml:space="preserve"> </w:t>
            </w:r>
            <w:r>
              <w:t xml:space="preserve">corpus benchmark → Phase 20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NFR-OGMA-003</w:t>
            </w:r>
          </w:p>
        </w:tc>
        <w:tc>
          <w:tcPr/>
          <w:p>
            <w:pPr>
              <w:pStyle w:val="Compact"/>
            </w:pPr>
            <w:r>
              <w:t xml:space="preserve">Metadata search ≤ 150 ms</w:t>
            </w:r>
          </w:p>
        </w:tc>
        <w:tc>
          <w:tcPr/>
          <w:p>
            <w:pPr>
              <w:pStyle w:val="Compact"/>
            </w:pPr>
            <w:r>
              <w:t xml:space="preserve">In-memory read model + indexed queries</w:t>
            </w:r>
          </w:p>
        </w:tc>
        <w:tc>
          <w:tcPr/>
          <w:p>
            <w:pPr>
              <w:pStyle w:val="Compact"/>
            </w:pPr>
            <w: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NFR-OGMA-004</w:t>
            </w:r>
          </w:p>
        </w:tc>
        <w:tc>
          <w:tcPr/>
          <w:p>
            <w:pPr>
              <w:pStyle w:val="Compact"/>
            </w:pPr>
            <w:r>
              <w:t xml:space="preserve">Full-text search ≤ 500 ms warm</w:t>
            </w:r>
          </w:p>
        </w:tc>
        <w:tc>
          <w:tcPr/>
          <w:p>
            <w:pPr>
              <w:pStyle w:val="Compact"/>
            </w:pPr>
            <w:r>
              <w:t xml:space="preserve">FTS5 external-content index, BM25</w:t>
            </w:r>
          </w:p>
        </w:tc>
        <w:tc>
          <w:tcPr/>
          <w:p>
            <w:pPr>
              <w:pStyle w:val="Compact"/>
            </w:pPr>
            <w:r>
              <w:t xml:space="preserve">Query-replay benchmark → Phase 20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NFR-OGMA-005</w:t>
            </w:r>
          </w:p>
        </w:tc>
        <w:tc>
          <w:tcPr/>
          <w:p>
            <w:pPr>
              <w:pStyle w:val="Compact"/>
            </w:pPr>
            <w:r>
              <w:t xml:space="preserve">Page turn ≤ 100 ms cached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PageRenderCache</w:t>
            </w:r>
          </w:p>
        </w:tc>
        <w:tc>
          <w:tcPr/>
          <w:p>
            <w:pPr>
              <w:pStyle w:val="Compact"/>
            </w:pPr>
            <w:r>
              <w:t xml:space="preserve">Render-cache benchmark → Phase 20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NFR-OGMA-006</w:t>
            </w:r>
          </w:p>
        </w:tc>
        <w:tc>
          <w:tcPr/>
          <w:p>
            <w:pPr>
              <w:pStyle w:val="Compact"/>
            </w:pPr>
            <w:r>
              <w:t xml:space="preserve">3D shelf ≥ 60 FPS, 500 books</w:t>
            </w:r>
          </w:p>
        </w:tc>
        <w:tc>
          <w:tcPr/>
          <w:p>
            <w:pPr>
              <w:pStyle w:val="Compact"/>
            </w:pPr>
            <w:r>
              <w:t xml:space="preserve">Virtualised Three.js scene, spine texture atlas</w:t>
            </w:r>
          </w:p>
        </w:tc>
        <w:tc>
          <w:tcPr/>
          <w:p>
            <w:pPr>
              <w:pStyle w:val="Compact"/>
            </w:pPr>
            <w:r>
              <w:t xml:space="preserve">WebView frame timing on UHD 620 → Phase 20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NFR-OGMA-007</w:t>
            </w:r>
          </w:p>
        </w:tc>
        <w:tc>
          <w:tcPr/>
          <w:p>
            <w:pPr>
              <w:pStyle w:val="Compact"/>
            </w:pPr>
            <w:r>
              <w:t xml:space="preserve">AI gateway overhead ≤ 10 s metadata-only</w:t>
            </w:r>
          </w:p>
        </w:tc>
        <w:tc>
          <w:tcPr/>
          <w:p>
            <w:pPr>
              <w:pStyle w:val="Compact"/>
            </w:pPr>
            <w:r>
              <w:t xml:space="preserve">Gateway instrumentation timestamps</w:t>
            </w:r>
          </w:p>
        </w:tc>
        <w:tc>
          <w:tcPr/>
          <w:p>
            <w:pPr>
              <w:pStyle w:val="Compact"/>
            </w:pPr>
            <w:r>
              <w:t xml:space="preserve">Gateway-side elapsed minus provider round-trip</w:t>
            </w:r>
          </w:p>
        </w:tc>
        <w:tc>
          <w:tcPr/>
          <w:p>
            <w:pPr>
              <w:pStyle w:val="Compact"/>
            </w:pPr>
            <w:r>
              <w:t xml:space="preserve">Trend-only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NFR-OGMA-008</w:t>
            </w:r>
          </w:p>
        </w:tc>
        <w:tc>
          <w:tcPr/>
          <w:p>
            <w:pPr>
              <w:pStyle w:val="Compact"/>
            </w:pPr>
            <w:r>
              <w:t xml:space="preserve">Annotation durability</w:t>
            </w:r>
          </w:p>
        </w:tc>
        <w:tc>
          <w:tcPr/>
          <w:p>
            <w:pPr>
              <w:pStyle w:val="Compact"/>
            </w:pPr>
            <w:r>
              <w:t xml:space="preserve">Transactional annotation persistence</w:t>
            </w:r>
          </w:p>
        </w:tc>
        <w:tc>
          <w:tcPr/>
          <w:p>
            <w:pPr>
              <w:pStyle w:val="Compact"/>
            </w:pPr>
            <w:r>
              <w:t xml:space="preserve">Fault-injection round-trip tests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NFR-OGMA-009</w:t>
            </w:r>
          </w:p>
        </w:tc>
        <w:tc>
          <w:tcPr/>
          <w:p>
            <w:pPr>
              <w:pStyle w:val="Compact"/>
            </w:pPr>
            <w:r>
              <w:t xml:space="preserve">Job recovery, no duplicate work</w:t>
            </w:r>
          </w:p>
        </w:tc>
        <w:tc>
          <w:tcPr/>
          <w:p>
            <w:pPr>
              <w:pStyle w:val="Compact"/>
            </w:pPr>
            <w:r>
              <w:t xml:space="preserve">Idempotent background workers, job journal</w:t>
            </w:r>
          </w:p>
        </w:tc>
        <w:tc>
          <w:tcPr/>
          <w:p>
            <w:pPr>
              <w:pStyle w:val="Compact"/>
            </w:pPr>
            <w:r>
              <w:t xml:space="preserve">Kill-and-restart fault injection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NFR-PROD-001</w:t>
            </w:r>
          </w:p>
        </w:tc>
        <w:tc>
          <w:tcPr/>
          <w:p>
            <w:pPr>
              <w:pStyle w:val="Compact"/>
            </w:pPr>
            <w:r>
              <w:t xml:space="preserve">Local-first availability/offline</w:t>
            </w:r>
          </w:p>
        </w:tc>
        <w:tc>
          <w:tcPr/>
          <w:p>
            <w:pPr>
              <w:pStyle w:val="Compact"/>
            </w:pPr>
            <w:r>
              <w:t xml:space="preserve">On-device catalogue, sidecar, local AI path</w:t>
            </w:r>
          </w:p>
        </w:tc>
        <w:tc>
          <w:tcPr/>
          <w:p>
            <w:pPr>
              <w:pStyle w:val="Compact"/>
            </w:pPr>
            <w:r>
              <w:t xml:space="preserve">Network-blocked integration tests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NFR-PROD-007/008</w:t>
            </w:r>
          </w:p>
        </w:tc>
        <w:tc>
          <w:tcPr/>
          <w:p>
            <w:pPr>
              <w:pStyle w:val="Compact"/>
            </w:pPr>
            <w:r>
              <w:t xml:space="preserve">WCAG 2.2 AA keyboard/screen-reader</w:t>
            </w:r>
          </w:p>
        </w:tc>
        <w:tc>
          <w:tcPr/>
          <w:p>
            <w:pPr>
              <w:pStyle w:val="Compact"/>
            </w:pPr>
            <w:r>
              <w:t xml:space="preserve">Icon + aria label per control, keyboard paths</w:t>
            </w:r>
          </w:p>
        </w:tc>
        <w:tc>
          <w:tcPr/>
          <w:p>
            <w:pPr>
              <w:pStyle w:val="Compact"/>
            </w:pPr>
            <w:r>
              <w:t xml:space="preserve">Headless UI walkthroughs → Phase 21 audit</w:t>
            </w:r>
          </w:p>
        </w:tc>
        <w:tc>
          <w:tcPr/>
          <w:p>
            <w:pPr>
              <w:pStyle w:val="Compact"/>
            </w:pPr>
            <w:r>
              <w:t xml:space="preserve">In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NFR-PROD-009</w:t>
            </w:r>
          </w:p>
        </w:tc>
        <w:tc>
          <w:tcPr/>
          <w:p>
            <w:pPr>
              <w:pStyle w:val="Compact"/>
            </w:pPr>
            <w:r>
              <w:t xml:space="preserve">Data portability, no lock-in</w:t>
            </w:r>
          </w:p>
        </w:tc>
        <w:tc>
          <w:tcPr/>
          <w:p>
            <w:pPr>
              <w:pStyle w:val="Compact"/>
            </w:pPr>
            <w:r>
              <w:t xml:space="preserve">Portable export bundle (catalogue + sidecar)</w:t>
            </w:r>
          </w:p>
        </w:tc>
        <w:tc>
          <w:tcPr/>
          <w:p>
            <w:pPr>
              <w:pStyle w:val="Compact"/>
            </w:pPr>
            <w:r>
              <w:t xml:space="preserve">Export/import round-trip test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NFR-PROD-010</w:t>
            </w:r>
          </w:p>
        </w:tc>
        <w:tc>
          <w:tcPr/>
          <w:p>
            <w:pPr>
              <w:pStyle w:val="Compact"/>
            </w:pPr>
            <w:r>
              <w:t xml:space="preserve">Reversible destructive operations</w:t>
            </w:r>
          </w:p>
        </w:tc>
        <w:tc>
          <w:tcPr/>
          <w:p>
            <w:pPr>
              <w:pStyle w:val="Compact"/>
            </w:pPr>
            <w:r>
              <w:t xml:space="preserve">Backup → diff → verify → restore pipeline</w:t>
            </w:r>
          </w:p>
        </w:tc>
        <w:tc>
          <w:tcPr/>
          <w:p>
            <w:pPr>
              <w:pStyle w:val="Compact"/>
            </w:pPr>
            <w:r>
              <w:t xml:space="preserve">Write-back fault injection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NFR-PROD-011</w:t>
            </w:r>
          </w:p>
        </w:tc>
        <w:tc>
          <w:tcPr/>
          <w:p>
            <w:pPr>
              <w:pStyle w:val="Compact"/>
            </w:pPr>
            <w:r>
              <w:t xml:space="preserve">Signed builds, idempotent backed-up migrations</w:t>
            </w:r>
          </w:p>
        </w:tc>
        <w:tc>
          <w:tcPr/>
          <w:p>
            <w:pPr>
              <w:pStyle w:val="Compact"/>
            </w:pPr>
            <w:r>
              <w:t xml:space="preserve">EF migrations (10, idempotent); signing at Phase 22</w:t>
            </w:r>
          </w:p>
        </w:tc>
        <w:tc>
          <w:tcPr/>
          <w:p>
            <w:pPr>
              <w:pStyle w:val="Compact"/>
            </w:pPr>
            <w:r>
              <w:t xml:space="preserve">Migration tests; packaging pending</w:t>
            </w:r>
          </w:p>
        </w:tc>
        <w:tc>
          <w:tcPr/>
          <w:p>
            <w:pPr>
              <w:pStyle w:val="Compact"/>
            </w:pPr>
            <w:r>
              <w:t xml:space="preserve">Partial — signing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NFR-PROD-013/014</w:t>
            </w:r>
          </w:p>
        </w:tc>
        <w:tc>
          <w:tcPr/>
          <w:p>
            <w:pPr>
              <w:pStyle w:val="Compact"/>
            </w:pPr>
            <w:r>
              <w:t xml:space="preserve">Audit trail; AI history/embedding erasure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AuditEvents</w:t>
            </w:r>
            <w:r>
              <w:t xml:space="preserve">, scoped erasure services</w:t>
            </w:r>
          </w:p>
        </w:tc>
        <w:tc>
          <w:tcPr/>
          <w:p>
            <w:pPr>
              <w:pStyle w:val="Compact"/>
            </w:pPr>
            <w:r>
              <w:t xml:space="preserve">Erasure-residue and audit tests</w:t>
            </w:r>
          </w:p>
        </w:tc>
        <w:tc>
          <w:tcPr/>
          <w:p>
            <w:pPr>
              <w:pStyle w:val="Compact"/>
            </w:pPr>
            <w:r>
              <w:t xml:space="preserve">Passing (dev evidence)</w:t>
            </w:r>
          </w:p>
        </w:tc>
      </w:tr>
    </w:tbl>
    <w:p>
      <w:pPr>
        <w:pStyle w:val="BodyText"/>
      </w:pPr>
      <w:r>
        <w:t xml:space="preserve">Rule of interpretation (from</w:t>
      </w:r>
      <w:r>
        <w:t xml:space="preserve"> </w:t>
      </w:r>
      <w:r>
        <w:rPr>
          <w:rStyle w:val="VerbatimChar"/>
        </w:rPr>
        <w:t xml:space="preserve">_context/reference-hardware.md</w:t>
      </w:r>
      <w:r>
        <w:t xml:space="preserve">): NFR-OGMA budgets are binding for release gates at MVP scale; all pre-Phase-20 measurements are trend-only and never asserted as acceptance evidence. Where an NFR-PROD default and an NFR-OGMA budget address the same attribute, NFR-OGMA binds at 2,000-book scale and NFR-PROD holds as the 50,000-item V1 target gated at Phase 20.</w:t>
      </w:r>
    </w:p>
    <w:bookmarkEnd w:id="12"/>
    <w:bookmarkStart w:id="13" w:name="X0c16f88e0906dfe91d11a1f29370efcce6f0c90"/>
    <w:p>
      <w:pPr>
        <w:pStyle w:val="Heading2"/>
      </w:pPr>
      <w:r>
        <w:t xml:space="preserve">5. Gap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G-1</w:t>
            </w:r>
          </w:p>
        </w:tc>
        <w:tc>
          <w:tcPr/>
          <w:p>
            <w:pPr>
              <w:pStyle w:val="Compact"/>
            </w:pPr>
            <w:r>
              <w:t xml:space="preserve">8 Planned FRs have no implementing code (FR-CAT-007, FR-READ-012, FR-AI-008, FR-EXT-001..003, FR-UX-003, FR-UX-006)</w:t>
            </w:r>
          </w:p>
        </w:tc>
        <w:tc>
          <w:tcPr/>
          <w:p>
            <w:pPr>
              <w:pStyle w:val="Compact"/>
            </w:pPr>
            <w:r>
              <w:t xml:space="preserve">Major (release-scope)</w:t>
            </w:r>
          </w:p>
        </w:tc>
        <w:tc>
          <w:tcPr/>
          <w:p>
            <w:pPr>
              <w:pStyle w:val="Compact"/>
            </w:pPr>
            <w:r>
              <w:t xml:space="preserve">Scheduled in the forward sprint plan, Sprints 2–6; not release blockers for the personal MVP except FR-UX-006 (owner decision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G-2</w:t>
            </w:r>
          </w:p>
        </w:tc>
        <w:tc>
          <w:tcPr/>
          <w:p>
            <w:pPr>
              <w:pStyle w:val="Compact"/>
            </w:pPr>
            <w:r>
              <w:t xml:space="preserve">All NFR-OGMA performance figures are trend-only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Phase 20 acceptance on W-REF-01/M-REF-01 (story US-053)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G-3</w:t>
            </w:r>
          </w:p>
        </w:tc>
        <w:tc>
          <w:tcPr/>
          <w:p>
            <w:pPr>
              <w:pStyle w:val="Compact"/>
            </w:pPr>
            <w:r>
              <w:t xml:space="preserve">LAN/CLIENT verification recorded on Windows only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macOS/Linux verification pass, retrospective action A-5, due 2026-08-07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_registry/baseline-trace.yaml</w:t>
            </w:r>
            <w:r>
              <w:t xml:space="preserve"> </w:t>
            </w:r>
            <w:r>
              <w:t xml:space="preserve">still traces the v1.0 story set (US-001..020)</w:t>
            </w:r>
          </w:p>
        </w:tc>
        <w:tc>
          <w:tcPr/>
          <w:p>
            <w:pPr>
              <w:pStyle w:val="Compact"/>
            </w:pPr>
            <w:r>
              <w:t xml:space="preserve">Major (governance)</w:t>
            </w:r>
          </w:p>
        </w:tc>
        <w:tc>
          <w:tcPr/>
          <w:p>
            <w:pPr>
              <w:pStyle w:val="Compact"/>
            </w:pPr>
            <w:r>
              <w:t xml:space="preserve">Registry re-sync to US-001..US-059, retrospective action A-7, due 2026-07-17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G-5</w:t>
            </w:r>
          </w:p>
        </w:tc>
        <w:tc>
          <w:tcPr/>
          <w:p>
            <w:pPr>
              <w:pStyle w:val="Compact"/>
            </w:pPr>
            <w:r>
              <w:t xml:space="preserve">SRS §8 traceability table predates the LAN/CLIENT/ADMIN/EXT/UX modules</w:t>
            </w:r>
          </w:p>
        </w:tc>
        <w:tc>
          <w:tcPr/>
          <w:p>
            <w:pPr>
              <w:pStyle w:val="Compact"/>
            </w:pPr>
            <w:r>
              <w:t xml:space="preserve">Major (documentation)</w:t>
            </w:r>
          </w:p>
        </w:tc>
        <w:tc>
          <w:tcPr/>
          <w:p>
            <w:pPr>
              <w:pStyle w:val="Compact"/>
            </w:pPr>
            <w:r>
              <w:t xml:space="preserve">SRS §8 refresh is owned by the requirements workstream; this rollup carries the v2.0 truth meanwhile</w:t>
            </w:r>
          </w:p>
        </w:tc>
      </w:tr>
    </w:tbl>
    <w:p>
      <w:pPr>
        <w:pStyle w:val="BodyText"/>
      </w:pPr>
      <w:r>
        <w:t xml:space="preserve">No orphan requirement exists (every FR appears in §2 with a goal and a story); no orphan goal exists (§3). Coverage: 101/101 FRs traced to goals and stories (100%); test-evidence coverage 93/101 (89 Done + 4 In verification implemented with tests), 92.1%.</w:t>
      </w:r>
    </w:p>
    <w:bookmarkEnd w:id="13"/>
    <w:bookmarkStart w:id="14" w:name="Xa0c920b4d1424525a4133bcdf6ad4849112b7ad"/>
    <w:p>
      <w:pPr>
        <w:pStyle w:val="Heading2"/>
      </w:pPr>
      <w:r>
        <w:t xml:space="preserve">6.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2026-07-06</w:t>
            </w:r>
          </w:p>
        </w:tc>
        <w:tc>
          <w:tcPr/>
          <w:p>
            <w:pPr>
              <w:pStyle w:val="Compact"/>
            </w:pPr>
            <w:r>
              <w:t xml:space="preserve">First governance rollup at baseline v2.0; replaces group-only traceability noted as a v1.0 defect in</w:t>
            </w:r>
            <w:r>
              <w:t xml:space="preserve"> </w:t>
            </w:r>
            <w:r>
              <w:rPr>
                <w:rStyle w:val="VerbatimChar"/>
              </w:rPr>
              <w:t xml:space="preserve">../audit-report.md</w:t>
            </w:r>
          </w:p>
        </w:tc>
      </w:tr>
    </w:tbl>
    <w:bookmarkEnd w:id="14"/>
    <w:bookmarkEnd w:id="15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2026-07-06T19:43:13Z</dcterms:created>
  <dcterms:modified xsi:type="dcterms:W3CDTF">2026-07-06T19:43:13Z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Traceability Matrix (Governance Rollup)</vt:lpwstr>
  </property>
  <property fmtid="{D5CDD505-2E9C-101B-9397-08002B2CF9AE}" pid="3" name="phase">
    <vt:lpwstr>09</vt:lpwstr>
  </property>
</Properties>
</file>