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Spectral" w:hAnsi="Spectral" w:eastAsia="Spectral"/>
          <w:color w:val="132338"/>
        </w:rPr>
        <w:t xml:space="preserve">Controlled Business Case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ogma-library--controlled-business-case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Ogma Library — Controlled Business Case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Field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2026-08-13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Decision status</w:t>
            </w:r>
          </w:p>
        </w:tc>
        <w:tc>
          <w:tcPr/>
          <w:p>
            <w:pPr>
              <w:pStyle w:val="Compact"/>
            </w:pPr>
            <w:r>
              <w:t xml:space="preserve">Hypothesis for validation; not investment or pricing approval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Product status</w:t>
            </w:r>
          </w:p>
        </w:tc>
        <w:tc>
          <w:tcPr/>
          <w:p>
            <w:pPr>
              <w:pStyle w:val="Compact"/>
            </w:pPr>
            <w:r>
              <w:t xml:space="preserve">Development build; public beta and production NO-GO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Commercial evidence</w:t>
            </w:r>
          </w:p>
        </w:tc>
        <w:tc>
          <w:tcPr/>
          <w:p>
            <w:pPr>
              <w:pStyle w:val="Compact"/>
            </w:pPr>
            <w:r>
              <w:t xml:space="preserve">NOT ASSESSED — no interview, willingness-to-pay, conversion, retention, or signed-pipeline evidence supplied</w:t>
            </w:r>
          </w:p>
        </w:tc>
      </w:tr>
    </w:tbl>
    <w:p>
      <w:pPr>
        <w:pStyle w:val="BodyText"/>
      </w:pPr>
      <w:r>
        <w:t xml:space="preserve">This business case separates product hypotheses from verified implementation facts. It authorises discovery and measurement, not paid launch, classroom contracting, or revenue recognition.</w:t>
      </w:r>
    </w:p>
    <w:bookmarkEnd w:id="9"/>
    <w:bookmarkStart w:id="10" w:name="value-buyers-and-measurable-outcomes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Value, Buyers, and Measurable Outcomes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Segment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Job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Proposed proof metric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Current evidence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Researchers and collectors</w:t>
            </w:r>
          </w:p>
        </w:tc>
        <w:tc>
          <w:tcPr/>
          <w:p>
            <w:pPr>
              <w:pStyle w:val="Compact"/>
            </w:pPr>
            <w:r>
              <w:t xml:space="preserve">Turn unmanaged PDFs into a durable searchable library</w:t>
            </w:r>
          </w:p>
        </w:tc>
        <w:tc>
          <w:tcPr/>
          <w:p>
            <w:pPr>
              <w:pStyle w:val="Compact"/>
            </w:pPr>
            <w:r>
              <w:t xml:space="preserve">Median time to first useful search; metadata repair completion; weekly retained libraries</w:t>
            </w:r>
          </w:p>
        </w:tc>
        <w:tc>
          <w:tcPr/>
          <w:p>
            <w:pPr>
              <w:pStyle w:val="Compact"/>
            </w:pPr>
            <w:r>
              <w:t xml:space="preserve">NOT ASSESSED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Privacy-sensitive readers</w:t>
            </w:r>
          </w:p>
        </w:tc>
        <w:tc>
          <w:tcPr/>
          <w:p>
            <w:pPr>
              <w:pStyle w:val="Compact"/>
            </w:pPr>
            <w:r>
              <w:t xml:space="preserve">Use AI only with visible, controllable payloads</w:t>
            </w:r>
          </w:p>
        </w:tc>
        <w:tc>
          <w:tcPr/>
          <w:p>
            <w:pPr>
              <w:pStyle w:val="Compact"/>
            </w:pPr>
            <w:r>
              <w:t xml:space="preserve">Preview-to-consent rate; local-tier use; erasure success</w:t>
            </w:r>
          </w:p>
        </w:tc>
        <w:tc>
          <w:tcPr/>
          <w:p>
            <w:pPr>
              <w:pStyle w:val="Compact"/>
            </w:pPr>
            <w:r>
              <w:t xml:space="preserve">Code/test evidence only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Schools and libraries</w:t>
            </w:r>
          </w:p>
        </w:tc>
        <w:tc>
          <w:tcPr/>
          <w:p>
            <w:pPr>
              <w:pStyle w:val="Compact"/>
            </w:pPr>
            <w:r>
              <w:t xml:space="preserve">Share a governed local collection on a LAN</w:t>
            </w:r>
          </w:p>
        </w:tc>
        <w:tc>
          <w:tcPr/>
          <w:p>
            <w:pPr>
              <w:pStyle w:val="Compact"/>
            </w:pPr>
            <w:r>
              <w:t xml:space="preserve">Setup time; concurrent students; support tickets; privacy incidents; renewal intent</w:t>
            </w:r>
          </w:p>
        </w:tc>
        <w:tc>
          <w:tcPr/>
          <w:p>
            <w:pPr>
              <w:pStyle w:val="Compact"/>
            </w:pPr>
            <w:r>
              <w:t xml:space="preserve">NOT ASSESSED; deployment NO-GO</w:t>
            </w:r>
          </w:p>
        </w:tc>
      </w:tr>
    </w:tbl>
    <w:p>
      <w:pPr>
        <w:pStyle w:val="BodyText"/>
      </w:pPr>
      <w:r>
        <w:t xml:space="preserve">The differentiator is a proposed bundle of local ownership, structured reading, transparent AI, and optional classroom operation. A finite competitor screen cannot prove uniqueness. Product-market fit requires at least 12 documented target-user interviews across personal and institutional segments, 5 observed workflow tests, and a paid or signed-pilot signal before final pricing.</w:t>
      </w:r>
    </w:p>
    <w:bookmarkEnd w:id="10"/>
    <w:bookmarkStart w:id="11" w:name="X302f934b564d5178dcd8b632be103fe7ffac570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Commercial Model and Packaging Hypotheses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Offer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Hypothesis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Included obligation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Approval state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Personal licence</w:t>
            </w:r>
          </w:p>
        </w:tc>
        <w:tc>
          <w:tcPr/>
          <w:p>
            <w:pPr>
              <w:pStyle w:val="Compact"/>
            </w:pPr>
            <w:r>
              <w:t xml:space="preserve">One-time USD 149–249 hypothesis</w:t>
            </w:r>
          </w:p>
        </w:tc>
        <w:tc>
          <w:tcPr/>
          <w:p>
            <w:pPr>
              <w:pStyle w:val="Compact"/>
            </w:pPr>
            <w:r>
              <w:t xml:space="preserve">Named supported versions, installation entitlement, baseline support, data portability</w:t>
            </w:r>
          </w:p>
        </w:tc>
        <w:tc>
          <w:tcPr/>
          <w:p>
            <w:pPr>
              <w:pStyle w:val="Compact"/>
            </w:pPr>
            <w:r>
              <w:t xml:space="preserve">NOT APPROVED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Annual update plan</w:t>
            </w:r>
          </w:p>
        </w:tc>
        <w:tc>
          <w:tcPr/>
          <w:p>
            <w:pPr>
              <w:pStyle w:val="Compact"/>
            </w:pPr>
            <w:r>
              <w:t xml:space="preserve">Approx. USD 39/year hypothesis</w:t>
            </w:r>
          </w:p>
        </w:tc>
        <w:tc>
          <w:tcPr/>
          <w:p>
            <w:pPr>
              <w:pStyle w:val="Compact"/>
            </w:pPr>
            <w:r>
              <w:t xml:space="preserve">Explicit covered-version window, cancellation, renewal notice, deferred-revenue policy</w:t>
            </w:r>
          </w:p>
        </w:tc>
        <w:tc>
          <w:tcPr/>
          <w:p>
            <w:pPr>
              <w:pStyle w:val="Compact"/>
            </w:pPr>
            <w:r>
              <w:t xml:space="preserve">NOT APPROVED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Education licence</w:t>
            </w:r>
          </w:p>
        </w:tc>
        <w:tc>
          <w:tcPr/>
          <w:p>
            <w:pPr>
              <w:pStyle w:val="Compact"/>
            </w:pPr>
            <w:r>
              <w:t xml:space="preserve">Institution/host plus governed seat band</w:t>
            </w:r>
          </w:p>
        </w:tc>
        <w:tc>
          <w:tcPr/>
          <w:p>
            <w:pPr>
              <w:pStyle w:val="Compact"/>
            </w:pPr>
            <w:r>
              <w:t xml:space="preserve">Admin roles, student privacy pack, support SLA, deployment assistance, seat reconciliation</w:t>
            </w:r>
          </w:p>
        </w:tc>
        <w:tc>
          <w:tcPr/>
          <w:p>
            <w:pPr>
              <w:pStyle w:val="Compact"/>
            </w:pPr>
            <w:r>
              <w:t xml:space="preserve">NOT APPROVED</w:t>
            </w:r>
          </w:p>
        </w:tc>
      </w:tr>
    </w:tbl>
    <w:p>
      <w:pPr>
        <w:pStyle w:val="BodyText"/>
      </w:pPr>
      <w:r>
        <w:t xml:space="preserve">These are test bands, not advertised prices. Final packaging must define channel fees, local taxes, FX presentation, refunds, chargebacks, upgrades, replacement devices, accessibility commitments, AI-provider costs, and support limits. No “lifetime” claim is permitted without a precise product/version and support definition.</w:t>
      </w:r>
    </w:p>
    <w:bookmarkEnd w:id="11"/>
    <w:bookmarkStart w:id="12" w:name="economics-accounting-and-control-model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Economics, Accounting, and Control Model</w:t>
      </w:r>
    </w:p>
    <w:p>
      <w:pPr>
        <w:pStyle w:val="FirstParagraph"/>
      </w:pPr>
      <w:r>
        <w:t xml:space="preserve">No TAM, revenue forecast, margin, CAC, LTV, or payback figure is presented because input evidence was not supplied. Before approval, the owner and finance controller shall complete:</w:t>
      </w:r>
    </w:p>
    <w:p>
      <w:pPr>
        <w:pStyle w:val="Compact"/>
        <w:numPr>
          <w:ilvl w:val="0"/>
          <w:numId w:val="1001"/>
        </w:numPr>
      </w:pPr>
      <w:r>
        <w:t xml:space="preserve">unit economics by personal, update-plan, and education offer;</w:t>
      </w:r>
    </w:p>
    <w:p>
      <w:pPr>
        <w:pStyle w:val="Compact"/>
        <w:numPr>
          <w:ilvl w:val="0"/>
          <w:numId w:val="1001"/>
        </w:numPr>
      </w:pPr>
      <w:r>
        <w:t xml:space="preserve">store/direct gross-to-net bridge: gross sale, VAT/sales tax, store fee, refunds/chargebacks, net settlement, and FX;</w:t>
      </w:r>
    </w:p>
    <w:p>
      <w:pPr>
        <w:pStyle w:val="Compact"/>
        <w:numPr>
          <w:ilvl w:val="0"/>
          <w:numId w:val="1001"/>
        </w:numPr>
      </w:pPr>
      <w:r>
        <w:t xml:space="preserve">accounting policy for one-time licences, update obligations, support, education services, and deferred revenue where obligations span periods;</w:t>
      </w:r>
    </w:p>
    <w:p>
      <w:pPr>
        <w:pStyle w:val="Compact"/>
        <w:numPr>
          <w:ilvl w:val="0"/>
          <w:numId w:val="1001"/>
        </w:numPr>
      </w:pPr>
      <w:r>
        <w:t xml:space="preserve">cash/store/mobile settlement reconciliation and exception ownership;</w:t>
      </w:r>
    </w:p>
    <w:p>
      <w:pPr>
        <w:pStyle w:val="Compact"/>
        <w:numPr>
          <w:ilvl w:val="0"/>
          <w:numId w:val="1001"/>
        </w:numPr>
      </w:pPr>
      <w:r>
        <w:t xml:space="preserve">AI usage ledger reconciliation: provider invoice, school quota, retry/failed-call treatment, and customer-facing overage rule; and</w:t>
      </w:r>
    </w:p>
    <w:p>
      <w:pPr>
        <w:pStyle w:val="Compact"/>
        <w:numPr>
          <w:ilvl w:val="0"/>
          <w:numId w:val="1001"/>
        </w:numPr>
      </w:pPr>
      <w:r>
        <w:t xml:space="preserve">refund, cancellation, credit-note, tax-document, bad-debt, and access-revocation workflows with immutable audit evidence.</w:t>
      </w:r>
    </w:p>
    <w:p>
      <w:pPr>
        <w:pStyle w:val="FirstParagraph"/>
      </w:pPr>
      <w:r>
        <w:t xml:space="preserve">Commercial approval requires a contribution-margin floor chosen by the owner, measured support effort, and a sensitivity table for channel fees, refund rate, provider cost, and FX. Until those inputs exist, finance status is Conditional / NOT PRODUCTION APPROVED.</w:t>
      </w:r>
    </w:p>
    <w:bookmarkEnd w:id="12"/>
    <w:bookmarkStart w:id="13" w:name="validation-plan-and-decision-gates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Validation Plan and Decision Gates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Gate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Oracle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Decision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≥12 interview records; ≥8 confirm the target workflow and current workaround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Continue, narrow, or stop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Usability</w:t>
            </w:r>
          </w:p>
        </w:tc>
        <w:tc>
          <w:tcPr/>
          <w:p>
            <w:pPr>
              <w:pStyle w:val="Compact"/>
            </w:pPr>
            <w:r>
              <w:t xml:space="preserve">≥5 observed users complete import, search, read/annotate, privacy preview, and export; zero critical failure</w:t>
            </w:r>
          </w:p>
        </w:tc>
        <w:tc>
          <w:tcPr/>
          <w:p>
            <w:pPr>
              <w:pStyle w:val="Compact"/>
            </w:pPr>
            <w:r>
              <w:t xml:space="preserve">Product + design</w:t>
            </w:r>
          </w:p>
        </w:tc>
        <w:tc>
          <w:tcPr/>
          <w:p>
            <w:pPr>
              <w:pStyle w:val="Compact"/>
            </w:pPr>
            <w:r>
              <w:t xml:space="preserve">Iterate before beta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Willingness to pay</w:t>
            </w:r>
          </w:p>
        </w:tc>
        <w:tc>
          <w:tcPr/>
          <w:p>
            <w:pPr>
              <w:pStyle w:val="Compact"/>
            </w:pPr>
            <w:r>
              <w:t xml:space="preserve">At least 3 personal paid commitments or deposits and 2 institutional letters/pilot agreements at recorded bands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Ratify or change packaging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Commercial control</w:t>
            </w:r>
          </w:p>
        </w:tc>
        <w:tc>
          <w:tcPr/>
          <w:p>
            <w:pPr>
              <w:pStyle w:val="Compact"/>
            </w:pPr>
            <w:r>
              <w:t xml:space="preserve">Finance gate signed; store/direct settlement, tax, refund, revenue, AI-cost, entitlement, and support controls tested</w:t>
            </w:r>
          </w:p>
        </w:tc>
        <w:tc>
          <w:tcPr/>
          <w:p>
            <w:pPr>
              <w:pStyle w:val="Compact"/>
            </w:pPr>
            <w:r>
              <w:t xml:space="preserve">Finance controller</w:t>
            </w:r>
          </w:p>
        </w:tc>
        <w:tc>
          <w:tcPr/>
          <w:p>
            <w:pPr>
              <w:pStyle w:val="Compact"/>
            </w:pPr>
            <w:r>
              <w:t xml:space="preserve">Permit paid launch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All applicable go-live items evidenced; legal/privacy/design/accessibility approvals recorded</w:t>
            </w:r>
          </w:p>
        </w:tc>
        <w:tc>
          <w:tcPr/>
          <w:p>
            <w:pPr>
              <w:pStyle w:val="Compact"/>
            </w:pPr>
            <w:r>
              <w:t xml:space="preserve">Accountable owners</w:t>
            </w:r>
          </w:p>
        </w:tc>
        <w:tc>
          <w:tcPr/>
          <w:p>
            <w:pPr>
              <w:pStyle w:val="Compact"/>
            </w:pPr>
            <w:r>
              <w:t xml:space="preserve">Public beta/production GO</w:t>
            </w:r>
          </w:p>
        </w:tc>
      </w:tr>
    </w:tbl>
    <w:p>
      <w:pPr>
        <w:pStyle w:val="BodyText"/>
      </w:pPr>
      <w:r>
        <w:t xml:space="preserve">Every test records date, participant segment, script, result, consent, decision, and repository evidence path. Silence or informal enthusiasm is not validation.</w:t>
      </w:r>
    </w:p>
    <w:bookmarkEnd w:id="13"/>
    <w:sectPr>
      <w:headerReference w:type="default" r:id="rId9"/>
      <w:footerReference w:type="default" r:id="rId10"/>
      <w:footnotePr>
        <w:numRestart w:val="eachSect"/>
      </w:footnotePr>
      <w:pgSz w:w="11906" w:h="16838"/>
      <w:pgMar w:bottom="1020" w:left="1134" w:right="1020" w:top="1020" w:header="510" w:footer="5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ublic Sans" w:hAnsi="Public Sans" w:eastAsia="Public Sans"/>
        <w:color w:val="132338"/>
        <w:sz w:val="15"/>
      </w:rPr>
      <w:t xml:space="preserve">Review baseline — not approved for production   •   </w:t>
    </w:r>
    <w:r>
      <w:fldChar w:fldCharType="begin"/>
      <w:instrText xml:space="preserve">PAGE</w:instrText>
      <w:fldChar w:fldCharType="separate"/>
      <w:fldChar w:fldCharType="end"/>
    </w:r>
    <w:r>
      <w:rPr>
        <w:rFonts w:ascii="Public Sans" w:hAnsi="Public Sans" w:eastAsia="Public Sans"/>
        <w:color w:val="132338"/>
        <w:sz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ublic Sans" w:hAnsi="Public Sans" w:eastAsia="Public Sans"/>
        <w:color w:val="132338"/>
        <w:sz w:val="15"/>
      </w:rPr>
      <w:t>OGMA LIBRARY  /  CONTROLLED BUSINESS CASE  /  v2.1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  <w:lang w:val="en-UG" w:eastAsia="en-UG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  <w:lang w:val="en-UG" w:eastAsia="en-UG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  <w:lang w:val="en-UG" w:eastAsia="en-UG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  <w:lang w:val="en-UG" w:eastAsia="en-UG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  <w:lang w:val="en-UG" w:eastAsia="en-UG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  <w:lang w:val="en-UG" w:eastAsia="en-UG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lang w:val="en-UG" w:eastAsia="en-UG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lang w:val="en-UG" w:eastAsia="en-UG"/>
    </w:rPr>
  </w:style>
  <w:style w:styleId="Bibliography" w:type="paragraph">
    <w:name w:val="Bibliography"/>
    <w:basedOn w:val="Normal"/>
    <w:next w:val="Bibliography"/>
    <w:qFormat/>
    <w:pPr/>
    <w:rPr>
      <w:lang w:val="en-UG" w:eastAsia="en-UG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  <w:lang w:val="en-UG" w:eastAsia="en-UG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  <w:lang w:val="en-UG" w:eastAsia="en-UG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  <w:lang w:val="en-UG" w:eastAsia="en-UG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  <w:lang w:val="en-UG" w:eastAsia="en-UG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  <w:lang w:val="en-UG" w:eastAsia="en-UG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  <w:lang w:val="en-UG" w:eastAsia="en-UG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  <w:lang w:val="en-UG" w:eastAsia="en-UG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  <w:lang w:val="en-UG" w:eastAsia="en-UG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lang w:val="en-UG" w:eastAsia="en-UG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lang w:val="en-UG" w:eastAsia="en-UG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lang w:val="en-UG" w:eastAsia="en-UG"/>
    </w:rPr>
  </w:style>
  <w:style w:customStyle="1" w:styleId="Definition" w:type="paragraph">
    <w:name w:val="Definition"/>
    <w:basedOn w:val="Normal"/>
    <w:rPr>
      <w:lang w:val="en-UG" w:eastAsia="en-UG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  <w:lang w:val="en-UG" w:eastAsia="en-UG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  <w:lang w:val="en-UG" w:eastAsia="en-UG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  <w:lang w:val="en-UG" w:eastAsia="en-UG"/>
    </w:rPr>
  </w:style>
  <w:style w:customStyle="1" w:styleId="Figure" w:type="paragraph">
    <w:name w:val="Figure"/>
    <w:basedOn w:val="Normal"/>
    <w:rPr>
      <w:lang w:val="en-UG" w:eastAsia="en-UG"/>
    </w:rPr>
  </w:style>
  <w:style w:customStyle="1" w:styleId="CaptionedFigure" w:type="paragraph">
    <w:name w:val="Captioned Figure"/>
    <w:basedOn w:val="Figure"/>
    <w:pPr>
      <w:keepNext/>
    </w:pPr>
    <w:rPr>
      <w:lang w:val="en-UG" w:eastAsia="en-UG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  <w:lang w:val="en-UG" w:eastAsia="en-UG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lang w:val="en-UG" w:eastAsia="en-UG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Controlled Business Case</dc:title>
  <dc:creator>Chwezi Core Systems</dc:creator>
  <cp:keywords>Ogma Library; local-first; requirements; desktop; controlled baseline</cp:keywords>
  <dcterms:created xsi:type="dcterms:W3CDTF">2026-08-13T13:27:18Z</dcterms:created>
  <dcterms:modified xsi:type="dcterms:W3CDTF">2026-08-13T13:27:18Z</dcterms:modified>
  <dc:subject>Ogma Library controlled documentation baseline</dc:subject>
  <dc:description>Version 2.1; Review baseline — not approved for production; regenerated 2026-08-13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