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Spectral" w:hAnsi="Spectral" w:eastAsia="Spectral"/>
          <w:color w:val="132338"/>
        </w:rPr>
        <w:t xml:space="preserve">Data Protection Impact Assessment</w:t>
      </w:r>
    </w:p>
    <w:p>
      <w:pPr>
        <w:pStyle w:val="Subtitle"/>
      </w:pPr>
      <w:r>
        <w:t xml:space="preserve">Governance and Compliance — Personal Product and Classroom / School Deployments</w:t>
      </w:r>
    </w:p>
    <w:p>
      <w:pPr>
        <w:pStyle w:val="Date"/>
      </w:pPr>
      <w:r>
        <w:t xml:space="preserve">2026-07-06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49a3758450d000ba1c3b4ee12b6f05583d72ffb"/>
    <w:p>
      <w:pPr>
        <w:pStyle w:val="Heading1"/>
      </w:pPr>
      <w:r>
        <w:rPr>
          <w:rStyle w:val="SectionNumber"/>
          <w:rFonts w:ascii="Spectral" w:hAnsi="Spectral" w:eastAsia="Spectral"/>
          <w:color w:val="132338"/>
        </w:rPr>
        <w:t xml:space="preserve">1</w:t>
      </w:r>
      <w:r>
        <w:rPr>
          <w:rFonts w:ascii="Spectral" w:hAnsi="Spectral" w:eastAsia="Spectral"/>
          <w:color w:val="132338"/>
        </w:rPr>
        <w:tab/>
      </w:r>
      <w:r>
        <w:rPr>
          <w:rFonts w:ascii="Spectral" w:hAnsi="Spectral" w:eastAsia="Spectral"/>
          <w:color w:val="132338"/>
        </w:rPr>
        <w:t xml:space="preserve">Data Protection Impact Assessment — Ogma Library</w:t>
      </w:r>
    </w:p>
    <w:tbl>
      <w:tblPr>
        <w:tblStyle w:val="Table"/>
        <w:tblW w:type="auto" w:w="0"/>
        <w:tblLook w:firstRow="1" w:lastRow="0" w:firstColumn="0" w:lastColumn="0" w:noHBand="0" w:noVBand="0" w:val="0020"/>
      </w:tblPr>
      <w:tblGrid>
        <w:gridCol w:w="3960"/>
        <w:gridCol w:w="3960"/>
      </w:tblGrid>
      <w:tr>
        <w:trPr>
          <w:tblHeader w:val="on"/>
          <w:cantSplit/>
        </w:trPr>
        <w:tc>
          <w:tcPr>
            <w:shd w:fill="132338"/>
          </w:tcPr>
          <w:p>
            <w:pPr>
              <w:pStyle w:val="Compact"/>
            </w:pPr>
          </w:p>
        </w:tc>
        <w:tc>
          <w:tcPr>
            <w:shd w:fill="132338"/>
          </w:tcPr>
          <w:p>
            <w:pPr>
              <w:pStyle w:val="Compact"/>
            </w:pPr>
          </w:p>
        </w:tc>
      </w:tr>
      <w:tr>
        <w:trPr>
          <w:cantSplit/>
        </w:trPr>
        <w:tc>
          <w:tcPr/>
          <w:p>
            <w:pPr>
              <w:pStyle w:val="Compact"/>
            </w:pPr>
            <w:r>
              <w:rPr>
                <w:b/>
                <w:bCs/>
              </w:rPr>
              <w:t xml:space="preserve">Document</w:t>
            </w:r>
          </w:p>
        </w:tc>
        <w:tc>
          <w:tcPr/>
          <w:p>
            <w:pPr>
              <w:pStyle w:val="Compact"/>
            </w:pPr>
            <w:r>
              <w:t xml:space="preserve">Data Protection Impact Assessment (DPIA)</w:t>
            </w:r>
          </w:p>
        </w:tc>
      </w:tr>
      <w:tr>
        <w:trPr>
          <w:cantSplit/>
        </w:trPr>
        <w:tc>
          <w:tcPr/>
          <w:p>
            <w:pPr>
              <w:pStyle w:val="Compact"/>
            </w:pPr>
            <w:r>
              <w:rPr>
                <w:b/>
                <w:bCs/>
              </w:rPr>
              <w:t xml:space="preserve">Project</w:t>
            </w:r>
          </w:p>
        </w:tc>
        <w:tc>
          <w:tcPr/>
          <w:p>
            <w:pPr>
              <w:pStyle w:val="Compact"/>
            </w:pPr>
            <w:r>
              <w:t xml:space="preserve">Ogma Library</w:t>
            </w:r>
          </w:p>
        </w:tc>
      </w:tr>
      <w:tr>
        <w:trPr>
          <w:cantSplit/>
        </w:trPr>
        <w:tc>
          <w:tcPr/>
          <w:p>
            <w:pPr>
              <w:pStyle w:val="Compact"/>
            </w:pPr>
            <w:r>
              <w:rPr>
                <w:b/>
                <w:bCs/>
              </w:rPr>
              <w:t xml:space="preserve">Owner</w:t>
            </w:r>
          </w:p>
        </w:tc>
        <w:tc>
          <w:tcPr/>
          <w:p>
            <w:pPr>
              <w:pStyle w:val="Compact"/>
            </w:pPr>
            <w:r>
              <w:t xml:space="preserve">Chwezi Core Systems</w:t>
            </w:r>
          </w:p>
        </w:tc>
      </w:tr>
      <w:tr>
        <w:trPr>
          <w:cantSplit/>
        </w:trPr>
        <w:tc>
          <w:tcPr/>
          <w:p>
            <w:pPr>
              <w:pStyle w:val="Compact"/>
            </w:pPr>
            <w:r>
              <w:rPr>
                <w:b/>
                <w:bCs/>
              </w:rPr>
              <w:t xml:space="preserve">Author</w:t>
            </w:r>
          </w:p>
        </w:tc>
        <w:tc>
          <w:tcPr/>
          <w:p>
            <w:pPr>
              <w:pStyle w:val="Compact"/>
            </w:pPr>
            <w:r>
              <w:t xml:space="preserve">Peter Bamuhigire, Lead Consultant, Chwezi Core</w:t>
            </w:r>
          </w:p>
        </w:tc>
      </w:tr>
      <w:tr>
        <w:trPr>
          <w:cantSplit/>
        </w:trPr>
        <w:tc>
          <w:tcPr/>
          <w:p>
            <w:pPr>
              <w:pStyle w:val="Compact"/>
            </w:pPr>
            <w:r>
              <w:rPr>
                <w:b/>
                <w:bCs/>
              </w:rPr>
              <w:t xml:space="preserve">Version</w:t>
            </w:r>
          </w:p>
        </w:tc>
        <w:tc>
          <w:tcPr/>
          <w:p>
            <w:pPr>
              <w:pStyle w:val="Compact"/>
            </w:pPr>
            <w:r>
              <w:t xml:space="preserve">2.0</w:t>
            </w:r>
          </w:p>
        </w:tc>
      </w:tr>
      <w:tr>
        <w:trPr>
          <w:cantSplit/>
        </w:trPr>
        <w:tc>
          <w:tcPr/>
          <w:p>
            <w:pPr>
              <w:pStyle w:val="Compact"/>
            </w:pPr>
            <w:r>
              <w:rPr>
                <w:b/>
                <w:bCs/>
              </w:rPr>
              <w:t xml:space="preserve">Date</w:t>
            </w:r>
          </w:p>
        </w:tc>
        <w:tc>
          <w:tcPr/>
          <w:p>
            <w:pPr>
              <w:pStyle w:val="Compact"/>
            </w:pPr>
            <w:r>
              <w:t xml:space="preserve">2026-07-06</w:t>
            </w:r>
          </w:p>
        </w:tc>
      </w:tr>
      <w:tr>
        <w:trPr>
          <w:cantSplit/>
        </w:trPr>
        <w:tc>
          <w:tcPr/>
          <w:p>
            <w:pPr>
              <w:pStyle w:val="Compact"/>
            </w:pPr>
            <w:r>
              <w:rPr>
                <w:b/>
                <w:bCs/>
              </w:rPr>
              <w:t xml:space="preserve">Status</w:t>
            </w:r>
          </w:p>
        </w:tc>
        <w:tc>
          <w:tcPr/>
          <w:p>
            <w:pPr>
              <w:pStyle w:val="Compact"/>
            </w:pPr>
            <w:r>
              <w:t xml:space="preserve">Draft for owner sign-off</w:t>
            </w:r>
          </w:p>
        </w:tc>
      </w:tr>
      <w:tr>
        <w:trPr>
          <w:cantSplit/>
        </w:trPr>
        <w:tc>
          <w:tcPr/>
          <w:p>
            <w:pPr>
              <w:pStyle w:val="Compact"/>
            </w:pPr>
            <w:r>
              <w:rPr>
                <w:b/>
                <w:bCs/>
              </w:rPr>
              <w:t xml:space="preserve">Classification</w:t>
            </w:r>
          </w:p>
        </w:tc>
        <w:tc>
          <w:tcPr/>
          <w:p>
            <w:pPr>
              <w:pStyle w:val="Compact"/>
            </w:pPr>
            <w:r>
              <w:t xml:space="preserve">Confidential — Internal Use Only</w:t>
            </w:r>
          </w:p>
        </w:tc>
      </w:tr>
    </w:tbl>
    <w:p>
      <w:pPr>
        <w:pStyle w:val="BodyText"/>
      </w:pPr>
      <w:r>
        <w:t xml:space="preserve">Version 1.0 (2026-05-30) was a screening-level assessment of the single-user product, whose baseline posture — the user's own data on the user's own device — is low risk. Version 2.0 expands the assessment because the implemented classroom product (grand-plan Phases 16–18; FR-LAN, FR-CLIENT, FR-ADMIN) processes</w:t>
      </w:r>
      <w:r>
        <w:t xml:space="preserve"> </w:t>
      </w:r>
      <w:r>
        <w:rPr>
          <w:b/>
          <w:bCs/>
        </w:rPr>
        <w:t xml:space="preserve">students' — typically minors' — reading behaviour and AI-query data</w:t>
      </w:r>
      <w:r>
        <w:t xml:space="preserve"> </w:t>
      </w:r>
      <w:r>
        <w:t xml:space="preserve">on behalf of schools. That changes the roles (a school becomes a data controller; the host operator processes on its behalf), the data subjects (children, owed heightened protection under every modern data-protection regime), and the risk profile (institutional surveillance potential, third-party AI exposure).</w:t>
      </w:r>
    </w:p>
    <w:p>
      <w:pPr>
        <w:pStyle w:val="BodyText"/>
      </w:pPr>
      <w:r>
        <w:t xml:space="preserve">Jurisdiction framing: Ogma is jurisdiction-configurable. This assessment uses a</w:t>
      </w:r>
      <w:r>
        <w:t xml:space="preserve"> </w:t>
      </w:r>
      <w:r>
        <w:rPr>
          <w:b/>
          <w:bCs/>
        </w:rPr>
        <w:t xml:space="preserve">GDPR-aligned baseline</w:t>
      </w:r>
      <w:r>
        <w:t xml:space="preserve"> </w:t>
      </w:r>
      <w:r>
        <w:t xml:space="preserve">(the strictest widely applicable standard, and the one the productivity domain profile names) while the deploying school's local Data Protection Act governs each actual deployment. The owner decision on target jurisdictions for classroom sales is</w:t>
      </w:r>
      <w:r>
        <w:t xml:space="preserve"> </w:t>
      </w:r>
      <w:r>
        <w:rPr>
          <w:b/>
          <w:bCs/>
        </w:rPr>
        <w:t xml:space="preserve">open</w:t>
      </w:r>
      <w:r>
        <w:t xml:space="preserve"> </w:t>
      </w:r>
      <w:r>
        <w:t xml:space="preserve">(audit finding F-14) and is required before any classroom pilot.</w:t>
      </w:r>
    </w:p>
    <w:p>
      <w:pPr>
        <w:pStyle w:val="BodyText"/>
      </w:pPr>
      <w:r>
        <w:t xml:space="preserve">This document is product-design compliance guidance, not legal advice, and replaces no jurisdiction-specific legal review.</w:t>
      </w:r>
    </w:p>
    <w:p>
      <w:pPr>
        <w:pStyle w:val="BodyText"/>
      </w:pPr>
      <w:r>
        <w:t xml:space="preserve">\newpage</w:t>
      </w:r>
    </w:p>
    <w:bookmarkEnd w:id="9"/>
    <w:bookmarkStart w:id="14" w:name="X0c4ad1c7de392f8c928d205f83eb4f868019c4d"/>
    <w:p>
      <w:pPr>
        <w:pStyle w:val="Heading1"/>
      </w:pPr>
      <w:r>
        <w:rPr>
          <w:rStyle w:val="SectionNumber"/>
          <w:rFonts w:ascii="Spectral" w:hAnsi="Spectral" w:eastAsia="Spectral"/>
          <w:color w:val="132338"/>
        </w:rPr>
        <w:t xml:space="preserve">2</w:t>
      </w:r>
      <w:r>
        <w:rPr>
          <w:rFonts w:ascii="Spectral" w:hAnsi="Spectral" w:eastAsia="Spectral"/>
          <w:color w:val="132338"/>
        </w:rPr>
        <w:tab/>
      </w:r>
      <w:r>
        <w:rPr>
          <w:rFonts w:ascii="Spectral" w:hAnsi="Spectral" w:eastAsia="Spectral"/>
          <w:color w:val="132338"/>
        </w:rPr>
        <w:t xml:space="preserve">1. Processing Overview</w:t>
      </w:r>
    </w:p>
    <w:bookmarkStart w:id="10" w:name="X2a05e11e1180f08bcb259c872e21aa22771c48f"/>
    <w:p>
      <w:pPr>
        <w:pStyle w:val="Heading2"/>
      </w:pPr>
      <w:r>
        <w:rPr>
          <w:rStyle w:val="SectionNumber"/>
          <w:rFonts w:ascii="Spectral" w:hAnsi="Spectral" w:eastAsia="Spectral"/>
          <w:color w:val="132338"/>
        </w:rPr>
        <w:t xml:space="preserve">2.1</w:t>
      </w:r>
      <w:r>
        <w:rPr>
          <w:rFonts w:ascii="Spectral" w:hAnsi="Spectral" w:eastAsia="Spectral"/>
          <w:color w:val="132338"/>
        </w:rPr>
        <w:tab/>
      </w:r>
      <w:r>
        <w:rPr>
          <w:rFonts w:ascii="Spectral" w:hAnsi="Spectral" w:eastAsia="Spectral"/>
          <w:color w:val="132338"/>
        </w:rPr>
        <w:t xml:space="preserve">1.1 Two Deployment Postures, Two Risk Profiles</w:t>
      </w:r>
    </w:p>
    <w:p>
      <w:pPr>
        <w:pStyle w:val="FirstParagraph"/>
      </w:pPr>
      <w:r>
        <w:rPr>
          <w:b/>
          <w:bCs/>
        </w:rPr>
        <w:t xml:space="preserve">Personal posture (single user).</w:t>
      </w:r>
      <w:r>
        <w:t xml:space="preserve"> </w:t>
      </w:r>
      <w:r>
        <w:t xml:space="preserve">Ogma manages the user's own PDF collection on the user's own machine. The user is the data subject for their own content; Ogma holds no regulated third-party PII baseline, transmits nothing by default (privacy tier Offline, per the AI gateway decision ADR-0007), and creates no controller/processor relationship for fully local or local-model operation. The v1.0 analysis of this posture stands and is retained in §§1.3–1.4.</w:t>
      </w:r>
    </w:p>
    <w:p>
      <w:pPr>
        <w:pStyle w:val="BodyText"/>
      </w:pPr>
      <w:r>
        <w:rPr>
          <w:b/>
          <w:bCs/>
        </w:rPr>
        <w:t xml:space="preserve">Classroom posture (implemented, Phases 16–18).</w:t>
      </w:r>
      <w:r>
        <w:t xml:space="preserve"> </w:t>
      </w:r>
      <w:r>
        <w:t xml:space="preserve">A school runs a host that serves a curated collection to enrolled clients; students read, annotate, search, and perform AI-assisted smart searches. Here the</w:t>
      </w:r>
      <w:r>
        <w:t xml:space="preserve"> </w:t>
      </w:r>
      <w:r>
        <w:rPr>
          <w:b/>
          <w:bCs/>
        </w:rPr>
        <w:t xml:space="preserve">school is the data controller</w:t>
      </w:r>
      <w:r>
        <w:t xml:space="preserve"> </w:t>
      </w:r>
      <w:r>
        <w:t xml:space="preserve">for student personal data; Ogma is software the school operates (the product owner is not a processor unless a future hosted service changes that — see the trigger register, §6). The data subjects include</w:t>
      </w:r>
      <w:r>
        <w:t xml:space="preserve"> </w:t>
      </w:r>
      <w:r>
        <w:rPr>
          <w:b/>
          <w:bCs/>
        </w:rPr>
        <w:t xml:space="preserve">minors</w:t>
      </w:r>
      <w:r>
        <w:t xml:space="preserve">, which raises the required protection level: defaults must protect without relying on the child's configuration choices.</w:t>
      </w:r>
    </w:p>
    <w:bookmarkEnd w:id="10"/>
    <w:bookmarkStart w:id="11" w:name="X7b65c5c600e3a1779e8665e6e3ef08badabac44"/>
    <w:p>
      <w:pPr>
        <w:pStyle w:val="Heading2"/>
      </w:pPr>
      <w:r>
        <w:rPr>
          <w:rStyle w:val="SectionNumber"/>
          <w:rFonts w:ascii="Spectral" w:hAnsi="Spectral" w:eastAsia="Spectral"/>
          <w:color w:val="132338"/>
        </w:rPr>
        <w:t xml:space="preserve">2.2</w:t>
      </w:r>
      <w:r>
        <w:rPr>
          <w:rFonts w:ascii="Spectral" w:hAnsi="Spectral" w:eastAsia="Spectral"/>
          <w:color w:val="132338"/>
        </w:rPr>
        <w:tab/>
      </w:r>
      <w:r>
        <w:rPr>
          <w:rFonts w:ascii="Spectral" w:hAnsi="Spectral" w:eastAsia="Spectral"/>
          <w:color w:val="132338"/>
        </w:rPr>
        <w:t xml:space="preserve">1.2 Classroom Processing Inventory</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cantSplit/>
        </w:trPr>
        <w:tc>
          <w:tcPr>
            <w:shd w:fill="132338"/>
          </w:tcPr>
          <w:p>
            <w:pPr>
              <w:pStyle w:val="Compact"/>
            </w:pPr>
            <w:r>
              <w:rPr>
                <w:rFonts w:ascii="Public Sans" w:hAnsi="Public Sans" w:eastAsia="Public Sans"/>
                <w:b/>
                <w:color w:val="FFFFFF"/>
                <w:sz w:val="17"/>
              </w:rPr>
              <w:t xml:space="preserve">#</w:t>
            </w:r>
          </w:p>
        </w:tc>
        <w:tc>
          <w:tcPr>
            <w:shd w:fill="132338"/>
          </w:tcPr>
          <w:p>
            <w:pPr>
              <w:pStyle w:val="Compact"/>
            </w:pPr>
            <w:r>
              <w:rPr>
                <w:rFonts w:ascii="Public Sans" w:hAnsi="Public Sans" w:eastAsia="Public Sans"/>
                <w:b/>
                <w:color w:val="FFFFFF"/>
                <w:sz w:val="17"/>
              </w:rPr>
              <w:t xml:space="preserve">Processing operation</w:t>
            </w:r>
          </w:p>
        </w:tc>
        <w:tc>
          <w:tcPr>
            <w:shd w:fill="132338"/>
          </w:tcPr>
          <w:p>
            <w:pPr>
              <w:pStyle w:val="Compact"/>
            </w:pPr>
            <w:r>
              <w:rPr>
                <w:rFonts w:ascii="Public Sans" w:hAnsi="Public Sans" w:eastAsia="Public Sans"/>
                <w:b/>
                <w:color w:val="FFFFFF"/>
                <w:sz w:val="17"/>
              </w:rPr>
              <w:t xml:space="preserve">Data categories</w:t>
            </w:r>
          </w:p>
        </w:tc>
        <w:tc>
          <w:tcPr>
            <w:shd w:fill="132338"/>
          </w:tcPr>
          <w:p>
            <w:pPr>
              <w:pStyle w:val="Compact"/>
            </w:pPr>
            <w:r>
              <w:rPr>
                <w:rFonts w:ascii="Public Sans" w:hAnsi="Public Sans" w:eastAsia="Public Sans"/>
                <w:b/>
                <w:color w:val="FFFFFF"/>
                <w:sz w:val="17"/>
              </w:rPr>
              <w:t xml:space="preserve">Data subjects</w:t>
            </w:r>
          </w:p>
        </w:tc>
        <w:tc>
          <w:tcPr>
            <w:shd w:fill="132338"/>
          </w:tcPr>
          <w:p>
            <w:pPr>
              <w:pStyle w:val="Compact"/>
            </w:pPr>
            <w:r>
              <w:rPr>
                <w:rFonts w:ascii="Public Sans" w:hAnsi="Public Sans" w:eastAsia="Public Sans"/>
                <w:b/>
                <w:color w:val="FFFFFF"/>
                <w:sz w:val="17"/>
              </w:rPr>
              <w:t xml:space="preserve">Where processed/stored</w:t>
            </w:r>
          </w:p>
        </w:tc>
        <w:tc>
          <w:tcPr>
            <w:shd w:fill="132338"/>
          </w:tcPr>
          <w:p>
            <w:pPr>
              <w:pStyle w:val="Compact"/>
            </w:pPr>
            <w:r>
              <w:rPr>
                <w:rFonts w:ascii="Public Sans" w:hAnsi="Public Sans" w:eastAsia="Public Sans"/>
                <w:b/>
                <w:color w:val="FFFFFF"/>
                <w:sz w:val="17"/>
              </w:rPr>
              <w:t xml:space="preserve">Purpose</w:t>
            </w:r>
          </w:p>
        </w:tc>
        <w:tc>
          <w:tcPr>
            <w:shd w:fill="132338"/>
          </w:tcPr>
          <w:p>
            <w:pPr>
              <w:pStyle w:val="Compact"/>
            </w:pPr>
            <w:r>
              <w:rPr>
                <w:rFonts w:ascii="Public Sans" w:hAnsi="Public Sans" w:eastAsia="Public Sans"/>
                <w:b/>
                <w:color w:val="FFFFFF"/>
                <w:sz w:val="17"/>
              </w:rPr>
              <w:t xml:space="preserve">Lawful basis (GDPR-aligned baseline)</w:t>
            </w:r>
          </w:p>
        </w:tc>
      </w:tr>
      <w:tr>
        <w:trPr>
          <w:cantSplit/>
        </w:trPr>
        <w:tc>
          <w:tcPr/>
          <w:p>
            <w:pPr>
              <w:pStyle w:val="Compact"/>
            </w:pPr>
            <w:r>
              <w:t xml:space="preserve">P-1</w:t>
            </w:r>
          </w:p>
        </w:tc>
        <w:tc>
          <w:tcPr/>
          <w:p>
            <w:pPr>
              <w:pStyle w:val="Compact"/>
            </w:pPr>
            <w:r>
              <w:t xml:space="preserve">Profile enrollment and authentication (FR-CLIENT-002, FR-CLIENT-003, FR-ADMIN-003)</w:t>
            </w:r>
          </w:p>
        </w:tc>
        <w:tc>
          <w:tcPr/>
          <w:p>
            <w:pPr>
              <w:pStyle w:val="Compact"/>
            </w:pPr>
            <w:r>
              <w:t xml:space="preserve">Name/alias, role, credential hash, enrollment token</w:t>
            </w:r>
          </w:p>
        </w:tc>
        <w:tc>
          <w:tcPr/>
          <w:p>
            <w:pPr>
              <w:pStyle w:val="Compact"/>
            </w:pPr>
            <w:r>
              <w:t xml:space="preserve">Students, teachers</w:t>
            </w:r>
          </w:p>
        </w:tc>
        <w:tc>
          <w:tcPr/>
          <w:p>
            <w:pPr>
              <w:pStyle w:val="Compact"/>
            </w:pPr>
            <w:r>
              <w:t xml:space="preserve">Host catalogue (school premises)</w:t>
            </w:r>
          </w:p>
        </w:tc>
        <w:tc>
          <w:tcPr/>
          <w:p>
            <w:pPr>
              <w:pStyle w:val="Compact"/>
            </w:pPr>
            <w:r>
              <w:t xml:space="preserve">Provide per-student access with private state</w:t>
            </w:r>
          </w:p>
        </w:tc>
        <w:tc>
          <w:tcPr/>
          <w:p>
            <w:pPr>
              <w:pStyle w:val="Compact"/>
            </w:pPr>
            <w:r>
              <w:t xml:space="preserve">School's public-task/legitimate-interest basis for providing education, per local law; not consent (power imbalance)</w:t>
            </w:r>
          </w:p>
        </w:tc>
      </w:tr>
      <w:tr>
        <w:trPr>
          <w:cantSplit/>
        </w:trPr>
        <w:tc>
          <w:tcPr/>
          <w:p>
            <w:pPr>
              <w:pStyle w:val="Compact"/>
            </w:pPr>
            <w:r>
              <w:t xml:space="preserve">P-2</w:t>
            </w:r>
          </w:p>
        </w:tc>
        <w:tc>
          <w:tcPr/>
          <w:p>
            <w:pPr>
              <w:pStyle w:val="Compact"/>
            </w:pPr>
            <w:r>
              <w:t xml:space="preserve">Per-student reading state (FR-CLIENT-002, FR-CLIENT-006)</w:t>
            </w:r>
          </w:p>
        </w:tc>
        <w:tc>
          <w:tcPr/>
          <w:p>
            <w:pPr>
              <w:pStyle w:val="Compact"/>
            </w:pPr>
            <w:r>
              <w:t xml:space="preserve">Progress, bookmarks, notes, reading time per book</w:t>
            </w:r>
          </w:p>
        </w:tc>
        <w:tc>
          <w:tcPr/>
          <w:p>
            <w:pPr>
              <w:pStyle w:val="Compact"/>
            </w:pPr>
            <w:r>
              <w:t xml:space="preserve">Students</w:t>
            </w:r>
          </w:p>
        </w:tc>
        <w:tc>
          <w:tcPr/>
          <w:p>
            <w:pPr>
              <w:pStyle w:val="Compact"/>
            </w:pPr>
            <w:r>
              <w:t xml:space="preserve">Student's device (private DB) + encrypted sync blobs on host</w:t>
            </w:r>
          </w:p>
        </w:tc>
        <w:tc>
          <w:tcPr/>
          <w:p>
            <w:pPr>
              <w:pStyle w:val="Compact"/>
            </w:pPr>
            <w:r>
              <w:t xml:space="preserve">Resume reading across machines</w:t>
            </w:r>
          </w:p>
        </w:tc>
        <w:tc>
          <w:tcPr/>
          <w:p>
            <w:pPr>
              <w:pStyle w:val="Compact"/>
            </w:pPr>
            <w:r>
              <w:t xml:space="preserve">Same as P-1; sync is functionally necessary and the host stores the blob opaquely</w:t>
            </w:r>
          </w:p>
        </w:tc>
      </w:tr>
      <w:tr>
        <w:trPr>
          <w:cantSplit/>
        </w:trPr>
        <w:tc>
          <w:tcPr/>
          <w:p>
            <w:pPr>
              <w:pStyle w:val="Compact"/>
            </w:pPr>
            <w:r>
              <w:t xml:space="preserve">P-3</w:t>
            </w:r>
          </w:p>
        </w:tc>
        <w:tc>
          <w:tcPr/>
          <w:p>
            <w:pPr>
              <w:pStyle w:val="Compact"/>
            </w:pPr>
            <w:r>
              <w:t xml:space="preserve">Reading-state sync and conflict resolution (FR-CLIENT-006)</w:t>
            </w:r>
          </w:p>
        </w:tc>
        <w:tc>
          <w:tcPr/>
          <w:p>
            <w:pPr>
              <w:pStyle w:val="Compact"/>
            </w:pPr>
            <w:r>
              <w:t xml:space="preserve">Same as P-2, in transit over LAN TLS</w:t>
            </w:r>
          </w:p>
        </w:tc>
        <w:tc>
          <w:tcPr/>
          <w:p>
            <w:pPr>
              <w:pStyle w:val="Compact"/>
            </w:pPr>
            <w:r>
              <w:t xml:space="preserve">Students</w:t>
            </w:r>
          </w:p>
        </w:tc>
        <w:tc>
          <w:tcPr/>
          <w:p>
            <w:pPr>
              <w:pStyle w:val="Compact"/>
            </w:pPr>
            <w:r>
              <w:t xml:space="preserve">LAN only; never off-premises</w:t>
            </w:r>
          </w:p>
        </w:tc>
        <w:tc>
          <w:tcPr/>
          <w:p>
            <w:pPr>
              <w:pStyle w:val="Compact"/>
            </w:pPr>
            <w:r>
              <w:t xml:space="preserve">State continuity</w:t>
            </w:r>
          </w:p>
        </w:tc>
        <w:tc>
          <w:tcPr/>
          <w:p>
            <w:pPr>
              <w:pStyle w:val="Compact"/>
            </w:pPr>
            <w:r>
              <w:t xml:space="preserve">Same as P-1</w:t>
            </w:r>
          </w:p>
        </w:tc>
      </w:tr>
      <w:tr>
        <w:trPr>
          <w:cantSplit/>
        </w:trPr>
        <w:tc>
          <w:tcPr/>
          <w:p>
            <w:pPr>
              <w:pStyle w:val="Compact"/>
            </w:pPr>
            <w:r>
              <w:t xml:space="preserve">P-4</w:t>
            </w:r>
          </w:p>
        </w:tc>
        <w:tc>
          <w:tcPr/>
          <w:p>
            <w:pPr>
              <w:pStyle w:val="Compact"/>
            </w:pPr>
            <w:r>
              <w:t xml:space="preserve">Teacher class dashboards (FR-CLIENT-012)</w:t>
            </w:r>
          </w:p>
        </w:tc>
        <w:tc>
          <w:tcPr/>
          <w:p>
            <w:pPr>
              <w:pStyle w:val="Compact"/>
            </w:pPr>
            <w:r>
              <w:t xml:space="preserve">Aggregated class reading metrics; disclosed per-student views</w:t>
            </w:r>
          </w:p>
        </w:tc>
        <w:tc>
          <w:tcPr/>
          <w:p>
            <w:pPr>
              <w:pStyle w:val="Compact"/>
            </w:pPr>
            <w:r>
              <w:t xml:space="preserve">Students</w:t>
            </w:r>
          </w:p>
        </w:tc>
        <w:tc>
          <w:tcPr/>
          <w:p>
            <w:pPr>
              <w:pStyle w:val="Compact"/>
            </w:pPr>
            <w:r>
              <w:t xml:space="preserve">Host</w:t>
            </w:r>
          </w:p>
        </w:tc>
        <w:tc>
          <w:tcPr/>
          <w:p>
            <w:pPr>
              <w:pStyle w:val="Compact"/>
            </w:pPr>
            <w:r>
              <w:t xml:space="preserve">Pedagogical guidance</w:t>
            </w:r>
          </w:p>
        </w:tc>
        <w:tc>
          <w:tcPr/>
          <w:p>
            <w:pPr>
              <w:pStyle w:val="Compact"/>
            </w:pPr>
            <w:r>
              <w:t xml:space="preserve">Same as P-1, bounded by the aggregate-only, disclosed design</w:t>
            </w:r>
          </w:p>
        </w:tc>
      </w:tr>
      <w:tr>
        <w:trPr>
          <w:cantSplit/>
        </w:trPr>
        <w:tc>
          <w:tcPr/>
          <w:p>
            <w:pPr>
              <w:pStyle w:val="Compact"/>
            </w:pPr>
            <w:r>
              <w:t xml:space="preserve">P-5</w:t>
            </w:r>
          </w:p>
        </w:tc>
        <w:tc>
          <w:tcPr/>
          <w:p>
            <w:pPr>
              <w:pStyle w:val="Compact"/>
            </w:pPr>
            <w:r>
              <w:t xml:space="preserve">Student AI smart-search via host gateway (FR-ADMIN-005, FR-ADMIN-006, FR-ADMIN-007)</w:t>
            </w:r>
          </w:p>
        </w:tc>
        <w:tc>
          <w:tcPr/>
          <w:p>
            <w:pPr>
              <w:pStyle w:val="Compact"/>
            </w:pPr>
            <w:r>
              <w:t xml:space="preserve">Query text; catalogue metadata payload (Tier 1 default); content excerpts only under admin-enabled Tier 2</w:t>
            </w:r>
          </w:p>
        </w:tc>
        <w:tc>
          <w:tcPr/>
          <w:p>
            <w:pPr>
              <w:pStyle w:val="Compact"/>
            </w:pPr>
            <w:r>
              <w:t xml:space="preserve">Students</w:t>
            </w:r>
          </w:p>
        </w:tc>
        <w:tc>
          <w:tcPr/>
          <w:p>
            <w:pPr>
              <w:pStyle w:val="Compact"/>
            </w:pPr>
            <w:r>
              <w:t xml:space="preserve">Host gateway → school-chosen AI provider (off-premises)</w:t>
            </w:r>
          </w:p>
        </w:tc>
        <w:tc>
          <w:tcPr/>
          <w:p>
            <w:pPr>
              <w:pStyle w:val="Compact"/>
            </w:pPr>
            <w:r>
              <w:t xml:space="preserve">Explainable search/recommendations over the school collection</w:t>
            </w:r>
          </w:p>
        </w:tc>
        <w:tc>
          <w:tcPr/>
          <w:p>
            <w:pPr>
              <w:pStyle w:val="Compact"/>
            </w:pPr>
            <w:r>
              <w:t xml:space="preserve">School's documented decision; provider processing governed by the school's provider agreement; student sees tier label and payload preview before send</w:t>
            </w:r>
          </w:p>
        </w:tc>
      </w:tr>
      <w:tr>
        <w:trPr>
          <w:cantSplit/>
        </w:trPr>
        <w:tc>
          <w:tcPr/>
          <w:p>
            <w:pPr>
              <w:pStyle w:val="Compact"/>
            </w:pPr>
            <w:r>
              <w:t xml:space="preserve">P-6</w:t>
            </w:r>
          </w:p>
        </w:tc>
        <w:tc>
          <w:tcPr/>
          <w:p>
            <w:pPr>
              <w:pStyle w:val="Compact"/>
            </w:pPr>
            <w:r>
              <w:t xml:space="preserve">Per-student AI query history (FR-AI-009, FR-ADMIN-012, FR-ADMIN-013)</w:t>
            </w:r>
          </w:p>
        </w:tc>
        <w:tc>
          <w:tcPr/>
          <w:p>
            <w:pPr>
              <w:pStyle w:val="Compact"/>
            </w:pPr>
            <w:r>
              <w:t xml:space="preserve">Query text, mode, provider, selected results</w:t>
            </w:r>
          </w:p>
        </w:tc>
        <w:tc>
          <w:tcPr/>
          <w:p>
            <w:pPr>
              <w:pStyle w:val="Compact"/>
            </w:pPr>
            <w:r>
              <w:t xml:space="preserve">Students</w:t>
            </w:r>
          </w:p>
        </w:tc>
        <w:tc>
          <w:tcPr/>
          <w:p>
            <w:pPr>
              <w:pStyle w:val="Compact"/>
            </w:pPr>
            <w:r>
              <w:t xml:space="preserve">Student profile store + host audit scope</w:t>
            </w:r>
          </w:p>
        </w:tc>
        <w:tc>
          <w:tcPr/>
          <w:p>
            <w:pPr>
              <w:pStyle w:val="Compact"/>
            </w:pPr>
            <w:r>
              <w:t xml:space="preserve">Student's own recall; institutional accountability</w:t>
            </w:r>
          </w:p>
        </w:tc>
        <w:tc>
          <w:tcPr/>
          <w:p>
            <w:pPr>
              <w:pStyle w:val="Compact"/>
            </w:pPr>
            <w:r>
              <w:t xml:space="preserve">Same as P-1; retention bounded by deletion and purge controls</w:t>
            </w:r>
          </w:p>
        </w:tc>
      </w:tr>
      <w:tr>
        <w:trPr>
          <w:cantSplit/>
        </w:trPr>
        <w:tc>
          <w:tcPr/>
          <w:p>
            <w:pPr>
              <w:pStyle w:val="Compact"/>
            </w:pPr>
            <w:r>
              <w:t xml:space="preserve">P-7</w:t>
            </w:r>
          </w:p>
        </w:tc>
        <w:tc>
          <w:tcPr/>
          <w:p>
            <w:pPr>
              <w:pStyle w:val="Compact"/>
            </w:pPr>
            <w:r>
              <w:t xml:space="preserve">Quota, rate-limit, and usage accounting (FR-ADMIN-008, FR-ADMIN-009, FR-ADMIN-010)</w:t>
            </w:r>
          </w:p>
        </w:tc>
        <w:tc>
          <w:tcPr/>
          <w:p>
            <w:pPr>
              <w:pStyle w:val="Compact"/>
            </w:pPr>
            <w:r>
              <w:t xml:space="preserve">Per-student call counts, token/cost figures</w:t>
            </w:r>
          </w:p>
        </w:tc>
        <w:tc>
          <w:tcPr/>
          <w:p>
            <w:pPr>
              <w:pStyle w:val="Compact"/>
            </w:pPr>
            <w:r>
              <w:t xml:space="preserve">Students</w:t>
            </w:r>
          </w:p>
        </w:tc>
        <w:tc>
          <w:tcPr/>
          <w:p>
            <w:pPr>
              <w:pStyle w:val="Compact"/>
            </w:pPr>
            <w:r>
              <w:t xml:space="preserve">Host</w:t>
            </w:r>
          </w:p>
        </w:tc>
        <w:tc>
          <w:tcPr/>
          <w:p>
            <w:pPr>
              <w:pStyle w:val="Compact"/>
            </w:pPr>
            <w:r>
              <w:t xml:space="preserve">Cost control and fair use</w:t>
            </w:r>
          </w:p>
        </w:tc>
        <w:tc>
          <w:tcPr/>
          <w:p>
            <w:pPr>
              <w:pStyle w:val="Compact"/>
            </w:pPr>
            <w:r>
              <w:t xml:space="preserve">Same as P-1; minimised to counts, not content</w:t>
            </w:r>
          </w:p>
        </w:tc>
      </w:tr>
      <w:tr>
        <w:trPr>
          <w:cantSplit/>
        </w:trPr>
        <w:tc>
          <w:tcPr/>
          <w:p>
            <w:pPr>
              <w:pStyle w:val="Compact"/>
            </w:pPr>
            <w:r>
              <w:t xml:space="preserve">P-8</w:t>
            </w:r>
          </w:p>
        </w:tc>
        <w:tc>
          <w:tcPr/>
          <w:p>
            <w:pPr>
              <w:pStyle w:val="Compact"/>
            </w:pPr>
            <w:r>
              <w:t xml:space="preserve">Host activity audit log (FR-LAN-010, CTRL-018)</w:t>
            </w:r>
          </w:p>
        </w:tc>
        <w:tc>
          <w:tcPr/>
          <w:p>
            <w:pPr>
              <w:pStyle w:val="Compact"/>
            </w:pPr>
            <w:r>
              <w:t xml:space="preserve">Connections, streams, denials, admin actions, per-profile identifiers</w:t>
            </w:r>
          </w:p>
        </w:tc>
        <w:tc>
          <w:tcPr/>
          <w:p>
            <w:pPr>
              <w:pStyle w:val="Compact"/>
            </w:pPr>
            <w:r>
              <w:t xml:space="preserve">Students, teachers, admins</w:t>
            </w:r>
          </w:p>
        </w:tc>
        <w:tc>
          <w:tcPr/>
          <w:p>
            <w:pPr>
              <w:pStyle w:val="Compact"/>
            </w:pPr>
            <w:r>
              <w:t xml:space="preserve">Host; exportable by admin</w:t>
            </w:r>
          </w:p>
        </w:tc>
        <w:tc>
          <w:tcPr/>
          <w:p>
            <w:pPr>
              <w:pStyle w:val="Compact"/>
            </w:pPr>
            <w:r>
              <w:t xml:space="preserve">Security accountability</w:t>
            </w:r>
          </w:p>
        </w:tc>
        <w:tc>
          <w:tcPr/>
          <w:p>
            <w:pPr>
              <w:pStyle w:val="Compact"/>
            </w:pPr>
            <w:r>
              <w:t xml:space="preserve">Same as P-1</w:t>
            </w:r>
          </w:p>
        </w:tc>
      </w:tr>
      <w:tr>
        <w:trPr>
          <w:cantSplit/>
        </w:trPr>
        <w:tc>
          <w:tcPr/>
          <w:p>
            <w:pPr>
              <w:pStyle w:val="Compact"/>
            </w:pPr>
            <w:r>
              <w:t xml:space="preserve">P-9</w:t>
            </w:r>
          </w:p>
        </w:tc>
        <w:tc>
          <w:tcPr/>
          <w:p>
            <w:pPr>
              <w:pStyle w:val="Compact"/>
            </w:pPr>
            <w:r>
              <w:t xml:space="preserve">School AI key custody (FR-ADMIN-004)</w:t>
            </w:r>
          </w:p>
        </w:tc>
        <w:tc>
          <w:tcPr/>
          <w:p>
            <w:pPr>
              <w:pStyle w:val="Compact"/>
            </w:pPr>
            <w:r>
              <w:t xml:space="preserve">Provider credential (not personal data of students)</w:t>
            </w:r>
          </w:p>
        </w:tc>
        <w:tc>
          <w:tcPr/>
          <w:p>
            <w:pPr>
              <w:pStyle w:val="Compact"/>
            </w:pPr>
            <w:r>
              <w:t xml:space="preserve">School</w:t>
            </w:r>
          </w:p>
        </w:tc>
        <w:tc>
          <w:tcPr/>
          <w:p>
            <w:pPr>
              <w:pStyle w:val="Compact"/>
            </w:pPr>
            <w:r>
              <w:t xml:space="preserve">Host OS credential store</w:t>
            </w:r>
          </w:p>
        </w:tc>
        <w:tc>
          <w:tcPr/>
          <w:p>
            <w:pPr>
              <w:pStyle w:val="Compact"/>
            </w:pPr>
            <w:r>
              <w:t xml:space="preserve">Enable managed AI without exposing keys</w:t>
            </w:r>
          </w:p>
        </w:tc>
        <w:tc>
          <w:tcPr/>
          <w:p>
            <w:pPr>
              <w:pStyle w:val="Compact"/>
            </w:pPr>
            <w:r>
              <w:t xml:space="preserve">N/A (secret custody control CTRL-001)</w:t>
            </w:r>
          </w:p>
        </w:tc>
      </w:tr>
      <w:tr>
        <w:trPr>
          <w:cantSplit/>
        </w:trPr>
        <w:tc>
          <w:tcPr/>
          <w:p>
            <w:pPr>
              <w:pStyle w:val="Compact"/>
            </w:pPr>
            <w:r>
              <w:t xml:space="preserve">P-10</w:t>
            </w:r>
          </w:p>
        </w:tc>
        <w:tc>
          <w:tcPr/>
          <w:p>
            <w:pPr>
              <w:pStyle w:val="Compact"/>
            </w:pPr>
            <w:r>
              <w:t xml:space="preserve">Enrollment revocation (FR-CLIENT-009, FR-ADMIN-003)</w:t>
            </w:r>
          </w:p>
        </w:tc>
        <w:tc>
          <w:tcPr/>
          <w:p>
            <w:pPr>
              <w:pStyle w:val="Compact"/>
            </w:pPr>
            <w:r>
              <w:t xml:space="preserve">Profile status</w:t>
            </w:r>
          </w:p>
        </w:tc>
        <w:tc>
          <w:tcPr/>
          <w:p>
            <w:pPr>
              <w:pStyle w:val="Compact"/>
            </w:pPr>
            <w:r>
              <w:t xml:space="preserve">Students, teachers</w:t>
            </w:r>
          </w:p>
        </w:tc>
        <w:tc>
          <w:tcPr/>
          <w:p>
            <w:pPr>
              <w:pStyle w:val="Compact"/>
            </w:pPr>
            <w:r>
              <w:t xml:space="preserve">Host</w:t>
            </w:r>
          </w:p>
        </w:tc>
        <w:tc>
          <w:tcPr/>
          <w:p>
            <w:pPr>
              <w:pStyle w:val="Compact"/>
            </w:pPr>
            <w:r>
              <w:t xml:space="preserve">Off-boarding; revoked students keep local notes</w:t>
            </w:r>
          </w:p>
        </w:tc>
        <w:tc>
          <w:tcPr/>
          <w:p>
            <w:pPr>
              <w:pStyle w:val="Compact"/>
            </w:pPr>
            <w:r>
              <w:t xml:space="preserve">Same as P-1</w:t>
            </w:r>
          </w:p>
        </w:tc>
      </w:tr>
    </w:tbl>
    <w:p>
      <w:pPr>
        <w:pStyle w:val="BodyText"/>
      </w:pPr>
      <w:r>
        <w:t xml:space="preserve">No classroom flow sends student data off the school's premises except P-5, and P-5 defaults to metadata-only with a mandatory student-visible payload preview.</w:t>
      </w:r>
    </w:p>
    <w:bookmarkEnd w:id="11"/>
    <w:bookmarkStart w:id="12" w:name="X69107540876687a12a5e8295dc7fd739bee6593"/>
    <w:p>
      <w:pPr>
        <w:pStyle w:val="Heading2"/>
      </w:pPr>
      <w:r>
        <w:rPr>
          <w:rStyle w:val="SectionNumber"/>
          <w:rFonts w:ascii="Spectral" w:hAnsi="Spectral" w:eastAsia="Spectral"/>
          <w:color w:val="132338"/>
        </w:rPr>
        <w:t xml:space="preserve">2.3</w:t>
      </w:r>
      <w:r>
        <w:rPr>
          <w:rFonts w:ascii="Spectral" w:hAnsi="Spectral" w:eastAsia="Spectral"/>
          <w:color w:val="132338"/>
        </w:rPr>
        <w:tab/>
      </w:r>
      <w:r>
        <w:rPr>
          <w:rFonts w:ascii="Spectral" w:hAnsi="Spectral" w:eastAsia="Spectral"/>
          <w:color w:val="132338"/>
        </w:rPr>
        <w:t xml:space="preserve">1.3 Personal-Posture Data Categories (retained from v1.0)</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Category</w:t>
            </w:r>
          </w:p>
        </w:tc>
        <w:tc>
          <w:tcPr>
            <w:shd w:fill="132338"/>
          </w:tcPr>
          <w:p>
            <w:pPr>
              <w:pStyle w:val="Compact"/>
            </w:pPr>
            <w:r>
              <w:rPr>
                <w:rFonts w:ascii="Public Sans" w:hAnsi="Public Sans" w:eastAsia="Public Sans"/>
                <w:b/>
                <w:color w:val="FFFFFF"/>
                <w:sz w:val="17"/>
              </w:rPr>
              <w:t xml:space="preserve">Description</w:t>
            </w:r>
          </w:p>
        </w:tc>
        <w:tc>
          <w:tcPr>
            <w:shd w:fill="132338"/>
          </w:tcPr>
          <w:p>
            <w:pPr>
              <w:pStyle w:val="Compact"/>
            </w:pPr>
            <w:r>
              <w:rPr>
                <w:rFonts w:ascii="Public Sans" w:hAnsi="Public Sans" w:eastAsia="Public Sans"/>
                <w:b/>
                <w:color w:val="FFFFFF"/>
                <w:sz w:val="17"/>
              </w:rPr>
              <w:t xml:space="preserve">Off-device exposure</w:t>
            </w:r>
          </w:p>
        </w:tc>
      </w:tr>
      <w:tr>
        <w:trPr>
          <w:cantSplit/>
        </w:trPr>
        <w:tc>
          <w:tcPr/>
          <w:p>
            <w:pPr>
              <w:pStyle w:val="Compact"/>
            </w:pPr>
            <w:r>
              <w:t xml:space="preserve">User-Owned Content</w:t>
            </w:r>
          </w:p>
        </w:tc>
        <w:tc>
          <w:tcPr/>
          <w:p>
            <w:pPr>
              <w:pStyle w:val="Compact"/>
            </w:pPr>
            <w:r>
              <w:t xml:space="preserve">PDFs, extracted text, annotations, notes</w:t>
            </w:r>
          </w:p>
        </w:tc>
        <w:tc>
          <w:tcPr/>
          <w:p>
            <w:pPr>
              <w:pStyle w:val="Compact"/>
            </w:pPr>
            <w:r>
              <w:t xml:space="preserve">Only under content-aware cloud AI (Tier 2), minimised and previewed</w:t>
            </w:r>
          </w:p>
        </w:tc>
      </w:tr>
      <w:tr>
        <w:trPr>
          <w:cantSplit/>
        </w:trPr>
        <w:tc>
          <w:tcPr/>
          <w:p>
            <w:pPr>
              <w:pStyle w:val="Compact"/>
            </w:pPr>
            <w:r>
              <w:t xml:space="preserve">Catalogue Metadata</w:t>
            </w:r>
          </w:p>
        </w:tc>
        <w:tc>
          <w:tcPr/>
          <w:p>
            <w:pPr>
              <w:pStyle w:val="Compact"/>
            </w:pPr>
            <w:r>
              <w:t xml:space="preserve">Title, author, tags, progress, statistics</w:t>
            </w:r>
          </w:p>
        </w:tc>
        <w:tc>
          <w:tcPr/>
          <w:p>
            <w:pPr>
              <w:pStyle w:val="Compact"/>
            </w:pPr>
            <w:r>
              <w:t xml:space="preserve">Only under metadata-only cloud AI (Tier 1) or opt-in metadata lookups, minimised and previewed</w:t>
            </w:r>
          </w:p>
        </w:tc>
      </w:tr>
      <w:tr>
        <w:trPr>
          <w:cantSplit/>
        </w:trPr>
        <w:tc>
          <w:tcPr/>
          <w:p>
            <w:pPr>
              <w:pStyle w:val="Compact"/>
            </w:pPr>
            <w:r>
              <w:t xml:space="preserve">Provider Secrets</w:t>
            </w:r>
          </w:p>
        </w:tc>
        <w:tc>
          <w:tcPr/>
          <w:p>
            <w:pPr>
              <w:pStyle w:val="Compact"/>
            </w:pPr>
            <w:r>
              <w:t xml:space="preserve">API keys and tokens</w:t>
            </w:r>
          </w:p>
        </w:tc>
        <w:tc>
          <w:tcPr/>
          <w:p>
            <w:pPr>
              <w:pStyle w:val="Compact"/>
            </w:pPr>
            <w:r>
              <w:t xml:space="preserve">Never as payload; OS credential storage (CTRL-001)</w:t>
            </w:r>
          </w:p>
        </w:tc>
      </w:tr>
      <w:tr>
        <w:trPr>
          <w:cantSplit/>
        </w:trPr>
        <w:tc>
          <w:tcPr/>
          <w:p>
            <w:pPr>
              <w:pStyle w:val="Compact"/>
            </w:pPr>
            <w:r>
              <w:t xml:space="preserve">AI History and Embeddings</w:t>
            </w:r>
          </w:p>
        </w:tc>
        <w:tc>
          <w:tcPr/>
          <w:p>
            <w:pPr>
              <w:pStyle w:val="Compact"/>
            </w:pPr>
            <w:r>
              <w:t xml:space="preserve">Stored queries, cached responses, vectors</w:t>
            </w:r>
          </w:p>
        </w:tc>
        <w:tc>
          <w:tcPr/>
          <w:p>
            <w:pPr>
              <w:pStyle w:val="Compact"/>
            </w:pPr>
            <w:r>
              <w:t xml:space="preserve">Local (sidecar per the storage decision ADR-0005); erasable (CTRL-023)</w:t>
            </w:r>
          </w:p>
        </w:tc>
      </w:tr>
    </w:tbl>
    <w:bookmarkEnd w:id="12"/>
    <w:bookmarkStart w:id="13" w:name="X817653d9eb841e0c54051867349822e590bd59f"/>
    <w:p>
      <w:pPr>
        <w:pStyle w:val="Heading2"/>
      </w:pPr>
      <w:r>
        <w:rPr>
          <w:rStyle w:val="SectionNumber"/>
          <w:rFonts w:ascii="Spectral" w:hAnsi="Spectral" w:eastAsia="Spectral"/>
          <w:color w:val="132338"/>
        </w:rPr>
        <w:t xml:space="preserve">2.4</w:t>
      </w:r>
      <w:r>
        <w:rPr>
          <w:rFonts w:ascii="Spectral" w:hAnsi="Spectral" w:eastAsia="Spectral"/>
          <w:color w:val="132338"/>
        </w:rPr>
        <w:tab/>
      </w:r>
      <w:r>
        <w:rPr>
          <w:rFonts w:ascii="Spectral" w:hAnsi="Spectral" w:eastAsia="Spectral"/>
          <w:color w:val="132338"/>
        </w:rPr>
        <w:t xml:space="preserve">1.4 Off-Device Flow Summary (both postures)</w:t>
      </w:r>
    </w:p>
    <w:p>
      <w:pPr>
        <w:pStyle w:val="Compact"/>
        <w:numPr>
          <w:ilvl w:val="0"/>
          <w:numId w:val="1001"/>
        </w:numPr>
      </w:pPr>
      <w:r>
        <w:t xml:space="preserve">Default state: nothing is transmitted (Tier 0 Offline; host mode off by default per FR-LAN-001).</w:t>
      </w:r>
    </w:p>
    <w:p>
      <w:pPr>
        <w:pStyle w:val="Compact"/>
        <w:numPr>
          <w:ilvl w:val="0"/>
          <w:numId w:val="1001"/>
        </w:numPr>
      </w:pPr>
      <w:r>
        <w:t xml:space="preserve">Tier 1 metadata-only cloud and metadata-provider lookups: minimised, previewed, consented metadata subsets.</w:t>
      </w:r>
    </w:p>
    <w:p>
      <w:pPr>
        <w:pStyle w:val="Compact"/>
        <w:numPr>
          <w:ilvl w:val="0"/>
          <w:numId w:val="1001"/>
        </w:numPr>
      </w:pPr>
      <w:r>
        <w:t xml:space="preserve">Tier 2 content-aware cloud: minimised, previewed content excerpts; per-library or per-query opt-in; in classrooms additionally gated on the administrator (FR-ADMIN-006).</w:t>
      </w:r>
    </w:p>
    <w:p>
      <w:pPr>
        <w:pStyle w:val="Compact"/>
        <w:numPr>
          <w:ilvl w:val="0"/>
          <w:numId w:val="1001"/>
        </w:numPr>
      </w:pPr>
      <w:r>
        <w:t xml:space="preserve">Tier 3 local model: on-device inference; nothing leaves the machine.</w:t>
      </w:r>
    </w:p>
    <w:p>
      <w:pPr>
        <w:pStyle w:val="Compact"/>
        <w:numPr>
          <w:ilvl w:val="0"/>
          <w:numId w:val="1001"/>
        </w:numPr>
      </w:pPr>
      <w:r>
        <w:t xml:space="preserve">Classroom LAN traffic (catalogue, streams, sync): TLS on the local network only (FR-LAN-002); not "off-device" in the cloud sense but treated as a trust boundary in §3.</w:t>
      </w:r>
    </w:p>
    <w:p>
      <w:pPr>
        <w:pStyle w:val="FirstParagraph"/>
      </w:pPr>
      <w:r>
        <w:t xml:space="preserve">\newpage</w:t>
      </w:r>
    </w:p>
    <w:bookmarkEnd w:id="13"/>
    <w:bookmarkEnd w:id="14"/>
    <w:bookmarkStart w:id="22" w:name="X42b1238fd82539e99e9d86e5ccb5fcb248ad27f"/>
    <w:p>
      <w:pPr>
        <w:pStyle w:val="Heading1"/>
      </w:pPr>
      <w:r>
        <w:rPr>
          <w:rStyle w:val="SectionNumber"/>
          <w:rFonts w:ascii="Spectral" w:hAnsi="Spectral" w:eastAsia="Spectral"/>
          <w:color w:val="132338"/>
        </w:rPr>
        <w:t xml:space="preserve">3</w:t>
      </w:r>
      <w:r>
        <w:rPr>
          <w:rFonts w:ascii="Spectral" w:hAnsi="Spectral" w:eastAsia="Spectral"/>
          <w:color w:val="132338"/>
        </w:rPr>
        <w:tab/>
      </w:r>
      <w:r>
        <w:rPr>
          <w:rFonts w:ascii="Spectral" w:hAnsi="Spectral" w:eastAsia="Spectral"/>
          <w:color w:val="132338"/>
        </w:rPr>
        <w:t xml:space="preserve">2. Necessity and Proportionality</w:t>
      </w:r>
    </w:p>
    <w:bookmarkStart w:id="15" w:name="X202cbdafbe6577f1d30f8e346f36ed3e98029e4"/>
    <w:p>
      <w:pPr>
        <w:pStyle w:val="Heading2"/>
      </w:pPr>
      <w:r>
        <w:rPr>
          <w:rStyle w:val="SectionNumber"/>
          <w:rFonts w:ascii="Spectral" w:hAnsi="Spectral" w:eastAsia="Spectral"/>
          <w:color w:val="132338"/>
        </w:rPr>
        <w:t xml:space="preserve">3.1</w:t>
      </w:r>
      <w:r>
        <w:rPr>
          <w:rFonts w:ascii="Spectral" w:hAnsi="Spectral" w:eastAsia="Spectral"/>
          <w:color w:val="132338"/>
        </w:rPr>
        <w:tab/>
      </w:r>
      <w:r>
        <w:rPr>
          <w:rFonts w:ascii="Spectral" w:hAnsi="Spectral" w:eastAsia="Spectral"/>
          <w:color w:val="132338"/>
        </w:rPr>
        <w:t xml:space="preserve">2.1 Lawful Basis — Personal Posture</w:t>
      </w:r>
    </w:p>
    <w:p>
      <w:pPr>
        <w:pStyle w:val="FirstParagraph"/>
      </w:pPr>
      <w:r>
        <w:t xml:space="preserve">Fully local and local-model operation (Tiers 0 and 3) creates no controller or processor relationship: the user processes their own data on their own device. For any off-device transmission (Tiers 1–2, metadata lookups) the lawful basis is</w:t>
      </w:r>
      <w:r>
        <w:t xml:space="preserve"> </w:t>
      </w:r>
      <w:r>
        <w:rPr>
          <w:b/>
          <w:bCs/>
        </w:rPr>
        <w:t xml:space="preserve">consent</w:t>
      </w:r>
      <w:r>
        <w:t xml:space="preserve"> </w:t>
      </w:r>
      <w:r>
        <w:t xml:space="preserve">— explicit, specific, informed, per tier and per provider, never bundled into general acceptance (CTRL-019). The default is no transmission.</w:t>
      </w:r>
    </w:p>
    <w:bookmarkEnd w:id="15"/>
    <w:bookmarkStart w:id="16" w:name="Xa33398cafa6a4dc29cdec02e64b3e2c6e857f89"/>
    <w:p>
      <w:pPr>
        <w:pStyle w:val="Heading2"/>
      </w:pPr>
      <w:r>
        <w:rPr>
          <w:rStyle w:val="SectionNumber"/>
          <w:rFonts w:ascii="Spectral" w:hAnsi="Spectral" w:eastAsia="Spectral"/>
          <w:color w:val="132338"/>
        </w:rPr>
        <w:t xml:space="preserve">3.2</w:t>
      </w:r>
      <w:r>
        <w:rPr>
          <w:rFonts w:ascii="Spectral" w:hAnsi="Spectral" w:eastAsia="Spectral"/>
          <w:color w:val="132338"/>
        </w:rPr>
        <w:tab/>
      </w:r>
      <w:r>
        <w:rPr>
          <w:rFonts w:ascii="Spectral" w:hAnsi="Spectral" w:eastAsia="Spectral"/>
          <w:color w:val="132338"/>
        </w:rPr>
        <w:t xml:space="preserve">2.2 Lawful Basis — Classroom Posture (students, typically minors)</w:t>
      </w:r>
    </w:p>
    <w:p>
      <w:pPr>
        <w:pStyle w:val="FirstParagraph"/>
      </w:pPr>
      <w:r>
        <w:t xml:space="preserve">Consent is</w:t>
      </w:r>
      <w:r>
        <w:t xml:space="preserve"> </w:t>
      </w:r>
      <w:r>
        <w:rPr>
          <w:b/>
          <w:bCs/>
        </w:rPr>
        <w:t xml:space="preserve">not</w:t>
      </w:r>
      <w:r>
        <w:t xml:space="preserve"> </w:t>
      </w:r>
      <w:r>
        <w:t xml:space="preserve">the appropriate basis for core classroom processing: a student cannot freely refuse their school. The GDPR-aligned baseline therefore anchors P-1 through P-4 and P-6 through P-10 (see §1.2) on the school's education-provision basis under its local law (public task or legitimate interest, as the local Data Protection Act frames it), with the school as controller. Consequences the design already honours:</w:t>
      </w:r>
    </w:p>
    <w:p>
      <w:pPr>
        <w:pStyle w:val="Compact"/>
        <w:numPr>
          <w:ilvl w:val="0"/>
          <w:numId w:val="1002"/>
        </w:numPr>
      </w:pPr>
      <w:r>
        <w:t xml:space="preserve">Protection cannot depend on the child's choices: the class privacy tier defaults to metadata-only (FR-ADMIN-006) and content-aware analysis is gated on the administrator, not the student.</w:t>
      </w:r>
    </w:p>
    <w:p>
      <w:pPr>
        <w:pStyle w:val="Compact"/>
        <w:numPr>
          <w:ilvl w:val="0"/>
          <w:numId w:val="1002"/>
        </w:numPr>
      </w:pPr>
      <w:r>
        <w:t xml:space="preserve">Transparency is owed to the student regardless of basis: the tier label and payload preview are shown to the student before any off-device call (FR-ADMIN-007), and teacher per-student visibility is disclosed to the students it covers (FR-CLIENT-012).</w:t>
      </w:r>
    </w:p>
    <w:p>
      <w:pPr>
        <w:pStyle w:val="Compact"/>
        <w:numPr>
          <w:ilvl w:val="0"/>
          <w:numId w:val="1002"/>
        </w:numPr>
      </w:pPr>
      <w:r>
        <w:t xml:space="preserve">Where a deployment's local law requires parental/guardian consent for third-party AI processing of a minor's data (P-5), obtaining it is the school's controller obligation; Ogma supports it by making the payload scope demonstrable (preview + audit log) so the school can describe exactly what is shared.</w:t>
      </w:r>
    </w:p>
    <w:bookmarkEnd w:id="16"/>
    <w:bookmarkStart w:id="17" w:name="X2c7f4cbb729f57d5baadd5a491994b5f78ac970"/>
    <w:p>
      <w:pPr>
        <w:pStyle w:val="Heading2"/>
      </w:pPr>
      <w:r>
        <w:rPr>
          <w:rStyle w:val="SectionNumber"/>
          <w:rFonts w:ascii="Spectral" w:hAnsi="Spectral" w:eastAsia="Spectral"/>
          <w:color w:val="132338"/>
        </w:rPr>
        <w:t xml:space="preserve">3.3</w:t>
      </w:r>
      <w:r>
        <w:rPr>
          <w:rFonts w:ascii="Spectral" w:hAnsi="Spectral" w:eastAsia="Spectral"/>
          <w:color w:val="132338"/>
        </w:rPr>
        <w:tab/>
      </w:r>
      <w:r>
        <w:rPr>
          <w:rFonts w:ascii="Spectral" w:hAnsi="Spectral" w:eastAsia="Spectral"/>
          <w:color w:val="132338"/>
        </w:rPr>
        <w:t xml:space="preserve">2.3 Purpose Limitation</w:t>
      </w:r>
    </w:p>
    <w:p>
      <w:pPr>
        <w:pStyle w:val="FirstParagraph"/>
      </w:pPr>
      <w:r>
        <w:t xml:space="preserve">Each off-device call carries a stated purpose (lookup, recommendation, content-aware analysis) and the consent or policy record is scoped to it; re-use for a new purpose requires a fresh decision. Classroom accounting data (P-7) exists for cost control and is minimised to counts and costs — it is not a pedagogical surveillance feed and is not joined to reading-state detail.</w:t>
      </w:r>
    </w:p>
    <w:bookmarkEnd w:id="17"/>
    <w:bookmarkStart w:id="18" w:name="X459249a3b99eb576567cc81eba356e9bd0748a0"/>
    <w:p>
      <w:pPr>
        <w:pStyle w:val="Heading2"/>
      </w:pPr>
      <w:r>
        <w:rPr>
          <w:rStyle w:val="SectionNumber"/>
          <w:rFonts w:ascii="Spectral" w:hAnsi="Spectral" w:eastAsia="Spectral"/>
          <w:color w:val="132338"/>
        </w:rPr>
        <w:t xml:space="preserve">3.4</w:t>
      </w:r>
      <w:r>
        <w:rPr>
          <w:rFonts w:ascii="Spectral" w:hAnsi="Spectral" w:eastAsia="Spectral"/>
          <w:color w:val="132338"/>
        </w:rPr>
        <w:tab/>
      </w:r>
      <w:r>
        <w:rPr>
          <w:rFonts w:ascii="Spectral" w:hAnsi="Spectral" w:eastAsia="Spectral"/>
          <w:color w:val="132338"/>
        </w:rPr>
        <w:t xml:space="preserve">2.4 Data Minimisation</w:t>
      </w:r>
    </w:p>
    <w:p>
      <w:pPr>
        <w:pStyle w:val="FirstParagraph"/>
      </w:pPr>
      <w:r>
        <w:t xml:space="preserve">The payload for any off-device call is the minimum the purpose requires (CTRL-020), shown exactly in the payload preview before send (CTRL-017). In classrooms the minimisation is structural: the default payload class excludes document content entirely; the host proxies every call so the provider sees the school's account, not per-student provider accounts; and sync blobs are opaque to the host (encrypted client-side, P-3).</w:t>
      </w:r>
    </w:p>
    <w:bookmarkEnd w:id="18"/>
    <w:bookmarkStart w:id="19" w:name="Xd3a16e5829a152990122f860aee931b3bf5f0b6"/>
    <w:p>
      <w:pPr>
        <w:pStyle w:val="Heading2"/>
      </w:pPr>
      <w:r>
        <w:rPr>
          <w:rStyle w:val="SectionNumber"/>
          <w:rFonts w:ascii="Spectral" w:hAnsi="Spectral" w:eastAsia="Spectral"/>
          <w:color w:val="132338"/>
        </w:rPr>
        <w:t xml:space="preserve">3.5</w:t>
      </w:r>
      <w:r>
        <w:rPr>
          <w:rFonts w:ascii="Spectral" w:hAnsi="Spectral" w:eastAsia="Spectral"/>
          <w:color w:val="132338"/>
        </w:rPr>
        <w:tab/>
      </w:r>
      <w:r>
        <w:rPr>
          <w:rFonts w:ascii="Spectral" w:hAnsi="Spectral" w:eastAsia="Spectral"/>
          <w:color w:val="132338"/>
        </w:rPr>
        <w:t xml:space="preserve">2.5 Local-First and LAN-Only Defaults</w:t>
      </w:r>
    </w:p>
    <w:p>
      <w:pPr>
        <w:pStyle w:val="FirstParagraph"/>
      </w:pPr>
      <w:r>
        <w:t xml:space="preserve">The proportionality control of first resort is architecture. Personal: Tier 0 default, everything useful offline. Classroom: host mode off by default (FR-LAN-001), serving only admin-published content (FR-LAN-009), on the local network only (FR-LAN-002); student reading state stays on premises. The common case for both postures exposes zero data to any external party.</w:t>
      </w:r>
    </w:p>
    <w:bookmarkEnd w:id="19"/>
    <w:bookmarkStart w:id="20" w:name="X64946b959712824092b93c6ab5afc6630906655"/>
    <w:p>
      <w:pPr>
        <w:pStyle w:val="Heading2"/>
      </w:pPr>
      <w:r>
        <w:rPr>
          <w:rStyle w:val="SectionNumber"/>
          <w:rFonts w:ascii="Spectral" w:hAnsi="Spectral" w:eastAsia="Spectral"/>
          <w:color w:val="132338"/>
        </w:rPr>
        <w:t xml:space="preserve">3.6</w:t>
      </w:r>
      <w:r>
        <w:rPr>
          <w:rFonts w:ascii="Spectral" w:hAnsi="Spectral" w:eastAsia="Spectral"/>
          <w:color w:val="132338"/>
        </w:rPr>
        <w:tab/>
      </w:r>
      <w:r>
        <w:rPr>
          <w:rFonts w:ascii="Spectral" w:hAnsi="Spectral" w:eastAsia="Spectral"/>
          <w:color w:val="132338"/>
        </w:rPr>
        <w:t xml:space="preserve">2.6 No Training on Anyone's Data</w:t>
      </w:r>
    </w:p>
    <w:p>
      <w:pPr>
        <w:pStyle w:val="FirstParagraph"/>
      </w:pPr>
      <w:r>
        <w:t xml:space="preserve">The provider no-training flag defaults to opt-out; enabling training requires a separate explicit opt-in (CTRL-022). For classrooms this decision belongs to the school administrator and is never reachable by a student.</w:t>
      </w:r>
    </w:p>
    <w:bookmarkEnd w:id="20"/>
    <w:bookmarkStart w:id="21" w:name="Xe18587ef626feb922cc91c216c9e4ebdc392561"/>
    <w:p>
      <w:pPr>
        <w:pStyle w:val="Heading2"/>
      </w:pPr>
      <w:r>
        <w:rPr>
          <w:rStyle w:val="SectionNumber"/>
          <w:rFonts w:ascii="Spectral" w:hAnsi="Spectral" w:eastAsia="Spectral"/>
          <w:color w:val="132338"/>
        </w:rPr>
        <w:t xml:space="preserve">3.7</w:t>
      </w:r>
      <w:r>
        <w:rPr>
          <w:rFonts w:ascii="Spectral" w:hAnsi="Spectral" w:eastAsia="Spectral"/>
          <w:color w:val="132338"/>
        </w:rPr>
        <w:tab/>
      </w:r>
      <w:r>
        <w:rPr>
          <w:rFonts w:ascii="Spectral" w:hAnsi="Spectral" w:eastAsia="Spectral"/>
          <w:color w:val="132338"/>
        </w:rPr>
        <w:t xml:space="preserve">2.7 Jurisdiction Configuration and Cross-Border Awareness</w:t>
      </w:r>
    </w:p>
    <w:p>
      <w:pPr>
        <w:pStyle w:val="FirstParagraph"/>
      </w:pPr>
      <w:r>
        <w:t xml:space="preserve">Where a chosen provider processes data outside the deployment's jurisdiction, the processing region is surfaced before first use (CTRL-021) and shown in the payload preview. The product ships a GDPR-aligned baseline; each school deployment inherits its local Data Protection Act, and the compliance annex for a given market is produced at sale time.</w:t>
      </w:r>
    </w:p>
    <w:p>
      <w:pPr>
        <w:pStyle w:val="BodyText"/>
      </w:pPr>
      <w:r>
        <w:rPr>
          <w:rStyle w:val="VerbatimChar"/>
        </w:rPr>
        <w:t xml:space="preserve">[CONTEXT-GAP: target classroom jurisdictions are an open owner decision (audit finding F-14, due 2026-08-21). Until decided, the lawful-basis mapping in §2.2 and the cross-border-transfer analysis for P-5 remain at baseline depth and no classroom pilot may ship.]</w:t>
      </w:r>
    </w:p>
    <w:p>
      <w:pPr>
        <w:pStyle w:val="BodyText"/>
      </w:pPr>
      <w:r>
        <w:t xml:space="preserve">\newpage</w:t>
      </w:r>
    </w:p>
    <w:bookmarkEnd w:id="21"/>
    <w:bookmarkEnd w:id="22"/>
    <w:bookmarkStart w:id="26" w:name="X5a7a6c785fdf0623e65281a297f22067b50f60a"/>
    <w:p>
      <w:pPr>
        <w:pStyle w:val="Heading1"/>
      </w:pPr>
      <w:r>
        <w:rPr>
          <w:rStyle w:val="SectionNumber"/>
          <w:rFonts w:ascii="Spectral" w:hAnsi="Spectral" w:eastAsia="Spectral"/>
          <w:color w:val="132338"/>
        </w:rPr>
        <w:t xml:space="preserve">4</w:t>
      </w:r>
      <w:r>
        <w:rPr>
          <w:rFonts w:ascii="Spectral" w:hAnsi="Spectral" w:eastAsia="Spectral"/>
          <w:color w:val="132338"/>
        </w:rPr>
        <w:tab/>
      </w:r>
      <w:r>
        <w:rPr>
          <w:rFonts w:ascii="Spectral" w:hAnsi="Spectral" w:eastAsia="Spectral"/>
          <w:color w:val="132338"/>
        </w:rPr>
        <w:t xml:space="preserve">3. Risk Assessment</w:t>
      </w:r>
    </w:p>
    <w:p>
      <w:pPr>
        <w:pStyle w:val="FirstParagraph"/>
      </w:pPr>
      <w:r>
        <w:t xml:space="preserve">Likelihood and impact are rated Low, Medium, or High</w:t>
      </w:r>
      <w:r>
        <w:t xml:space="preserve"> </w:t>
      </w:r>
      <w:r>
        <w:rPr>
          <w:b/>
          <w:bCs/>
        </w:rPr>
        <w:t xml:space="preserve">after</w:t>
      </w:r>
      <w:r>
        <w:t xml:space="preserve"> </w:t>
      </w:r>
      <w:r>
        <w:t xml:space="preserve">the stated mitigation. Personal-posture risks (PR-</w:t>
      </w:r>
      <w:r>
        <w:rPr>
          <w:i/>
          <w:iCs/>
        </w:rPr>
        <w:t xml:space="preserve">) are retained from v1.0; classroom and minors-specific risks (M-</w:t>
      </w:r>
      <w:r>
        <w:t xml:space="preserve">) are new in v2.0. Cross-references: security risks live in</w:t>
      </w:r>
      <w:r>
        <w:t xml:space="preserve"> </w:t>
      </w:r>
      <w:r>
        <w:rPr>
          <w:rStyle w:val="VerbatimChar"/>
        </w:rPr>
        <w:t xml:space="preserve">../risk-register.md</w:t>
      </w:r>
      <w:r>
        <w:t xml:space="preserve"> </w:t>
      </w:r>
      <w:r>
        <w:t xml:space="preserve">(notably RISK-018, RISK-019); controls in the SRS §7 (CTRL-001 through CTRL-024).</w:t>
      </w:r>
    </w:p>
    <w:bookmarkStart w:id="23" w:name="Xedbc2dfc279562073a1de4c47d36b8ebd0a9863"/>
    <w:p>
      <w:pPr>
        <w:pStyle w:val="Heading2"/>
      </w:pPr>
      <w:r>
        <w:rPr>
          <w:rStyle w:val="SectionNumber"/>
          <w:rFonts w:ascii="Spectral" w:hAnsi="Spectral" w:eastAsia="Spectral"/>
          <w:color w:val="132338"/>
        </w:rPr>
        <w:t xml:space="preserve">4.1</w:t>
      </w:r>
      <w:r>
        <w:rPr>
          <w:rFonts w:ascii="Spectral" w:hAnsi="Spectral" w:eastAsia="Spectral"/>
          <w:color w:val="132338"/>
        </w:rPr>
        <w:tab/>
      </w:r>
      <w:r>
        <w:rPr>
          <w:rFonts w:ascii="Spectral" w:hAnsi="Spectral" w:eastAsia="Spectral"/>
          <w:color w:val="132338"/>
        </w:rPr>
        <w:t xml:space="preserve">3.1 Personal-Posture Privacy Risks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cantSplit/>
        </w:trPr>
        <w:tc>
          <w:tcPr>
            <w:shd w:fill="132338"/>
          </w:tcPr>
          <w:p>
            <w:pPr>
              <w:pStyle w:val="Compact"/>
            </w:pPr>
            <w:r>
              <w:rPr>
                <w:rFonts w:ascii="Public Sans" w:hAnsi="Public Sans" w:eastAsia="Public Sans"/>
                <w:b/>
                <w:color w:val="FFFFFF"/>
                <w:sz w:val="17"/>
              </w:rPr>
              <w:t xml:space="preserve">ID</w:t>
            </w:r>
          </w:p>
        </w:tc>
        <w:tc>
          <w:tcPr>
            <w:shd w:fill="132338"/>
          </w:tcPr>
          <w:p>
            <w:pPr>
              <w:pStyle w:val="Compact"/>
            </w:pPr>
            <w:r>
              <w:rPr>
                <w:rFonts w:ascii="Public Sans" w:hAnsi="Public Sans" w:eastAsia="Public Sans"/>
                <w:b/>
                <w:color w:val="FFFFFF"/>
                <w:sz w:val="17"/>
              </w:rPr>
              <w:t xml:space="preserve">Risk</w:t>
            </w:r>
          </w:p>
        </w:tc>
        <w:tc>
          <w:tcPr>
            <w:shd w:fill="132338"/>
          </w:tcPr>
          <w:p>
            <w:pPr>
              <w:pStyle w:val="Compact"/>
            </w:pPr>
            <w:r>
              <w:rPr>
                <w:rFonts w:ascii="Public Sans" w:hAnsi="Public Sans" w:eastAsia="Public Sans"/>
                <w:b/>
                <w:color w:val="FFFFFF"/>
                <w:sz w:val="17"/>
              </w:rPr>
              <w:t xml:space="preserve">L</w:t>
            </w:r>
          </w:p>
        </w:tc>
        <w:tc>
          <w:tcPr>
            <w:shd w:fill="132338"/>
          </w:tcPr>
          <w:p>
            <w:pPr>
              <w:pStyle w:val="Compact"/>
            </w:pPr>
            <w:r>
              <w:rPr>
                <w:rFonts w:ascii="Public Sans" w:hAnsi="Public Sans" w:eastAsia="Public Sans"/>
                <w:b/>
                <w:color w:val="FFFFFF"/>
                <w:sz w:val="17"/>
              </w:rPr>
              <w:t xml:space="preserve">I</w:t>
            </w:r>
          </w:p>
        </w:tc>
        <w:tc>
          <w:tcPr>
            <w:shd w:fill="132338"/>
          </w:tcPr>
          <w:p>
            <w:pPr>
              <w:pStyle w:val="Compact"/>
            </w:pPr>
            <w:r>
              <w:rPr>
                <w:rFonts w:ascii="Public Sans" w:hAnsi="Public Sans" w:eastAsia="Public Sans"/>
                <w:b/>
                <w:color w:val="FFFFFF"/>
                <w:sz w:val="17"/>
              </w:rPr>
              <w:t xml:space="preserve">Mitigation</w:t>
            </w:r>
          </w:p>
        </w:tc>
      </w:tr>
      <w:tr>
        <w:trPr>
          <w:cantSplit/>
        </w:trPr>
        <w:tc>
          <w:tcPr/>
          <w:p>
            <w:pPr>
              <w:pStyle w:val="Compact"/>
            </w:pPr>
            <w:r>
              <w:t xml:space="preserve">PR-1</w:t>
            </w:r>
          </w:p>
        </w:tc>
        <w:tc>
          <w:tcPr/>
          <w:p>
            <w:pPr>
              <w:pStyle w:val="Compact"/>
            </w:pPr>
            <w:r>
              <w:t xml:space="preserve">Inadvertent content upload — user sends document content off-device without intending to</w:t>
            </w:r>
          </w:p>
        </w:tc>
        <w:tc>
          <w:tcPr/>
          <w:p>
            <w:pPr>
              <w:pStyle w:val="Compact"/>
            </w:pPr>
            <w:r>
              <w:t xml:space="preserve">Low</w:t>
            </w:r>
          </w:p>
        </w:tc>
        <w:tc>
          <w:tcPr/>
          <w:p>
            <w:pPr>
              <w:pStyle w:val="Compact"/>
            </w:pPr>
            <w:r>
              <w:t xml:space="preserve">High</w:t>
            </w:r>
          </w:p>
        </w:tc>
        <w:tc>
          <w:tcPr/>
          <w:p>
            <w:pPr>
              <w:pStyle w:val="Compact"/>
            </w:pPr>
            <w:r>
              <w:t xml:space="preserve">Tier 0 default; metadata-only cloud default; mandatory payload preview with exact content, fields, destination (CTRL-017); per-tier consent (CTRL-019)</w:t>
            </w:r>
          </w:p>
        </w:tc>
      </w:tr>
      <w:tr>
        <w:trPr>
          <w:cantSplit/>
        </w:trPr>
        <w:tc>
          <w:tcPr/>
          <w:p>
            <w:pPr>
              <w:pStyle w:val="Compact"/>
            </w:pPr>
            <w:r>
              <w:t xml:space="preserve">PR-2</w:t>
            </w:r>
          </w:p>
        </w:tc>
        <w:tc>
          <w:tcPr/>
          <w:p>
            <w:pPr>
              <w:pStyle w:val="Compact"/>
            </w:pPr>
            <w:r>
              <w:t xml:space="preserve">Provider key exposure via logs, settings, database, or crash reports</w:t>
            </w:r>
          </w:p>
        </w:tc>
        <w:tc>
          <w:tcPr/>
          <w:p>
            <w:pPr>
              <w:pStyle w:val="Compact"/>
            </w:pPr>
            <w:r>
              <w:t xml:space="preserve">Low</w:t>
            </w:r>
          </w:p>
        </w:tc>
        <w:tc>
          <w:tcPr/>
          <w:p>
            <w:pPr>
              <w:pStyle w:val="Compact"/>
            </w:pPr>
            <w:r>
              <w:t xml:space="preserve">High</w:t>
            </w:r>
          </w:p>
        </w:tc>
        <w:tc>
          <w:tcPr/>
          <w:p>
            <w:pPr>
              <w:pStyle w:val="Compact"/>
            </w:pPr>
            <w:r>
              <w:t xml:space="preserve">OS credential storage only (CTRL-001); redaction (CTRL-002); deletion on provider removal (CTRL-003); excluded from exports and backups</w:t>
            </w:r>
          </w:p>
        </w:tc>
      </w:tr>
      <w:tr>
        <w:trPr>
          <w:cantSplit/>
        </w:trPr>
        <w:tc>
          <w:tcPr/>
          <w:p>
            <w:pPr>
              <w:pStyle w:val="Compact"/>
            </w:pPr>
            <w:r>
              <w:t xml:space="preserve">PR-3</w:t>
            </w:r>
          </w:p>
        </w:tc>
        <w:tc>
          <w:tcPr/>
          <w:p>
            <w:pPr>
              <w:pStyle w:val="Compact"/>
            </w:pPr>
            <w:r>
              <w:t xml:space="preserve">AI history retention outliving its purpose</w:t>
            </w:r>
          </w:p>
        </w:tc>
        <w:tc>
          <w:tcPr/>
          <w:p>
            <w:pPr>
              <w:pStyle w:val="Compact"/>
            </w:pPr>
            <w:r>
              <w:t xml:space="preserve">Medium</w:t>
            </w:r>
          </w:p>
        </w:tc>
        <w:tc>
          <w:tcPr/>
          <w:p>
            <w:pPr>
              <w:pStyle w:val="Compact"/>
            </w:pPr>
            <w:r>
              <w:t xml:space="preserve">Medium</w:t>
            </w:r>
          </w:p>
        </w:tc>
        <w:tc>
          <w:tcPr/>
          <w:p>
            <w:pPr>
              <w:pStyle w:val="Compact"/>
            </w:pPr>
            <w:r>
              <w:t xml:space="preserve">Scoped erasure per document or corpus (CTRL-023); local audit of off-device calls (CTRL-018)</w:t>
            </w:r>
          </w:p>
        </w:tc>
      </w:tr>
      <w:tr>
        <w:trPr>
          <w:cantSplit/>
        </w:trPr>
        <w:tc>
          <w:tcPr/>
          <w:p>
            <w:pPr>
              <w:pStyle w:val="Compact"/>
            </w:pPr>
            <w:r>
              <w:t xml:space="preserve">PR-4</w:t>
            </w:r>
          </w:p>
        </w:tc>
        <w:tc>
          <w:tcPr/>
          <w:p>
            <w:pPr>
              <w:pStyle w:val="Compact"/>
            </w:pPr>
            <w:r>
              <w:t xml:space="preserve">Embeddings encode sensitive content</w:t>
            </w:r>
          </w:p>
        </w:tc>
        <w:tc>
          <w:tcPr/>
          <w:p>
            <w:pPr>
              <w:pStyle w:val="Compact"/>
            </w:pPr>
            <w:r>
              <w:t xml:space="preserve">Medium</w:t>
            </w:r>
          </w:p>
        </w:tc>
        <w:tc>
          <w:tcPr/>
          <w:p>
            <w:pPr>
              <w:pStyle w:val="Compact"/>
            </w:pPr>
            <w:r>
              <w:t xml:space="preserve">Medium</w:t>
            </w:r>
          </w:p>
        </w:tc>
        <w:tc>
          <w:tcPr/>
          <w:p>
            <w:pPr>
              <w:pStyle w:val="Compact"/>
            </w:pPr>
            <w:r>
              <w:t xml:space="preserve">Local sidecar storage (ADR-0005); erasure removes derived vectors with their source scope (CTRL-023); Tiers 0/3 need no off-device call</w:t>
            </w:r>
          </w:p>
        </w:tc>
      </w:tr>
      <w:tr>
        <w:trPr>
          <w:cantSplit/>
        </w:trPr>
        <w:tc>
          <w:tcPr/>
          <w:p>
            <w:pPr>
              <w:pStyle w:val="Compact"/>
            </w:pPr>
            <w:r>
              <w:t xml:space="preserve">PR-5</w:t>
            </w:r>
          </w:p>
        </w:tc>
        <w:tc>
          <w:tcPr/>
          <w:p>
            <w:pPr>
              <w:pStyle w:val="Compact"/>
            </w:pPr>
            <w:r>
              <w:t xml:space="preserve">Cross-border processing the user did not expect</w:t>
            </w:r>
          </w:p>
        </w:tc>
        <w:tc>
          <w:tcPr/>
          <w:p>
            <w:pPr>
              <w:pStyle w:val="Compact"/>
            </w:pPr>
            <w:r>
              <w:t xml:space="preserve">Low</w:t>
            </w:r>
          </w:p>
        </w:tc>
        <w:tc>
          <w:tcPr/>
          <w:p>
            <w:pPr>
              <w:pStyle w:val="Compact"/>
            </w:pPr>
            <w:r>
              <w:t xml:space="preserve">Medium</w:t>
            </w:r>
          </w:p>
        </w:tc>
        <w:tc>
          <w:tcPr/>
          <w:p>
            <w:pPr>
              <w:pStyle w:val="Compact"/>
            </w:pPr>
            <w:r>
              <w:t xml:space="preserve">Region surfaced before first provider use (CTRL-021); destination shown in payload preview</w:t>
            </w:r>
          </w:p>
        </w:tc>
      </w:tr>
    </w:tbl>
    <w:bookmarkEnd w:id="23"/>
    <w:bookmarkStart w:id="24" w:name="X5f99bef52d2b399acba2f57b33ff485ff9bce46"/>
    <w:p>
      <w:pPr>
        <w:pStyle w:val="Heading2"/>
      </w:pPr>
      <w:r>
        <w:rPr>
          <w:rStyle w:val="SectionNumber"/>
          <w:rFonts w:ascii="Spectral" w:hAnsi="Spectral" w:eastAsia="Spectral"/>
          <w:color w:val="132338"/>
        </w:rPr>
        <w:t xml:space="preserve">4.2</w:t>
      </w:r>
      <w:r>
        <w:rPr>
          <w:rFonts w:ascii="Spectral" w:hAnsi="Spectral" w:eastAsia="Spectral"/>
          <w:color w:val="132338"/>
        </w:rPr>
        <w:tab/>
      </w:r>
      <w:r>
        <w:rPr>
          <w:rFonts w:ascii="Spectral" w:hAnsi="Spectral" w:eastAsia="Spectral"/>
          <w:color w:val="132338"/>
        </w:rPr>
        <w:t xml:space="preserve">3.2 Classroom and Minors-Specific Risks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cantSplit/>
        </w:trPr>
        <w:tc>
          <w:tcPr>
            <w:shd w:fill="132338"/>
          </w:tcPr>
          <w:p>
            <w:pPr>
              <w:pStyle w:val="Compact"/>
            </w:pPr>
            <w:r>
              <w:rPr>
                <w:rFonts w:ascii="Public Sans" w:hAnsi="Public Sans" w:eastAsia="Public Sans"/>
                <w:b/>
                <w:color w:val="FFFFFF"/>
                <w:sz w:val="17"/>
              </w:rPr>
              <w:t xml:space="preserve">ID</w:t>
            </w:r>
          </w:p>
        </w:tc>
        <w:tc>
          <w:tcPr>
            <w:shd w:fill="132338"/>
          </w:tcPr>
          <w:p>
            <w:pPr>
              <w:pStyle w:val="Compact"/>
            </w:pPr>
            <w:r>
              <w:rPr>
                <w:rFonts w:ascii="Public Sans" w:hAnsi="Public Sans" w:eastAsia="Public Sans"/>
                <w:b/>
                <w:color w:val="FFFFFF"/>
                <w:sz w:val="17"/>
              </w:rPr>
              <w:t xml:space="preserve">Risk</w:t>
            </w:r>
          </w:p>
        </w:tc>
        <w:tc>
          <w:tcPr>
            <w:shd w:fill="132338"/>
          </w:tcPr>
          <w:p>
            <w:pPr>
              <w:pStyle w:val="Compact"/>
            </w:pPr>
            <w:r>
              <w:rPr>
                <w:rFonts w:ascii="Public Sans" w:hAnsi="Public Sans" w:eastAsia="Public Sans"/>
                <w:b/>
                <w:color w:val="FFFFFF"/>
                <w:sz w:val="17"/>
              </w:rPr>
              <w:t xml:space="preserve">L</w:t>
            </w:r>
          </w:p>
        </w:tc>
        <w:tc>
          <w:tcPr>
            <w:shd w:fill="132338"/>
          </w:tcPr>
          <w:p>
            <w:pPr>
              <w:pStyle w:val="Compact"/>
            </w:pPr>
            <w:r>
              <w:rPr>
                <w:rFonts w:ascii="Public Sans" w:hAnsi="Public Sans" w:eastAsia="Public Sans"/>
                <w:b/>
                <w:color w:val="FFFFFF"/>
                <w:sz w:val="17"/>
              </w:rPr>
              <w:t xml:space="preserve">I</w:t>
            </w:r>
          </w:p>
        </w:tc>
        <w:tc>
          <w:tcPr>
            <w:shd w:fill="132338"/>
          </w:tcPr>
          <w:p>
            <w:pPr>
              <w:pStyle w:val="Compact"/>
            </w:pPr>
            <w:r>
              <w:rPr>
                <w:rFonts w:ascii="Public Sans" w:hAnsi="Public Sans" w:eastAsia="Public Sans"/>
                <w:b/>
                <w:color w:val="FFFFFF"/>
                <w:sz w:val="17"/>
              </w:rPr>
              <w:t xml:space="preserve">Mitigation</w:t>
            </w:r>
          </w:p>
        </w:tc>
      </w:tr>
      <w:tr>
        <w:trPr>
          <w:cantSplit/>
        </w:trPr>
        <w:tc>
          <w:tcPr/>
          <w:p>
            <w:pPr>
              <w:pStyle w:val="Compact"/>
            </w:pPr>
            <w:r>
              <w:t xml:space="preserve">M-1</w:t>
            </w:r>
          </w:p>
        </w:tc>
        <w:tc>
          <w:tcPr/>
          <w:p>
            <w:pPr>
              <w:pStyle w:val="Compact"/>
            </w:pPr>
            <w:r>
              <w:t xml:space="preserve">Teacher dashboards become covert surveillance of minors' reading behaviour</w:t>
            </w:r>
          </w:p>
        </w:tc>
        <w:tc>
          <w:tcPr/>
          <w:p>
            <w:pPr>
              <w:pStyle w:val="Compact"/>
            </w:pPr>
            <w:r>
              <w:t xml:space="preserve">Medium</w:t>
            </w:r>
          </w:p>
        </w:tc>
        <w:tc>
          <w:tcPr/>
          <w:p>
            <w:pPr>
              <w:pStyle w:val="Compact"/>
            </w:pPr>
            <w:r>
              <w:t xml:space="preserve">High</w:t>
            </w:r>
          </w:p>
        </w:tc>
        <w:tc>
          <w:tcPr/>
          <w:p>
            <w:pPr>
              <w:pStyle w:val="Compact"/>
            </w:pPr>
            <w:r>
              <w:t xml:space="preserve">Aggregate-only dashboard design with per-student visibility disclosed to the students it covers (FR-CLIENT-012); accounting data minimised to counts (P-7) and not joined to reading detail; audit finding review at each classroom-feature change</w:t>
            </w:r>
          </w:p>
        </w:tc>
      </w:tr>
      <w:tr>
        <w:trPr>
          <w:cantSplit/>
        </w:trPr>
        <w:tc>
          <w:tcPr/>
          <w:p>
            <w:pPr>
              <w:pStyle w:val="Compact"/>
            </w:pPr>
            <w:r>
              <w:t xml:space="preserve">M-2</w:t>
            </w:r>
          </w:p>
        </w:tc>
        <w:tc>
          <w:tcPr/>
          <w:p>
            <w:pPr>
              <w:pStyle w:val="Compact"/>
            </w:pPr>
            <w:r>
              <w:t xml:space="preserve">A student's book content or identifying query text reaches a third-party AI provider</w:t>
            </w:r>
          </w:p>
        </w:tc>
        <w:tc>
          <w:tcPr/>
          <w:p>
            <w:pPr>
              <w:pStyle w:val="Compact"/>
            </w:pPr>
            <w:r>
              <w:t xml:space="preserve">Low</w:t>
            </w:r>
          </w:p>
        </w:tc>
        <w:tc>
          <w:tcPr/>
          <w:p>
            <w:pPr>
              <w:pStyle w:val="Compact"/>
            </w:pPr>
            <w:r>
              <w:t xml:space="preserve">High</w:t>
            </w:r>
          </w:p>
        </w:tc>
        <w:tc>
          <w:tcPr/>
          <w:p>
            <w:pPr>
              <w:pStyle w:val="Compact"/>
            </w:pPr>
            <w:r>
              <w:t xml:space="preserve">Metadata-only class default with content-aware gated on the administrator (FR-ADMIN-006); student-visible tier label and payload preview before every send (FR-ADMIN-007); host proxy hides student identity behind the school account (FR-ADMIN-005); no-training default (CTRL-022)</w:t>
            </w:r>
          </w:p>
        </w:tc>
      </w:tr>
      <w:tr>
        <w:trPr>
          <w:cantSplit/>
        </w:trPr>
        <w:tc>
          <w:tcPr/>
          <w:p>
            <w:pPr>
              <w:pStyle w:val="Compact"/>
            </w:pPr>
            <w:r>
              <w:t xml:space="preserve">M-3</w:t>
            </w:r>
          </w:p>
        </w:tc>
        <w:tc>
          <w:tcPr/>
          <w:p>
            <w:pPr>
              <w:pStyle w:val="Compact"/>
            </w:pPr>
            <w:r>
              <w:t xml:space="preserve">Student AI query history accumulates into a behavioural profile</w:t>
            </w:r>
          </w:p>
        </w:tc>
        <w:tc>
          <w:tcPr/>
          <w:p>
            <w:pPr>
              <w:pStyle w:val="Compact"/>
            </w:pPr>
            <w:r>
              <w:t xml:space="preserve">Medium</w:t>
            </w:r>
          </w:p>
        </w:tc>
        <w:tc>
          <w:tcPr/>
          <w:p>
            <w:pPr>
              <w:pStyle w:val="Compact"/>
            </w:pPr>
            <w:r>
              <w:t xml:space="preserve">Medium</w:t>
            </w:r>
          </w:p>
        </w:tc>
        <w:tc>
          <w:tcPr/>
          <w:p>
            <w:pPr>
              <w:pStyle w:val="Compact"/>
            </w:pPr>
            <w:r>
              <w:t xml:space="preserve">Local per-profile history; student self-deletion (FR-ADMIN-012); institution-wide purge (FR-ADMIN-013); quota data minimised (P-7)</w:t>
            </w:r>
          </w:p>
        </w:tc>
      </w:tr>
      <w:tr>
        <w:trPr>
          <w:cantSplit/>
        </w:trPr>
        <w:tc>
          <w:tcPr/>
          <w:p>
            <w:pPr>
              <w:pStyle w:val="Compact"/>
            </w:pPr>
            <w:r>
              <w:t xml:space="preserve">M-4</w:t>
            </w:r>
          </w:p>
        </w:tc>
        <w:tc>
          <w:tcPr/>
          <w:p>
            <w:pPr>
              <w:pStyle w:val="Compact"/>
            </w:pPr>
            <w:r>
              <w:t xml:space="preserve">Peer exposure: one student sees another's reading state, notes, or AI history on shared machines</w:t>
            </w:r>
          </w:p>
        </w:tc>
        <w:tc>
          <w:tcPr/>
          <w:p>
            <w:pPr>
              <w:pStyle w:val="Compact"/>
            </w:pPr>
            <w:r>
              <w:t xml:space="preserve">Low</w:t>
            </w:r>
          </w:p>
        </w:tc>
        <w:tc>
          <w:tcPr/>
          <w:p>
            <w:pPr>
              <w:pStyle w:val="Compact"/>
            </w:pPr>
            <w:r>
              <w:t xml:space="preserve">High</w:t>
            </w:r>
          </w:p>
        </w:tc>
        <w:tc>
          <w:tcPr/>
          <w:p>
            <w:pPr>
              <w:pStyle w:val="Compact"/>
            </w:pPr>
            <w:r>
              <w:t xml:space="preserve">Per-profile private databases and role scoping (FR-CLIENT-002, FR-CLIENT-003, FR-CLIENT-008); profile isolation tests in the codebase</w:t>
            </w:r>
          </w:p>
        </w:tc>
      </w:tr>
      <w:tr>
        <w:trPr>
          <w:cantSplit/>
        </w:trPr>
        <w:tc>
          <w:tcPr/>
          <w:p>
            <w:pPr>
              <w:pStyle w:val="Compact"/>
            </w:pPr>
            <w:r>
              <w:t xml:space="preserve">M-5</w:t>
            </w:r>
          </w:p>
        </w:tc>
        <w:tc>
          <w:tcPr/>
          <w:p>
            <w:pPr>
              <w:pStyle w:val="Compact"/>
            </w:pPr>
            <w:r>
              <w:t xml:space="preserve">Host operator (school IT) reads student sync data</w:t>
            </w:r>
          </w:p>
        </w:tc>
        <w:tc>
          <w:tcPr/>
          <w:p>
            <w:pPr>
              <w:pStyle w:val="Compact"/>
            </w:pPr>
            <w:r>
              <w:t xml:space="preserve">Low</w:t>
            </w:r>
          </w:p>
        </w:tc>
        <w:tc>
          <w:tcPr/>
          <w:p>
            <w:pPr>
              <w:pStyle w:val="Compact"/>
            </w:pPr>
            <w:r>
              <w:t xml:space="preserve">Medium</w:t>
            </w:r>
          </w:p>
        </w:tc>
        <w:tc>
          <w:tcPr/>
          <w:p>
            <w:pPr>
              <w:pStyle w:val="Compact"/>
            </w:pPr>
            <w:r>
              <w:t xml:space="preserve">Sync blobs are encrypted client-side and opaque to the host (FR-CLIENT-006 implementation); host audit records access attempts (CTRL-018)</w:t>
            </w:r>
          </w:p>
        </w:tc>
      </w:tr>
      <w:tr>
        <w:trPr>
          <w:cantSplit/>
        </w:trPr>
        <w:tc>
          <w:tcPr/>
          <w:p>
            <w:pPr>
              <w:pStyle w:val="Compact"/>
            </w:pPr>
            <w:r>
              <w:t xml:space="preserve">M-6</w:t>
            </w:r>
          </w:p>
        </w:tc>
        <w:tc>
          <w:tcPr/>
          <w:p>
            <w:pPr>
              <w:pStyle w:val="Compact"/>
            </w:pPr>
            <w:r>
              <w:t xml:space="preserve">LAN adversary intercepts or spoofs the host (student data in transit; fake host harvesting credentials)</w:t>
            </w:r>
          </w:p>
        </w:tc>
        <w:tc>
          <w:tcPr/>
          <w:p>
            <w:pPr>
              <w:pStyle w:val="Compact"/>
            </w:pPr>
            <w:r>
              <w:t xml:space="preserve">Medium</w:t>
            </w:r>
          </w:p>
        </w:tc>
        <w:tc>
          <w:tcPr/>
          <w:p>
            <w:pPr>
              <w:pStyle w:val="Compact"/>
            </w:pPr>
            <w:r>
              <w:t xml:space="preserve">High</w:t>
            </w:r>
          </w:p>
        </w:tc>
        <w:tc>
          <w:tcPr/>
          <w:p>
            <w:pPr>
              <w:pStyle w:val="Compact"/>
            </w:pPr>
            <w:r>
              <w:t xml:space="preserve">TLS with certificate provisioning and trust-on-first-use fingerprint verification (FR-LAN-004); fingerprint re-approval on change; adversarial verification scheduled Phase 19 (RISK-018)</w:t>
            </w:r>
          </w:p>
        </w:tc>
      </w:tr>
      <w:tr>
        <w:trPr>
          <w:cantSplit/>
        </w:trPr>
        <w:tc>
          <w:tcPr/>
          <w:p>
            <w:pPr>
              <w:pStyle w:val="Compact"/>
            </w:pPr>
            <w:r>
              <w:t xml:space="preserve">M-7</w:t>
            </w:r>
          </w:p>
        </w:tc>
        <w:tc>
          <w:tcPr/>
          <w:p>
            <w:pPr>
              <w:pStyle w:val="Compact"/>
            </w:pPr>
            <w:r>
              <w:t xml:space="preserve">Revocation or device loss strands or exposes a student's local notes</w:t>
            </w:r>
          </w:p>
        </w:tc>
        <w:tc>
          <w:tcPr/>
          <w:p>
            <w:pPr>
              <w:pStyle w:val="Compact"/>
            </w:pPr>
            <w:r>
              <w:t xml:space="preserve">Low</w:t>
            </w:r>
          </w:p>
        </w:tc>
        <w:tc>
          <w:tcPr/>
          <w:p>
            <w:pPr>
              <w:pStyle w:val="Compact"/>
            </w:pPr>
            <w:r>
              <w:t xml:space="preserve">Medium</w:t>
            </w:r>
          </w:p>
        </w:tc>
        <w:tc>
          <w:tcPr/>
          <w:p>
            <w:pPr>
              <w:pStyle w:val="Compact"/>
            </w:pPr>
            <w:r>
              <w:t xml:space="preserve">Revocation removes host access but preserves local notes (FR-CLIENT-009); at-rest encryption option arrives with Phase 19 (trigger DT-1, §6) — until then local notes rely on OS account security, a stated limitation</w:t>
            </w:r>
          </w:p>
        </w:tc>
      </w:tr>
      <w:tr>
        <w:trPr>
          <w:cantSplit/>
        </w:trPr>
        <w:tc>
          <w:tcPr/>
          <w:p>
            <w:pPr>
              <w:pStyle w:val="Compact"/>
            </w:pPr>
            <w:r>
              <w:t xml:space="preserve">M-8</w:t>
            </w:r>
          </w:p>
        </w:tc>
        <w:tc>
          <w:tcPr/>
          <w:p>
            <w:pPr>
              <w:pStyle w:val="Compact"/>
            </w:pPr>
            <w:r>
              <w:t xml:space="preserve">Quota/audit records themselves over-collect (per-student logs become a secondary surveillance channel)</w:t>
            </w:r>
          </w:p>
        </w:tc>
        <w:tc>
          <w:tcPr/>
          <w:p>
            <w:pPr>
              <w:pStyle w:val="Compact"/>
            </w:pPr>
            <w:r>
              <w:t xml:space="preserve">Medium</w:t>
            </w:r>
          </w:p>
        </w:tc>
        <w:tc>
          <w:tcPr/>
          <w:p>
            <w:pPr>
              <w:pStyle w:val="Compact"/>
            </w:pPr>
            <w:r>
              <w:t xml:space="preserve">Medium</w:t>
            </w:r>
          </w:p>
        </w:tc>
        <w:tc>
          <w:tcPr/>
          <w:p>
            <w:pPr>
              <w:pStyle w:val="Compact"/>
            </w:pPr>
            <w:r>
              <w:t xml:space="preserve">Audit captures security events and counts, not reading content; export is admin-scoped and audited; retention governed by the school's controller policy, with purge available (FR-ADMIN-013)</w:t>
            </w:r>
          </w:p>
        </w:tc>
      </w:tr>
    </w:tbl>
    <w:bookmarkEnd w:id="24"/>
    <w:bookmarkStart w:id="25" w:name="X0bf8b0adc387e2da1b551cb7a14adb945a4b091"/>
    <w:p>
      <w:pPr>
        <w:pStyle w:val="Heading2"/>
      </w:pPr>
      <w:r>
        <w:rPr>
          <w:rStyle w:val="SectionNumber"/>
          <w:rFonts w:ascii="Spectral" w:hAnsi="Spectral" w:eastAsia="Spectral"/>
          <w:color w:val="132338"/>
        </w:rPr>
        <w:t xml:space="preserve">4.3</w:t>
      </w:r>
      <w:r>
        <w:rPr>
          <w:rFonts w:ascii="Spectral" w:hAnsi="Spectral" w:eastAsia="Spectral"/>
          <w:color w:val="132338"/>
        </w:rPr>
        <w:tab/>
      </w:r>
      <w:r>
        <w:rPr>
          <w:rFonts w:ascii="Spectral" w:hAnsi="Spectral" w:eastAsia="Spectral"/>
          <w:color w:val="132338"/>
        </w:rPr>
        <w:t xml:space="preserve">3.3 Residual Risk Statement</w:t>
      </w:r>
    </w:p>
    <w:p>
      <w:pPr>
        <w:pStyle w:val="Compact"/>
        <w:numPr>
          <w:ilvl w:val="0"/>
          <w:numId w:val="1003"/>
        </w:numPr>
      </w:pPr>
      <w:r>
        <w:rPr>
          <w:b/>
          <w:bCs/>
        </w:rPr>
        <w:t xml:space="preserve">Personal posture:</w:t>
      </w:r>
      <w:r>
        <w:t xml:space="preserve"> </w:t>
      </w:r>
      <w:r>
        <w:t xml:space="preserve">residual risk is</w:t>
      </w:r>
      <w:r>
        <w:t xml:space="preserve"> </w:t>
      </w:r>
      <w:r>
        <w:rPr>
          <w:b/>
          <w:bCs/>
        </w:rPr>
        <w:t xml:space="preserve">Low</w:t>
      </w:r>
      <w:r>
        <w:t xml:space="preserve"> </w:t>
      </w:r>
      <w:r>
        <w:t xml:space="preserve">for local and local-model operation (nothing leaves the device) and</w:t>
      </w:r>
      <w:r>
        <w:t xml:space="preserve"> </w:t>
      </w:r>
      <w:r>
        <w:rPr>
          <w:b/>
          <w:bCs/>
        </w:rPr>
        <w:t xml:space="preserve">Low-to-Medium</w:t>
      </w:r>
      <w:r>
        <w:t xml:space="preserve"> </w:t>
      </w:r>
      <w:r>
        <w:t xml:space="preserve">for opt-in cloud tiers, held there by default-deny, the payload-preview consent gate, the single egress chokepoint, scoped erasure, and per-transmission audit. The dominant variable is the user's own confirmed choice, made visible and reversible.</w:t>
      </w:r>
    </w:p>
    <w:p>
      <w:pPr>
        <w:pStyle w:val="Compact"/>
        <w:numPr>
          <w:ilvl w:val="0"/>
          <w:numId w:val="1003"/>
        </w:numPr>
      </w:pPr>
      <w:r>
        <w:rPr>
          <w:b/>
          <w:bCs/>
        </w:rPr>
        <w:t xml:space="preserve">Classroom posture:</w:t>
      </w:r>
      <w:r>
        <w:t xml:space="preserve"> </w:t>
      </w:r>
      <w:r>
        <w:t xml:space="preserve">residual risk is</w:t>
      </w:r>
      <w:r>
        <w:t xml:space="preserve"> </w:t>
      </w:r>
      <w:r>
        <w:rPr>
          <w:b/>
          <w:bCs/>
        </w:rPr>
        <w:t xml:space="preserve">Medium</w:t>
      </w:r>
      <w:r>
        <w:t xml:space="preserve"> </w:t>
      </w:r>
      <w:r>
        <w:t xml:space="preserve">overall and concentrated in M-1, M-2, and M-6. The design mitigations are implemented in code (Phases 16–18, with DPIA screening built into the school AI flow — "feat: screen school ai dpia"); what remains is operational and jurisdictional: Phase 19 adversarial verification of the LAN surface, the at-rest encryption option (DT-1), and the school-side controller obligations (transparency notices, any parental-consent requirement) that Ogma can support but not perform. Classroom residual risk cannot be finally accepted until the target-jurisdiction decision (§2.7) closes.</w:t>
      </w:r>
    </w:p>
    <w:p>
      <w:pPr>
        <w:pStyle w:val="Compact"/>
        <w:numPr>
          <w:ilvl w:val="0"/>
          <w:numId w:val="1003"/>
        </w:numPr>
      </w:pPr>
      <w:r>
        <w:t xml:space="preserve">No processing in either posture meets the GDPR-aligned threshold of "high residual risk after mitigation" that would mandate prior consultation with a supervisory authority — provided the required actions in §5 are completed before the affected features ship.</w:t>
      </w:r>
    </w:p>
    <w:p>
      <w:pPr>
        <w:pStyle w:val="FirstParagraph"/>
      </w:pPr>
      <w:r>
        <w:t xml:space="preserve">\newpage</w:t>
      </w:r>
    </w:p>
    <w:bookmarkEnd w:id="25"/>
    <w:bookmarkEnd w:id="26"/>
    <w:bookmarkStart w:id="29" w:name="Xfaa173694d6c4a72a5cdc4a3eca0e17e68ed2e4"/>
    <w:p>
      <w:pPr>
        <w:pStyle w:val="Heading1"/>
      </w:pPr>
      <w:r>
        <w:rPr>
          <w:rStyle w:val="SectionNumber"/>
          <w:rFonts w:ascii="Spectral" w:hAnsi="Spectral" w:eastAsia="Spectral"/>
          <w:color w:val="132338"/>
        </w:rPr>
        <w:t xml:space="preserve">5</w:t>
      </w:r>
      <w:r>
        <w:rPr>
          <w:rFonts w:ascii="Spectral" w:hAnsi="Spectral" w:eastAsia="Spectral"/>
          <w:color w:val="132338"/>
        </w:rPr>
        <w:tab/>
      </w:r>
      <w:r>
        <w:rPr>
          <w:rFonts w:ascii="Spectral" w:hAnsi="Spectral" w:eastAsia="Spectral"/>
          <w:color w:val="132338"/>
        </w:rPr>
        <w:t xml:space="preserve">4. Data Subject Rights</w:t>
      </w:r>
    </w:p>
    <w:p>
      <w:pPr>
        <w:pStyle w:val="FirstParagraph"/>
      </w:pPr>
      <w:r>
        <w:t xml:space="preserve">Rights are implemented as user-operable controls, not policy statements. Section 4.1 covers the personal posture (the user is their own data subject); §4.2 covers students and teachers in classroom deployments, where the school as controller answers rights requests and Ogma provides the mechanisms.</w:t>
      </w:r>
    </w:p>
    <w:bookmarkStart w:id="27" w:name="X0ebfffe802d838a744566009e8ceb55882340ca"/>
    <w:p>
      <w:pPr>
        <w:pStyle w:val="Heading2"/>
      </w:pPr>
      <w:r>
        <w:rPr>
          <w:rStyle w:val="SectionNumber"/>
          <w:rFonts w:ascii="Spectral" w:hAnsi="Spectral" w:eastAsia="Spectral"/>
          <w:color w:val="132338"/>
        </w:rPr>
        <w:t xml:space="preserve">5.1</w:t>
      </w:r>
      <w:r>
        <w:rPr>
          <w:rFonts w:ascii="Spectral" w:hAnsi="Spectral" w:eastAsia="Spectral"/>
          <w:color w:val="132338"/>
        </w:rPr>
        <w:tab/>
      </w:r>
      <w:r>
        <w:rPr>
          <w:rFonts w:ascii="Spectral" w:hAnsi="Spectral" w:eastAsia="Spectral"/>
          <w:color w:val="132338"/>
        </w:rPr>
        <w:t xml:space="preserve">4.1 Personal Posture</w:t>
      </w:r>
    </w:p>
    <w:p>
      <w:pPr>
        <w:pStyle w:val="Compact"/>
        <w:numPr>
          <w:ilvl w:val="0"/>
          <w:numId w:val="1004"/>
        </w:numPr>
      </w:pPr>
      <w:r>
        <w:rPr>
          <w:b/>
          <w:bCs/>
        </w:rPr>
        <w:t xml:space="preserve">Erasure:</w:t>
      </w:r>
      <w:r>
        <w:t xml:space="preserve"> </w:t>
      </w:r>
      <w:r>
        <w:t xml:space="preserve">delete AI query history and derived embeddings per document or whole corpus in one operation, including cached provider responses; the provider's own deletion path is surfaced for anything sent off-device (CTRL-023).</w:t>
      </w:r>
    </w:p>
    <w:p>
      <w:pPr>
        <w:pStyle w:val="Compact"/>
        <w:numPr>
          <w:ilvl w:val="0"/>
          <w:numId w:val="1004"/>
        </w:numPr>
      </w:pPr>
      <w:r>
        <w:rPr>
          <w:b/>
          <w:bCs/>
        </w:rPr>
        <w:t xml:space="preserve">Portability:</w:t>
      </w:r>
      <w:r>
        <w:t xml:space="preserve"> </w:t>
      </w:r>
      <w:r>
        <w:t xml:space="preserve">export catalogue, annotations, and metadata in documented open formats via the portable bundle of catalogue database plus sidecar (ADR-0005, NFR-PROD-009); exports never contain provider secrets (CTRL-015).</w:t>
      </w:r>
    </w:p>
    <w:p>
      <w:pPr>
        <w:pStyle w:val="Compact"/>
        <w:numPr>
          <w:ilvl w:val="0"/>
          <w:numId w:val="1004"/>
        </w:numPr>
      </w:pPr>
      <w:r>
        <w:rPr>
          <w:b/>
          <w:bCs/>
        </w:rPr>
        <w:t xml:space="preserve">Withdrawal:</w:t>
      </w:r>
      <w:r>
        <w:t xml:space="preserve"> </w:t>
      </w:r>
      <w:r>
        <w:t xml:space="preserve">return to Tier 0 at any time; removing a provider deletes its stored key (CTRL-003). Withdrawal stops future transmission immediately and pairs with erasure for past data.</w:t>
      </w:r>
    </w:p>
    <w:p>
      <w:pPr>
        <w:pStyle w:val="Compact"/>
        <w:numPr>
          <w:ilvl w:val="0"/>
          <w:numId w:val="1004"/>
        </w:numPr>
      </w:pPr>
      <w:r>
        <w:rPr>
          <w:b/>
          <w:bCs/>
        </w:rPr>
        <w:t xml:space="preserve">Inspection:</w:t>
      </w:r>
      <w:r>
        <w:t xml:space="preserve"> </w:t>
      </w:r>
      <w:r>
        <w:t xml:space="preserve">the payload preview before every send (CTRL-017, CTRL-020) and the exportable local audit log of every sensitive action (CTRL-018) make each disclosure visible and refusable in advance and reviewable afterwards.</w:t>
      </w:r>
    </w:p>
    <w:bookmarkEnd w:id="27"/>
    <w:bookmarkStart w:id="28" w:name="Xae810e33036bc8bb928fc2421895d798679a0db"/>
    <w:p>
      <w:pPr>
        <w:pStyle w:val="Heading2"/>
      </w:pPr>
      <w:r>
        <w:rPr>
          <w:rStyle w:val="SectionNumber"/>
          <w:rFonts w:ascii="Spectral" w:hAnsi="Spectral" w:eastAsia="Spectral"/>
          <w:color w:val="132338"/>
        </w:rPr>
        <w:t xml:space="preserve">5.2</w:t>
      </w:r>
      <w:r>
        <w:rPr>
          <w:rFonts w:ascii="Spectral" w:hAnsi="Spectral" w:eastAsia="Spectral"/>
          <w:color w:val="132338"/>
        </w:rPr>
        <w:tab/>
      </w:r>
      <w:r>
        <w:rPr>
          <w:rFonts w:ascii="Spectral" w:hAnsi="Spectral" w:eastAsia="Spectral"/>
          <w:color w:val="132338"/>
        </w:rPr>
        <w:t xml:space="preserve">4.2 Classroom Posture — Students and Teachers</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Right (GDPR-aligned baseline)</w:t>
            </w:r>
          </w:p>
        </w:tc>
        <w:tc>
          <w:tcPr>
            <w:shd w:fill="132338"/>
          </w:tcPr>
          <w:p>
            <w:pPr>
              <w:pStyle w:val="Compact"/>
            </w:pPr>
            <w:r>
              <w:rPr>
                <w:rFonts w:ascii="Public Sans" w:hAnsi="Public Sans" w:eastAsia="Public Sans"/>
                <w:b/>
                <w:color w:val="FFFFFF"/>
                <w:sz w:val="17"/>
              </w:rPr>
              <w:t xml:space="preserve">Mechanism in Ogma</w:t>
            </w:r>
          </w:p>
        </w:tc>
        <w:tc>
          <w:tcPr>
            <w:shd w:fill="132338"/>
          </w:tcPr>
          <w:p>
            <w:pPr>
              <w:pStyle w:val="Compact"/>
            </w:pPr>
            <w:r>
              <w:rPr>
                <w:rFonts w:ascii="Public Sans" w:hAnsi="Public Sans" w:eastAsia="Public Sans"/>
                <w:b/>
                <w:color w:val="FFFFFF"/>
                <w:sz w:val="17"/>
              </w:rPr>
              <w:t xml:space="preserve">Who executes</w:t>
            </w:r>
          </w:p>
        </w:tc>
      </w:tr>
      <w:tr>
        <w:trPr>
          <w:cantSplit/>
        </w:trPr>
        <w:tc>
          <w:tcPr/>
          <w:p>
            <w:pPr>
              <w:pStyle w:val="Compact"/>
            </w:pPr>
            <w:r>
              <w:t xml:space="preserve">Access — what is held about me</w:t>
            </w:r>
          </w:p>
        </w:tc>
        <w:tc>
          <w:tcPr/>
          <w:p>
            <w:pPr>
              <w:pStyle w:val="Compact"/>
            </w:pPr>
            <w:r>
              <w:t xml:space="preserve">Per-profile reading state and AI history are visible in the student's own client; host audit export shows a profile's security events</w:t>
            </w:r>
          </w:p>
        </w:tc>
        <w:tc>
          <w:tcPr/>
          <w:p>
            <w:pPr>
              <w:pStyle w:val="Compact"/>
            </w:pPr>
            <w:r>
              <w:t xml:space="preserve">Student directly; school for audit extracts</w:t>
            </w:r>
          </w:p>
        </w:tc>
      </w:tr>
      <w:tr>
        <w:trPr>
          <w:cantSplit/>
        </w:trPr>
        <w:tc>
          <w:tcPr/>
          <w:p>
            <w:pPr>
              <w:pStyle w:val="Compact"/>
            </w:pPr>
            <w:r>
              <w:t xml:space="preserve">Erasure — my AI history</w:t>
            </w:r>
          </w:p>
        </w:tc>
        <w:tc>
          <w:tcPr/>
          <w:p>
            <w:pPr>
              <w:pStyle w:val="Compact"/>
            </w:pPr>
            <w:r>
              <w:t xml:space="preserve">Student self-deletion of own AI query history (FR-ADMIN-012)</w:t>
            </w:r>
          </w:p>
        </w:tc>
        <w:tc>
          <w:tcPr/>
          <w:p>
            <w:pPr>
              <w:pStyle w:val="Compact"/>
            </w:pPr>
            <w:r>
              <w:t xml:space="preserve">Student directly</w:t>
            </w:r>
          </w:p>
        </w:tc>
      </w:tr>
      <w:tr>
        <w:trPr>
          <w:cantSplit/>
        </w:trPr>
        <w:tc>
          <w:tcPr/>
          <w:p>
            <w:pPr>
              <w:pStyle w:val="Compact"/>
            </w:pPr>
            <w:r>
              <w:t xml:space="preserve">Erasure — institutional</w:t>
            </w:r>
          </w:p>
        </w:tc>
        <w:tc>
          <w:tcPr/>
          <w:p>
            <w:pPr>
              <w:pStyle w:val="Compact"/>
            </w:pPr>
            <w:r>
              <w:t xml:space="preserve">Purge of all student AI history for the institution (FR-ADMIN-013); profile deletion on revocation flow (FR-ADMIN-003)</w:t>
            </w:r>
          </w:p>
        </w:tc>
        <w:tc>
          <w:tcPr/>
          <w:p>
            <w:pPr>
              <w:pStyle w:val="Compact"/>
            </w:pPr>
            <w:r>
              <w:t xml:space="preserve">School administrator</w:t>
            </w:r>
          </w:p>
        </w:tc>
      </w:tr>
      <w:tr>
        <w:trPr>
          <w:cantSplit/>
        </w:trPr>
        <w:tc>
          <w:tcPr/>
          <w:p>
            <w:pPr>
              <w:pStyle w:val="Compact"/>
            </w:pPr>
            <w:r>
              <w:t xml:space="preserve">Objection to monitoring</w:t>
            </w:r>
          </w:p>
        </w:tc>
        <w:tc>
          <w:tcPr/>
          <w:p>
            <w:pPr>
              <w:pStyle w:val="Compact"/>
            </w:pPr>
            <w:r>
              <w:t xml:space="preserve">Teacher visibility is aggregate-only with per-student views disclosed (FR-CLIENT-012); the disclosure gives the student/guardian the knowledge needed to object to the school</w:t>
            </w:r>
          </w:p>
        </w:tc>
        <w:tc>
          <w:tcPr/>
          <w:p>
            <w:pPr>
              <w:pStyle w:val="Compact"/>
            </w:pPr>
            <w:r>
              <w:t xml:space="preserve">School (controller decision), informed by the disclosed design</w:t>
            </w:r>
          </w:p>
        </w:tc>
      </w:tr>
      <w:tr>
        <w:trPr>
          <w:cantSplit/>
        </w:trPr>
        <w:tc>
          <w:tcPr/>
          <w:p>
            <w:pPr>
              <w:pStyle w:val="Compact"/>
            </w:pPr>
            <w:r>
              <w:t xml:space="preserve">Portability</w:t>
            </w:r>
          </w:p>
        </w:tc>
        <w:tc>
          <w:tcPr/>
          <w:p>
            <w:pPr>
              <w:pStyle w:val="Compact"/>
            </w:pPr>
            <w:r>
              <w:t xml:space="preserve">A student's local notes remain theirs after revocation (FR-CLIENT-009); local notes export with the standard export tooling</w:t>
            </w:r>
          </w:p>
        </w:tc>
        <w:tc>
          <w:tcPr/>
          <w:p>
            <w:pPr>
              <w:pStyle w:val="Compact"/>
            </w:pPr>
            <w:r>
              <w:t xml:space="preserve">Student directly</w:t>
            </w:r>
          </w:p>
        </w:tc>
      </w:tr>
      <w:tr>
        <w:trPr>
          <w:cantSplit/>
        </w:trPr>
        <w:tc>
          <w:tcPr/>
          <w:p>
            <w:pPr>
              <w:pStyle w:val="Compact"/>
            </w:pPr>
            <w:r>
              <w:t xml:space="preserve">Transparency</w:t>
            </w:r>
          </w:p>
        </w:tc>
        <w:tc>
          <w:tcPr/>
          <w:p>
            <w:pPr>
              <w:pStyle w:val="Compact"/>
            </w:pPr>
            <w:r>
              <w:t xml:space="preserve">Tier label and exact payload preview before any off-device AI call (FR-ADMIN-007); host certificate fingerprint shown at enrollment (FR-LAN-004)</w:t>
            </w:r>
          </w:p>
        </w:tc>
        <w:tc>
          <w:tcPr/>
          <w:p>
            <w:pPr>
              <w:pStyle w:val="Compact"/>
            </w:pPr>
            <w:r>
              <w:t xml:space="preserve">Built into the flows</w:t>
            </w:r>
          </w:p>
        </w:tc>
      </w:tr>
      <w:tr>
        <w:trPr>
          <w:cantSplit/>
        </w:trPr>
        <w:tc>
          <w:tcPr/>
          <w:p>
            <w:pPr>
              <w:pStyle w:val="Compact"/>
            </w:pPr>
            <w:r>
              <w:t xml:space="preserve">Rectification</w:t>
            </w:r>
          </w:p>
        </w:tc>
        <w:tc>
          <w:tcPr/>
          <w:p>
            <w:pPr>
              <w:pStyle w:val="Compact"/>
            </w:pPr>
            <w:r>
              <w:t xml:space="preserve">Profile edits (FR-ADMIN-003); metadata corrections follow the standard provenance-tracked edit path</w:t>
            </w:r>
          </w:p>
        </w:tc>
        <w:tc>
          <w:tcPr/>
          <w:p>
            <w:pPr>
              <w:pStyle w:val="Compact"/>
            </w:pPr>
            <w:r>
              <w:t xml:space="preserve">School administrator; student for own notes</w:t>
            </w:r>
          </w:p>
        </w:tc>
      </w:tr>
    </w:tbl>
    <w:p>
      <w:pPr>
        <w:pStyle w:val="BodyText"/>
      </w:pPr>
      <w:r>
        <w:t xml:space="preserve">Minors' rights are typically exercised by or with parents/guardians under the deployment's local law; the school's controller process routes those requests, and every mechanism above is operable by the administrator on a guardian's behalf. Ogma's contribution is that no right requires vendor intervention: erasure, access, and portability are self-service at the school.</w:t>
      </w:r>
    </w:p>
    <w:p>
      <w:pPr>
        <w:pStyle w:val="BodyText"/>
      </w:pPr>
      <w:r>
        <w:t xml:space="preserve">\newpage</w:t>
      </w:r>
    </w:p>
    <w:bookmarkEnd w:id="28"/>
    <w:bookmarkEnd w:id="29"/>
    <w:bookmarkStart w:id="35" w:name="X6a24adc3ddc920e9739118e8e6efd4e97af39bf"/>
    <w:p>
      <w:pPr>
        <w:pStyle w:val="Heading1"/>
      </w:pPr>
      <w:r>
        <w:rPr>
          <w:rStyle w:val="SectionNumber"/>
          <w:rFonts w:ascii="Spectral" w:hAnsi="Spectral" w:eastAsia="Spectral"/>
          <w:color w:val="132338"/>
        </w:rPr>
        <w:t xml:space="preserve">6</w:t>
      </w:r>
      <w:r>
        <w:rPr>
          <w:rFonts w:ascii="Spectral" w:hAnsi="Spectral" w:eastAsia="Spectral"/>
          <w:color w:val="132338"/>
        </w:rPr>
        <w:tab/>
      </w:r>
      <w:r>
        <w:rPr>
          <w:rFonts w:ascii="Spectral" w:hAnsi="Spectral" w:eastAsia="Spectral"/>
          <w:color w:val="132338"/>
        </w:rPr>
        <w:t xml:space="preserve">5. Conclusion and Required Actions</w:t>
      </w:r>
    </w:p>
    <w:bookmarkStart w:id="30" w:name="X1cd8e39347295fee6eabcad84b2bdff612079e4"/>
    <w:p>
      <w:pPr>
        <w:pStyle w:val="Heading2"/>
      </w:pPr>
      <w:r>
        <w:rPr>
          <w:rStyle w:val="SectionNumber"/>
          <w:rFonts w:ascii="Spectral" w:hAnsi="Spectral" w:eastAsia="Spectral"/>
          <w:color w:val="132338"/>
        </w:rPr>
        <w:t xml:space="preserve">6.1</w:t>
      </w:r>
      <w:r>
        <w:rPr>
          <w:rFonts w:ascii="Spectral" w:hAnsi="Spectral" w:eastAsia="Spectral"/>
          <w:color w:val="132338"/>
        </w:rPr>
        <w:tab/>
      </w:r>
      <w:r>
        <w:rPr>
          <w:rFonts w:ascii="Spectral" w:hAnsi="Spectral" w:eastAsia="Spectral"/>
          <w:color w:val="132338"/>
        </w:rPr>
        <w:t xml:space="preserve">5.1 Assessment Outcome</w:t>
      </w:r>
    </w:p>
    <w:p>
      <w:pPr>
        <w:pStyle w:val="Compact"/>
        <w:numPr>
          <w:ilvl w:val="0"/>
          <w:numId w:val="1005"/>
        </w:numPr>
      </w:pPr>
      <w:r>
        <w:rPr>
          <w:b/>
          <w:bCs/>
        </w:rPr>
        <w:t xml:space="preserve">Personal posture: Low baseline risk</w:t>
      </w:r>
      <w:r>
        <w:t xml:space="preserve">, unchanged from v1.0. The product processes the user's own data on the user's own device, defaults to Tier 0 Offline, and exposes data only at one opt-in boundary governed by default-deny, a single egress chokepoint, payload-preview consent, scoped erasure, and per-transmission audit.</w:t>
      </w:r>
    </w:p>
    <w:p>
      <w:pPr>
        <w:pStyle w:val="Compact"/>
        <w:numPr>
          <w:ilvl w:val="0"/>
          <w:numId w:val="1005"/>
        </w:numPr>
      </w:pPr>
      <w:r>
        <w:rPr>
          <w:b/>
          <w:bCs/>
        </w:rPr>
        <w:t xml:space="preserve">Classroom posture: Medium residual risk, conditionally acceptable.</w:t>
      </w:r>
      <w:r>
        <w:t xml:space="preserve"> </w:t>
      </w:r>
      <w:r>
        <w:t xml:space="preserve">The implemented design (Phases 16–18) already embodies the protective defaults a minors-processing product needs — metadata-only class default, student-visible payload previews, aggregate-only disclosed dashboards, per-profile isolation, opaque sync, LAN-only TLS transport, deletion and purge controls. Acceptance is conditional on the required actions below.</w:t>
      </w:r>
    </w:p>
    <w:bookmarkEnd w:id="30"/>
    <w:bookmarkStart w:id="31" w:name="X70a47fcf7aa44ee644f9162bded5d939c6d116d"/>
    <w:p>
      <w:pPr>
        <w:pStyle w:val="Heading2"/>
      </w:pPr>
      <w:r>
        <w:rPr>
          <w:rStyle w:val="SectionNumber"/>
          <w:rFonts w:ascii="Spectral" w:hAnsi="Spectral" w:eastAsia="Spectral"/>
          <w:color w:val="132338"/>
        </w:rPr>
        <w:t xml:space="preserve">6.2</w:t>
      </w:r>
      <w:r>
        <w:rPr>
          <w:rFonts w:ascii="Spectral" w:hAnsi="Spectral" w:eastAsia="Spectral"/>
          <w:color w:val="132338"/>
        </w:rPr>
        <w:tab/>
      </w:r>
      <w:r>
        <w:rPr>
          <w:rFonts w:ascii="Spectral" w:hAnsi="Spectral" w:eastAsia="Spectral"/>
          <w:color w:val="132338"/>
        </w:rPr>
        <w:t xml:space="preserve">5.2 Required Actions Before Shipping Off-Device Features (personal posture, carried from v1.0 — all implemented, verification standing)</w:t>
      </w:r>
    </w:p>
    <w:p>
      <w:pPr>
        <w:pStyle w:val="Compact"/>
        <w:numPr>
          <w:ilvl w:val="0"/>
          <w:numId w:val="1006"/>
        </w:numPr>
      </w:pPr>
      <w:r>
        <w:t xml:space="preserve">Payload preview before every send, with recorded confirmation (CTRL-017, CTRL-020) — implemented; re-verify at each release gate.</w:t>
      </w:r>
    </w:p>
    <w:p>
      <w:pPr>
        <w:pStyle w:val="Compact"/>
        <w:numPr>
          <w:ilvl w:val="0"/>
          <w:numId w:val="1006"/>
        </w:numPr>
      </w:pPr>
      <w:r>
        <w:t xml:space="preserve">Consent capture per tier and per provider, never bundled (CTRL-019) — implemented; re-verify at each release gate.</w:t>
      </w:r>
    </w:p>
    <w:p>
      <w:pPr>
        <w:pStyle w:val="Compact"/>
        <w:numPr>
          <w:ilvl w:val="0"/>
          <w:numId w:val="1006"/>
        </w:numPr>
      </w:pPr>
      <w:r>
        <w:t xml:space="preserve">Erasure of AI history and embeddings by document or corpus, with provider deletion path surfaced (CTRL-023) — implemented; re-verify at each release gate.</w:t>
      </w:r>
    </w:p>
    <w:p>
      <w:pPr>
        <w:pStyle w:val="Compact"/>
        <w:numPr>
          <w:ilvl w:val="0"/>
          <w:numId w:val="1006"/>
        </w:numPr>
      </w:pPr>
      <w:r>
        <w:t xml:space="preserve">User-viewable, exportable audit of every off-device transmission, tier change, and credential change (CTRL-018) — implemented; re-verify at each release gate.</w:t>
      </w:r>
    </w:p>
    <w:bookmarkEnd w:id="31"/>
    <w:bookmarkStart w:id="32" w:name="Xb90afd0b46bad3dacf6a3ce35ee3760adbca954"/>
    <w:p>
      <w:pPr>
        <w:pStyle w:val="Heading2"/>
      </w:pPr>
      <w:r>
        <w:rPr>
          <w:rStyle w:val="SectionNumber"/>
          <w:rFonts w:ascii="Spectral" w:hAnsi="Spectral" w:eastAsia="Spectral"/>
          <w:color w:val="132338"/>
        </w:rPr>
        <w:t xml:space="preserve">6.3</w:t>
      </w:r>
      <w:r>
        <w:rPr>
          <w:rFonts w:ascii="Spectral" w:hAnsi="Spectral" w:eastAsia="Spectral"/>
          <w:color w:val="132338"/>
        </w:rPr>
        <w:tab/>
      </w:r>
      <w:r>
        <w:rPr>
          <w:rFonts w:ascii="Spectral" w:hAnsi="Spectral" w:eastAsia="Spectral"/>
          <w:color w:val="132338"/>
        </w:rPr>
        <w:t xml:space="preserve">5.3 Required Actions Before Any Classroom Pilot or Sale</w:t>
      </w:r>
    </w:p>
    <w:p>
      <w:pPr>
        <w:pStyle w:val="Compact"/>
        <w:numPr>
          <w:ilvl w:val="0"/>
          <w:numId w:val="1007"/>
        </w:numPr>
      </w:pPr>
      <w:r>
        <w:rPr>
          <w:b/>
          <w:bCs/>
        </w:rPr>
        <w:t xml:space="preserve">Jurisdiction decision (owner):</w:t>
      </w:r>
      <w:r>
        <w:t xml:space="preserve"> </w:t>
      </w:r>
      <w:r>
        <w:t xml:space="preserve">name the target classroom jurisdictions so §2.2's lawful-basis mapping and §2.7's transfer analysis can be finalised per market — due 2026-08-21 (audit finding F-14). Blocking.</w:t>
      </w:r>
    </w:p>
    <w:p>
      <w:pPr>
        <w:pStyle w:val="Compact"/>
        <w:numPr>
          <w:ilvl w:val="0"/>
          <w:numId w:val="1007"/>
        </w:numPr>
      </w:pPr>
      <w:r>
        <w:rPr>
          <w:b/>
          <w:bCs/>
        </w:rPr>
        <w:t xml:space="preserve">Phase 19 adversarial verification</w:t>
      </w:r>
      <w:r>
        <w:t xml:space="preserve"> </w:t>
      </w:r>
      <w:r>
        <w:t xml:space="preserve">of the LAN surface (TLS/TOFU, enrollment, streaming, path validation) per risk RISK-018 — Sprint-1, due 2026-07-24. Blocking.</w:t>
      </w:r>
    </w:p>
    <w:p>
      <w:pPr>
        <w:pStyle w:val="Compact"/>
        <w:numPr>
          <w:ilvl w:val="0"/>
          <w:numId w:val="1007"/>
        </w:numPr>
      </w:pPr>
      <w:r>
        <w:rPr>
          <w:b/>
          <w:bCs/>
        </w:rPr>
        <w:t xml:space="preserve">School-controller pack:</w:t>
      </w:r>
      <w:r>
        <w:t xml:space="preserve"> </w:t>
      </w:r>
      <w:r>
        <w:t xml:space="preserve">a deployment guide stating the school's controller obligations (transparency notice templates for students/guardians, retention policy hooks, parental-consent guidance where local law requires it for P-5) — with the Phase 22 packaging work. Blocking for sale, not for internal pilot.</w:t>
      </w:r>
    </w:p>
    <w:p>
      <w:pPr>
        <w:pStyle w:val="Compact"/>
        <w:numPr>
          <w:ilvl w:val="0"/>
          <w:numId w:val="1007"/>
        </w:numPr>
      </w:pPr>
      <w:r>
        <w:rPr>
          <w:b/>
          <w:bCs/>
        </w:rPr>
        <w:t xml:space="preserve">At-rest encryption option</w:t>
      </w:r>
      <w:r>
        <w:t xml:space="preserve"> </w:t>
      </w:r>
      <w:r>
        <w:t xml:space="preserve">(trigger DT-1, §6) before classroom deployments on shared or loanable hardware — Phase 19, US-052.</w:t>
      </w:r>
    </w:p>
    <w:bookmarkEnd w:id="32"/>
    <w:bookmarkStart w:id="33" w:name="X1a23766c0f41e6e59b84ae60f980ff631bc28e2"/>
    <w:p>
      <w:pPr>
        <w:pStyle w:val="Heading2"/>
      </w:pPr>
      <w:r>
        <w:rPr>
          <w:rStyle w:val="SectionNumber"/>
          <w:rFonts w:ascii="Spectral" w:hAnsi="Spectral" w:eastAsia="Spectral"/>
          <w:color w:val="132338"/>
        </w:rPr>
        <w:t xml:space="preserve">6.4</w:t>
      </w:r>
      <w:r>
        <w:rPr>
          <w:rFonts w:ascii="Spectral" w:hAnsi="Spectral" w:eastAsia="Spectral"/>
          <w:color w:val="132338"/>
        </w:rPr>
        <w:tab/>
      </w:r>
      <w:r>
        <w:rPr>
          <w:rFonts w:ascii="Spectral" w:hAnsi="Spectral" w:eastAsia="Spectral"/>
          <w:color w:val="132338"/>
        </w:rPr>
        <w:t xml:space="preserve">5.4 Review Triggers</w:t>
      </w:r>
    </w:p>
    <w:p>
      <w:pPr>
        <w:pStyle w:val="FirstParagraph"/>
      </w:pPr>
      <w:r>
        <w:t xml:space="preserve">This DPIA is revisited before any off-device feature's release gate, whenever a new provider or privacy tier is introduced, on any classroom-pilot incident involving student data, and at every trigger in §6.</w:t>
      </w:r>
    </w:p>
    <w:bookmarkEnd w:id="33"/>
    <w:bookmarkStart w:id="34" w:name="X97011194ea78c03d2f3d68932aa177fde71e54e"/>
    <w:p>
      <w:pPr>
        <w:pStyle w:val="Heading2"/>
      </w:pPr>
      <w:r>
        <w:rPr>
          <w:rStyle w:val="SectionNumber"/>
          <w:rFonts w:ascii="Spectral" w:hAnsi="Spectral" w:eastAsia="Spectral"/>
          <w:color w:val="132338"/>
        </w:rPr>
        <w:t xml:space="preserve">6.5</w:t>
      </w:r>
      <w:r>
        <w:rPr>
          <w:rFonts w:ascii="Spectral" w:hAnsi="Spectral" w:eastAsia="Spectral"/>
          <w:color w:val="132338"/>
        </w:rPr>
        <w:tab/>
      </w:r>
      <w:r>
        <w:rPr>
          <w:rFonts w:ascii="Spectral" w:hAnsi="Spectral" w:eastAsia="Spectral"/>
          <w:color w:val="132338"/>
        </w:rPr>
        <w:t xml:space="preserve">5.5 Status of This Document</w:t>
      </w:r>
    </w:p>
    <w:p>
      <w:pPr>
        <w:pStyle w:val="FirstParagraph"/>
      </w:pPr>
      <w:r>
        <w:t xml:space="preserve">Product-design compliance guidance, not legal advice; it replaces no jurisdiction-specific legal review. Version 2.0, dated 2026-07-06, draft for owner sign-off; supersedes the v0.1 screening of 2026-05-30.</w:t>
      </w:r>
    </w:p>
    <w:p>
      <w:pPr>
        <w:pStyle w:val="BodyText"/>
      </w:pPr>
      <w:r>
        <w:t xml:space="preserve">\newpage</w:t>
      </w:r>
    </w:p>
    <w:bookmarkEnd w:id="34"/>
    <w:bookmarkEnd w:id="35"/>
    <w:bookmarkStart w:id="36" w:name="X0e821b0a513c23eea2fbb9d2784cc6dfdbd414c"/>
    <w:p>
      <w:pPr>
        <w:pStyle w:val="Heading1"/>
      </w:pPr>
      <w:r>
        <w:rPr>
          <w:rStyle w:val="SectionNumber"/>
          <w:rFonts w:ascii="Spectral" w:hAnsi="Spectral" w:eastAsia="Spectral"/>
          <w:color w:val="132338"/>
        </w:rPr>
        <w:t xml:space="preserve">7</w:t>
      </w:r>
      <w:r>
        <w:rPr>
          <w:rFonts w:ascii="Spectral" w:hAnsi="Spectral" w:eastAsia="Spectral"/>
          <w:color w:val="132338"/>
        </w:rPr>
        <w:tab/>
      </w:r>
      <w:r>
        <w:rPr>
          <w:rFonts w:ascii="Spectral" w:hAnsi="Spectral" w:eastAsia="Spectral"/>
          <w:color w:val="132338"/>
        </w:rPr>
        <w:t xml:space="preserve">6. DPIA Trigger Register</w:t>
      </w:r>
    </w:p>
    <w:p>
      <w:pPr>
        <w:pStyle w:val="FirstParagraph"/>
      </w:pPr>
      <w:r>
        <w:t xml:space="preserve">Planned features that will alter the data-protection posture are registered here before they are built. Each trigger names the change, the assessment it requires, and its gate: the feature's story cannot pass the Definition of Done until the trigger's assessment is complete and signed off. This register operationalises the domain rule that a DPIA screening precedes any feature sending user content off-device, and extends it to custody-changing features.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cantSplit/>
        </w:trPr>
        <w:tc>
          <w:tcPr>
            <w:shd w:fill="132338"/>
          </w:tcPr>
          <w:p>
            <w:pPr>
              <w:pStyle w:val="Compact"/>
            </w:pPr>
            <w:r>
              <w:rPr>
                <w:rFonts w:ascii="Public Sans" w:hAnsi="Public Sans" w:eastAsia="Public Sans"/>
                <w:b/>
                <w:color w:val="FFFFFF"/>
                <w:sz w:val="17"/>
              </w:rPr>
              <w:t xml:space="preserve">ID</w:t>
            </w:r>
          </w:p>
        </w:tc>
        <w:tc>
          <w:tcPr>
            <w:shd w:fill="132338"/>
          </w:tcPr>
          <w:p>
            <w:pPr>
              <w:pStyle w:val="Compact"/>
            </w:pPr>
            <w:r>
              <w:rPr>
                <w:rFonts w:ascii="Public Sans" w:hAnsi="Public Sans" w:eastAsia="Public Sans"/>
                <w:b/>
                <w:color w:val="FFFFFF"/>
                <w:sz w:val="17"/>
              </w:rPr>
              <w:t xml:space="preserve">Planned feature (phase)</w:t>
            </w:r>
          </w:p>
        </w:tc>
        <w:tc>
          <w:tcPr>
            <w:shd w:fill="132338"/>
          </w:tcPr>
          <w:p>
            <w:pPr>
              <w:pStyle w:val="Compact"/>
            </w:pPr>
            <w:r>
              <w:rPr>
                <w:rFonts w:ascii="Public Sans" w:hAnsi="Public Sans" w:eastAsia="Public Sans"/>
                <w:b/>
                <w:color w:val="FFFFFF"/>
                <w:sz w:val="17"/>
              </w:rPr>
              <w:t xml:space="preserve">Posture change</w:t>
            </w:r>
          </w:p>
        </w:tc>
        <w:tc>
          <w:tcPr>
            <w:shd w:fill="132338"/>
          </w:tcPr>
          <w:p>
            <w:pPr>
              <w:pStyle w:val="Compact"/>
            </w:pPr>
            <w:r>
              <w:rPr>
                <w:rFonts w:ascii="Public Sans" w:hAnsi="Public Sans" w:eastAsia="Public Sans"/>
                <w:b/>
                <w:color w:val="FFFFFF"/>
                <w:sz w:val="17"/>
              </w:rPr>
              <w:t xml:space="preserve">Assessment required</w:t>
            </w:r>
          </w:p>
        </w:tc>
        <w:tc>
          <w:tcPr>
            <w:shd w:fill="132338"/>
          </w:tcPr>
          <w:p>
            <w:pPr>
              <w:pStyle w:val="Compact"/>
            </w:pPr>
            <w:r>
              <w:rPr>
                <w:rFonts w:ascii="Public Sans" w:hAnsi="Public Sans" w:eastAsia="Public Sans"/>
                <w:b/>
                <w:color w:val="FFFFFF"/>
                <w:sz w:val="17"/>
              </w:rPr>
              <w:t xml:space="preserve">Gate</w:t>
            </w:r>
          </w:p>
        </w:tc>
      </w:tr>
      <w:tr>
        <w:trPr>
          <w:cantSplit/>
        </w:trPr>
        <w:tc>
          <w:tcPr/>
          <w:p>
            <w:pPr>
              <w:pStyle w:val="Compact"/>
            </w:pPr>
            <w:r>
              <w:t xml:space="preserve">DT-1</w:t>
            </w:r>
          </w:p>
        </w:tc>
        <w:tc>
          <w:tcPr/>
          <w:p>
            <w:pPr>
              <w:pStyle w:val="Compact"/>
            </w:pPr>
            <w:r>
              <w:t xml:space="preserve">At-rest encryption of catalogue and sidecar (Phase 19, story US-052)</w:t>
            </w:r>
          </w:p>
        </w:tc>
        <w:tc>
          <w:tcPr/>
          <w:p>
            <w:pPr>
              <w:pStyle w:val="Compact"/>
            </w:pPr>
            <w:r>
              <w:t xml:space="preserve">Adds key custody: a lost key means lost annotations; a weak default means false assurance. Affects students' local notes on shared hardware (risk M-7)</w:t>
            </w:r>
          </w:p>
        </w:tc>
        <w:tc>
          <w:tcPr/>
          <w:p>
            <w:pPr>
              <w:pStyle w:val="Compact"/>
            </w:pPr>
            <w:r>
              <w:t xml:space="preserve">Update §1 inventory (key material handling), §3 (key-loss and recovery risks), and the school-controller pack (key policy for shared machines); confirm no key material ever reaches logs or exports (CTRL-002 extension)</w:t>
            </w:r>
          </w:p>
        </w:tc>
        <w:tc>
          <w:tcPr/>
          <w:p>
            <w:pPr>
              <w:pStyle w:val="Compact"/>
            </w:pPr>
            <w:r>
              <w:t xml:space="preserve">US-052 Definition of Done</w:t>
            </w:r>
          </w:p>
        </w:tc>
      </w:tr>
      <w:tr>
        <w:trPr>
          <w:cantSplit/>
        </w:trPr>
        <w:tc>
          <w:tcPr/>
          <w:p>
            <w:pPr>
              <w:pStyle w:val="Compact"/>
            </w:pPr>
            <w:r>
              <w:t xml:space="preserve">DT-2</w:t>
            </w:r>
          </w:p>
        </w:tc>
        <w:tc>
          <w:tcPr/>
          <w:p>
            <w:pPr>
              <w:pStyle w:val="Compact"/>
            </w:pPr>
            <w:r>
              <w:t xml:space="preserve">Encrypted cloud sync, V2 (out of MVP; data model designed to allow it)</w:t>
            </w:r>
          </w:p>
        </w:tc>
        <w:tc>
          <w:tcPr/>
          <w:p>
            <w:pPr>
              <w:pStyle w:val="Compact"/>
            </w:pPr>
            <w:r>
              <w:t xml:space="preserve">First feature moving reading state off premises: introduces a processor relationship (sync operator), cross-border storage questions, and a new breach surface for minors' data if offered to schools</w:t>
            </w:r>
          </w:p>
        </w:tc>
        <w:tc>
          <w:tcPr/>
          <w:p>
            <w:pPr>
              <w:pStyle w:val="Compact"/>
            </w:pPr>
            <w:r>
              <w:t xml:space="preserve">Full DPIA revision before build: controller/processor role mapping, transfer mechanism per target jurisdiction (depends on the F-14 decision), breach-notification obligations, retention/erasure semantics for server-side blobs</w:t>
            </w:r>
          </w:p>
        </w:tc>
        <w:tc>
          <w:tcPr/>
          <w:p>
            <w:pPr>
              <w:pStyle w:val="Compact"/>
            </w:pPr>
            <w:r>
              <w:t xml:space="preserve">V2 planning gate; no sync code merges before the revised DPIA is signed</w:t>
            </w:r>
          </w:p>
        </w:tc>
      </w:tr>
      <w:tr>
        <w:trPr>
          <w:cantSplit/>
        </w:trPr>
        <w:tc>
          <w:tcPr/>
          <w:p>
            <w:pPr>
              <w:pStyle w:val="Compact"/>
            </w:pPr>
            <w:r>
              <w:t xml:space="preserve">DT-3</w:t>
            </w:r>
          </w:p>
        </w:tc>
        <w:tc>
          <w:tcPr/>
          <w:p>
            <w:pPr>
              <w:pStyle w:val="Compact"/>
            </w:pPr>
            <w:r>
              <w:t xml:space="preserve">Extension SDK and local read API (Phase 23, stories US-058, US-059)</w:t>
            </w:r>
          </w:p>
        </w:tc>
        <w:tc>
          <w:tcPr/>
          <w:p>
            <w:pPr>
              <w:pStyle w:val="Compact"/>
            </w:pPr>
            <w:r>
              <w:t xml:space="preserve">Third-party plugins gain read access to catalogue and index; a malicious plugin is a new exfiltration path</w:t>
            </w:r>
          </w:p>
        </w:tc>
        <w:tc>
          <w:tcPr/>
          <w:p>
            <w:pPr>
              <w:pStyle w:val="Compact"/>
            </w:pPr>
            <w:r>
              <w:t xml:space="preserve">Verify that all plugin off-device traffic is architecturally forced through the gateway tiers (FR-EXT-001) with the payload preview intact; add plugin-conduct terms to the SDK docs</w:t>
            </w:r>
          </w:p>
        </w:tc>
        <w:tc>
          <w:tcPr/>
          <w:p>
            <w:pPr>
              <w:pStyle w:val="Compact"/>
            </w:pPr>
            <w:r>
              <w:t xml:space="preserve">US-058 Definition of Done</w:t>
            </w:r>
          </w:p>
        </w:tc>
      </w:tr>
      <w:tr>
        <w:trPr>
          <w:cantSplit/>
        </w:trPr>
        <w:tc>
          <w:tcPr/>
          <w:p>
            <w:pPr>
              <w:pStyle w:val="Compact"/>
            </w:pPr>
            <w:r>
              <w:t xml:space="preserve">DT-4</w:t>
            </w:r>
          </w:p>
        </w:tc>
        <w:tc>
          <w:tcPr/>
          <w:p>
            <w:pPr>
              <w:pStyle w:val="Compact"/>
            </w:pPr>
            <w:r>
              <w:t xml:space="preserve">Classroom answer mode surfaces (depends on FR-AI-008 / FR-ADMIN-011 completion, Sprint-5)</w:t>
            </w:r>
          </w:p>
        </w:tc>
        <w:tc>
          <w:tcPr/>
          <w:p>
            <w:pPr>
              <w:pStyle w:val="Compact"/>
            </w:pPr>
            <w:r>
              <w:t xml:space="preserve">Student questions become richer free-text than search queries; higher identifiability in payloads</w:t>
            </w:r>
          </w:p>
        </w:tc>
        <w:tc>
          <w:tcPr/>
          <w:p>
            <w:pPr>
              <w:pStyle w:val="Compact"/>
            </w:pPr>
            <w:r>
              <w:t xml:space="preserve">Re-run the P-5 minimisation analysis with answer-mode payloads; confirm citation grounding excludes off-catalogue content</w:t>
            </w:r>
          </w:p>
        </w:tc>
        <w:tc>
          <w:tcPr/>
          <w:p>
            <w:pPr>
              <w:pStyle w:val="Compact"/>
            </w:pPr>
            <w:r>
              <w:t xml:space="preserve">US-028 Definition of Done</w:t>
            </w:r>
          </w:p>
        </w:tc>
      </w:tr>
      <w:tr>
        <w:trPr>
          <w:cantSplit/>
        </w:trPr>
        <w:tc>
          <w:tcPr/>
          <w:p>
            <w:pPr>
              <w:pStyle w:val="Compact"/>
            </w:pPr>
            <w:r>
              <w:t xml:space="preserve">DT-5</w:t>
            </w:r>
          </w:p>
        </w:tc>
        <w:tc>
          <w:tcPr/>
          <w:p>
            <w:pPr>
              <w:pStyle w:val="Compact"/>
            </w:pPr>
            <w:r>
              <w:t xml:space="preserve">Opt-in telemetry for the public beta (Phase 23, story US-057)</w:t>
            </w:r>
          </w:p>
        </w:tc>
        <w:tc>
          <w:tcPr/>
          <w:p>
            <w:pPr>
              <w:pStyle w:val="Compact"/>
            </w:pPr>
            <w:r>
              <w:t xml:space="preserve">First product-analytics data flow; device-local by default per the domain profile</w:t>
            </w:r>
          </w:p>
        </w:tc>
        <w:tc>
          <w:tcPr/>
          <w:p>
            <w:pPr>
              <w:pStyle w:val="Compact"/>
            </w:pPr>
            <w:r>
              <w:t xml:space="preserve">Confirm telemetry is opt-in, device-local by default, content-free, and separately consented; document its inventory row before the beta channel opens</w:t>
            </w:r>
          </w:p>
        </w:tc>
        <w:tc>
          <w:tcPr/>
          <w:p>
            <w:pPr>
              <w:pStyle w:val="Compact"/>
            </w:pPr>
            <w:r>
              <w:t xml:space="preserve">US-057 Definition of Done</w:t>
            </w:r>
          </w:p>
        </w:tc>
      </w:tr>
    </w:tbl>
    <w:p>
      <w:pPr>
        <w:pStyle w:val="BodyText"/>
      </w:pPr>
      <w:r>
        <w:t xml:space="preserve">Adding a feature that transmits, stores, or grants access to personal data without a row in this register is itself an audit finding (verify-before-emit rule); the register is reviewed at every sprint planning.</w:t>
      </w:r>
    </w:p>
    <w:bookmarkEnd w:id="36"/>
    <w:sectPr>
      <w:headerReference w:type="default" r:id="rId9"/>
      <w:footerReference w:type="default" r:id="rId10"/>
      <w:footnotePr>
        <w:numRestart w:val="eachSect"/>
      </w:footnotePr>
      <w:pgSz w:w="11906" w:h="16838"/>
      <w:pgMar w:bottom="1020" w:left="1134" w:right="1020" w:top="1020" w:header="510" w:footer="5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ublic Sans" w:hAnsi="Public Sans" w:eastAsia="Public Sans"/>
        <w:color w:val="132338"/>
        <w:sz w:val="15"/>
      </w:rPr>
      <w:t xml:space="preserve">Review baseline — not approved for production   •   </w:t>
    </w:r>
    <w:r>
      <w:fldChar w:fldCharType="begin"/>
      <w:instrText xml:space="preserve">PAGE</w:instrText>
      <w:fldChar w:fldCharType="separate"/>
      <w:fldChar w:fldCharType="end"/>
    </w:r>
    <w:r>
      <w:rPr>
        <w:rFonts w:ascii="Public Sans" w:hAnsi="Public Sans" w:eastAsia="Public Sans"/>
        <w:color w:val="132338"/>
        <w:sz w:val="15"/>
      </w:rPr>
      <w:t xml:space="preserve"> / </w:t>
    </w:r>
    <w: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Public Sans" w:hAnsi="Public Sans" w:eastAsia="Public Sans"/>
        <w:color w:val="132338"/>
        <w:sz w:val="15"/>
      </w:rPr>
      <w:t>OGMA LIBRARY  /  DATA PROTECTION IMPACT ASSESSMENT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lang w:val="en-UG" w:eastAsia="en-UG"/>
    </w:rPr>
  </w:style>
  <w:style w:styleId="BodyText" w:type="paragraph">
    <w:name w:val="Body Text"/>
    <w:basedOn w:val="Normal"/>
    <w:link w:val="BodyTextChar"/>
    <w:qFormat/>
    <w:pPr>
      <w:spacing w:after="180" w:before="180"/>
    </w:pPr>
    <w:rPr>
      <w:rFonts w:ascii="Public Sans" w:cs="Public Sans" w:hAnsi="Public Sans"/>
      <w:color w:val="1A1A1A"/>
      <w:sz w:val="22"/>
      <w:lang w:val="en-UG" w:eastAsia="en-UG"/>
    </w:rPr>
  </w:style>
  <w:style w:customStyle="1" w:styleId="FirstParagraph" w:type="paragraph">
    <w:name w:val="First Paragraph"/>
    <w:basedOn w:val="BodyText"/>
    <w:next w:val="BodyText"/>
    <w:qFormat/>
    <w:rPr>
      <w:rFonts w:ascii="Public Sans" w:cs="Public Sans" w:hAnsi="Public Sans"/>
      <w:color w:val="1A1A1A"/>
      <w:sz w:val="22"/>
      <w:lang w:val="en-UG" w:eastAsia="en-UG"/>
    </w:rPr>
  </w:style>
  <w:style w:customStyle="1" w:styleId="Compact" w:type="paragraph">
    <w:name w:val="Compact"/>
    <w:basedOn w:val="BodyText"/>
    <w:qFormat/>
    <w:pPr>
      <w:spacing w:after="36" w:before="36"/>
    </w:pPr>
    <w:rPr>
      <w:rFonts w:ascii="Public Sans" w:cs="Public Sans" w:hAnsi="Public Sans"/>
      <w:color w:val="1A1A1A"/>
      <w:sz w:val="22"/>
      <w:lang w:val="en-UG" w:eastAsia="en-UG"/>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lang w:val="en-UG" w:eastAsia="en-UG"/>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lang w:val="en-UG" w:eastAsia="en-UG"/>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lang w:val="en-UG" w:eastAsia="en-UG"/>
    </w:rPr>
  </w:style>
  <w:style w:styleId="Date" w:type="paragraph">
    <w:name w:val="Date"/>
    <w:basedOn w:val="Title"/>
    <w:next w:val="BodyText"/>
    <w:qFormat/>
    <w:pPr>
      <w:keepNext/>
      <w:keepLines/>
    </w:pPr>
    <w:rPr>
      <w:rFonts w:ascii="Public Sans" w:cs="Public Sans" w:hAnsi="Public Sans"/>
      <w:color w:val="5A5A5A"/>
      <w:sz w:val="22"/>
      <w:szCs w:val="24"/>
      <w:lang w:val="en-UG" w:eastAsia="en-UG"/>
    </w:rPr>
  </w:style>
  <w:style w:customStyle="1" w:styleId="AbstractTitle" w:type="paragraph">
    <w:name w:val="Abstract Title"/>
    <w:basedOn w:val="Normal"/>
    <w:next w:val="Abstract"/>
    <w:qFormat/>
    <w:pPr>
      <w:keepNext/>
      <w:keepLines/>
      <w:spacing w:after="0" w:before="300"/>
      <w:jc w:val="center"/>
    </w:pPr>
    <w:rPr>
      <w:b/>
      <w:sz w:val="20"/>
      <w:szCs w:val="20"/>
      <w:lang w:val="en-UG" w:eastAsia="en-UG"/>
    </w:rPr>
  </w:style>
  <w:style w:customStyle="1" w:styleId="Abstract" w:type="paragraph">
    <w:name w:val="Abstract"/>
    <w:basedOn w:val="Normal"/>
    <w:next w:val="BodyText"/>
    <w:qFormat/>
    <w:pPr>
      <w:keepNext/>
      <w:keepLines/>
      <w:spacing w:after="300" w:before="100"/>
    </w:pPr>
    <w:rPr>
      <w:sz w:val="20"/>
      <w:szCs w:val="20"/>
      <w:lang w:val="en-UG" w:eastAsia="en-UG"/>
    </w:rPr>
  </w:style>
  <w:style w:styleId="Bibliography" w:type="paragraph">
    <w:name w:val="Bibliography"/>
    <w:basedOn w:val="Normal"/>
    <w:next w:val="Bibliography"/>
    <w:qFormat/>
    <w:pPr/>
    <w:rPr>
      <w:lang w:val="en-UG" w:eastAsia="en-UG"/>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lang w:val="en-UG" w:eastAsia="en-UG"/>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lang w:val="en-UG" w:eastAsia="en-UG"/>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lang w:val="en-UG" w:eastAsia="en-UG"/>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lang w:val="en-UG" w:eastAsia="en-UG"/>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lang w:val="en-UG" w:eastAsia="en-UG"/>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lang w:val="en-UG" w:eastAsia="en-UG"/>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lang w:val="en-UG" w:eastAsia="en-UG"/>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lang w:val="en-UG" w:eastAsia="en-UG"/>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lang w:val="en-UG" w:eastAsia="en-UG"/>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lang w:val="en-UG" w:eastAsia="en-UG"/>
    </w:rPr>
  </w:style>
  <w:style w:styleId="FootnoteText" w:type="paragraph">
    <w:name w:val="Footnote Text"/>
    <w:basedOn w:val="Normal"/>
    <w:next w:val="FootnoteText"/>
    <w:uiPriority w:val="9"/>
    <w:unhideWhenUsed/>
    <w:qFormat/>
    <w:rPr>
      <w:lang w:val="en-UG" w:eastAsia="en-UG"/>
    </w:rPr>
  </w:style>
  <w:style w:styleId="FootnoteBlockText" w:type="paragraph">
    <w:name w:val="Footnote Block Text"/>
    <w:basedOn w:val="FootnoteText"/>
    <w:next w:val="FootnoteText"/>
    <w:uiPriority w:val="9"/>
    <w:unhideWhenUsed/>
    <w:qFormat/>
    <w:pPr>
      <w:spacing w:after="100" w:before="100"/>
      <w:ind w:firstLine="0" w:left="480" w:right="480"/>
    </w:pPr>
    <w:rPr>
      <w:lang w:val="en-UG" w:eastAsia="en-UG"/>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lang w:val="en-UG" w:eastAsia="en-UG"/>
    </w:rPr>
  </w:style>
  <w:style w:customStyle="1" w:styleId="Definition" w:type="paragraph">
    <w:name w:val="Definition"/>
    <w:basedOn w:val="Normal"/>
    <w:rPr>
      <w:lang w:val="en-UG" w:eastAsia="en-UG"/>
    </w:rPr>
  </w:style>
  <w:style w:styleId="Caption" w:type="paragraph">
    <w:name w:val="Caption"/>
    <w:basedOn w:val="Normal"/>
    <w:link w:val="BodyTextChar"/>
    <w:pPr>
      <w:spacing w:after="120" w:before="0"/>
    </w:pPr>
    <w:rPr>
      <w:rFonts w:ascii="Public Sans" w:cs="Public Sans" w:hAnsi="Public Sans"/>
      <w:i/>
      <w:color w:val="5A5A5A"/>
      <w:sz w:val="18"/>
      <w:lang w:val="en-UG" w:eastAsia="en-UG"/>
    </w:rPr>
  </w:style>
  <w:style w:customStyle="1" w:styleId="TableCaption" w:type="paragraph">
    <w:name w:val="Table Caption"/>
    <w:basedOn w:val="Caption"/>
    <w:pPr>
      <w:keepNext/>
    </w:pPr>
    <w:rPr>
      <w:rFonts w:ascii="Public Sans" w:cs="Public Sans" w:hAnsi="Public Sans"/>
      <w:color w:val="1A1A1A"/>
      <w:sz w:val="20"/>
      <w:lang w:val="en-UG" w:eastAsia="en-UG"/>
    </w:rPr>
  </w:style>
  <w:style w:customStyle="1" w:styleId="ImageCaption" w:type="paragraph">
    <w:name w:val="Image Caption"/>
    <w:basedOn w:val="Caption"/>
    <w:rPr>
      <w:rFonts w:ascii="Public Sans" w:cs="Public Sans" w:hAnsi="Public Sans"/>
      <w:color w:val="5A5A5A"/>
      <w:sz w:val="18"/>
      <w:lang w:val="en-UG" w:eastAsia="en-UG"/>
    </w:rPr>
  </w:style>
  <w:style w:customStyle="1" w:styleId="Figure" w:type="paragraph">
    <w:name w:val="Figure"/>
    <w:basedOn w:val="Normal"/>
    <w:rPr>
      <w:lang w:val="en-UG" w:eastAsia="en-UG"/>
    </w:rPr>
  </w:style>
  <w:style w:customStyle="1" w:styleId="CaptionedFigure" w:type="paragraph">
    <w:name w:val="Captioned Figure"/>
    <w:basedOn w:val="Figure"/>
    <w:pPr>
      <w:keepNext/>
    </w:pPr>
    <w:rPr>
      <w:lang w:val="en-UG" w:eastAsia="en-UG"/>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lang w:val="en-UG" w:eastAsia="en-UG"/>
    </w:rPr>
  </w:style>
  <w:style w:type="paragraph" w:customStyle="1" w:styleId="SourceCode">
    <w:name w:val="Source Code"/>
    <w:basedOn w:val="Normal"/>
    <w:link w:val="VerbatimChar"/>
    <w:pPr>
      <w:wordWrap w:val="off"/>
    </w:pPr>
    <w:rPr>
      <w:lang w:val="en-UG" w:eastAsia="en-UG"/>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Protection Impact Assessment</dc:title>
  <dc:creator>Chwezi Core Systems</dc:creator>
  <cp:keywords>Ogma Library; local-first; requirements; desktop; controlled baseline</cp:keywords>
  <dcterms:created xsi:type="dcterms:W3CDTF">2026-08-13T13:27:35Z</dcterms:created>
  <dcterms:modified xsi:type="dcterms:W3CDTF">2026-08-13T13:27:35Z</dcterms:modified>
  <dc:subject>Ogma Library controlled documentation baseline</dc:subject>
  <dc:description>Version 2.1; Review baseline — not approved for production; regenerated 2026-08-13</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2026-07-06</vt:lpwstr>
  </property>
  <property fmtid="{D5CDD505-2E9C-101B-9397-08002B2CF9AE}" pid="3" name="status">
    <vt:lpwstr>Draft for owner sign-off</vt:lpwstr>
  </property>
  <property fmtid="{D5CDD505-2E9C-101B-9397-08002B2CF9AE}" pid="4" name="subtitle">
    <vt:lpwstr>Governance and Compliance — Personal Product and Classroom / School Deployments</vt:lpwstr>
  </property>
  <property fmtid="{D5CDD505-2E9C-101B-9397-08002B2CF9AE}" pid="5" name="version">
    <vt:lpwstr>2.0</vt:lpwstr>
  </property>
</Properties>
</file>