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Public Website 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ae3138038130fd40cf9a189c36ecc5d8b08afba"/>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Ogma Library — Public Website Specification</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Version</w:t>
            </w:r>
          </w:p>
        </w:tc>
        <w:tc>
          <w:tcPr/>
          <w:p>
            <w:pPr>
              <w:pStyle w:val="Compact"/>
            </w:pPr>
            <w:r>
              <w:t xml:space="preserve">2.1</w:t>
            </w:r>
          </w:p>
        </w:tc>
      </w:tr>
      <w:tr>
        <w:trPr>
          <w:cantSplit/>
        </w:trPr>
        <w:tc>
          <w:tcPr/>
          <w:p>
            <w:pPr>
              <w:pStyle w:val="Compact"/>
            </w:pPr>
            <w:r>
              <w:t xml:space="preserve">Date</w:t>
            </w:r>
          </w:p>
        </w:tc>
        <w:tc>
          <w:tcPr/>
          <w:p>
            <w:pPr>
              <w:pStyle w:val="Compact"/>
            </w:pPr>
            <w:r>
              <w:t xml:space="preserve">2026-08-13</w:t>
            </w:r>
          </w:p>
        </w:tc>
      </w:tr>
      <w:tr>
        <w:trPr>
          <w:cantSplit/>
        </w:trPr>
        <w:tc>
          <w:tcPr/>
          <w:p>
            <w:pPr>
              <w:pStyle w:val="Compact"/>
            </w:pPr>
            <w:r>
              <w:t xml:space="preserve">Website implementation</w:t>
            </w:r>
          </w:p>
        </w:tc>
        <w:tc>
          <w:tcPr/>
          <w:p>
            <w:pPr>
              <w:pStyle w:val="Compact"/>
            </w:pPr>
            <w:r>
              <w:t xml:space="preserve">NOT ASSESSED / not supplied</w:t>
            </w:r>
          </w:p>
        </w:tc>
      </w:tr>
      <w:tr>
        <w:trPr>
          <w:cantSplit/>
        </w:trPr>
        <w:tc>
          <w:tcPr/>
          <w:p>
            <w:pPr>
              <w:pStyle w:val="Compact"/>
            </w:pPr>
            <w:r>
              <w:t xml:space="preserve">Purpose</w:t>
            </w:r>
          </w:p>
        </w:tc>
        <w:tc>
          <w:tcPr/>
          <w:p>
            <w:pPr>
              <w:pStyle w:val="Compact"/>
            </w:pPr>
            <w:r>
              <w:t xml:space="preserve">Explain, prove, qualify, and convert without overstating product readiness</w:t>
            </w:r>
          </w:p>
        </w:tc>
      </w:tr>
    </w:tbl>
    <w:p>
      <w:pPr>
        <w:pStyle w:val="BodyText"/>
      </w:pPr>
      <w:r>
        <w:t xml:space="preserve">The website may publish only approved claims from the controlled claim matrix. Before product release, its primary call to action is “Join the validation programme,” not “Buy now” or “Download production.”</w:t>
      </w:r>
    </w:p>
    <w:bookmarkEnd w:id="9"/>
    <w:bookmarkStart w:id="10" w:name="X7cce55f0e20a6a7b32bb6c422df26e7601a99d8"/>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Information Architecture and Conversion Paths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Page</w:t>
            </w:r>
          </w:p>
        </w:tc>
        <w:tc>
          <w:tcPr>
            <w:shd w:fill="132338"/>
          </w:tcPr>
          <w:p>
            <w:pPr>
              <w:pStyle w:val="Compact"/>
            </w:pPr>
            <w:r>
              <w:rPr>
                <w:rFonts w:ascii="Public Sans" w:hAnsi="Public Sans" w:eastAsia="Public Sans"/>
                <w:b/>
                <w:color w:val="FFFFFF"/>
                <w:sz w:val="17"/>
              </w:rPr>
              <w:t xml:space="preserve">Visitor job</w:t>
            </w:r>
          </w:p>
        </w:tc>
        <w:tc>
          <w:tcPr>
            <w:shd w:fill="132338"/>
          </w:tcPr>
          <w:p>
            <w:pPr>
              <w:pStyle w:val="Compact"/>
            </w:pPr>
            <w:r>
              <w:rPr>
                <w:rFonts w:ascii="Public Sans" w:hAnsi="Public Sans" w:eastAsia="Public Sans"/>
                <w:b/>
                <w:color w:val="FFFFFF"/>
                <w:sz w:val="17"/>
              </w:rPr>
              <w:t xml:space="preserve">Required evidence / CTA</w:t>
            </w:r>
          </w:p>
        </w:tc>
      </w:tr>
      <w:tr>
        <w:trPr>
          <w:cantSplit/>
        </w:trPr>
        <w:tc>
          <w:tcPr/>
          <w:p>
            <w:pPr>
              <w:pStyle w:val="Compact"/>
            </w:pPr>
            <w:r>
              <w:t xml:space="preserve">Home</w:t>
            </w:r>
          </w:p>
        </w:tc>
        <w:tc>
          <w:tcPr/>
          <w:p>
            <w:pPr>
              <w:pStyle w:val="Compact"/>
            </w:pPr>
            <w:r>
              <w:t xml:space="preserve">Understand Ogma in 30 seconds</w:t>
            </w:r>
          </w:p>
        </w:tc>
        <w:tc>
          <w:tcPr/>
          <w:p>
            <w:pPr>
              <w:pStyle w:val="Compact"/>
            </w:pPr>
            <w:r>
              <w:t xml:space="preserve">Concrete workflow, development status, validation-program CTA</w:t>
            </w:r>
          </w:p>
        </w:tc>
      </w:tr>
      <w:tr>
        <w:trPr>
          <w:cantSplit/>
        </w:trPr>
        <w:tc>
          <w:tcPr/>
          <w:p>
            <w:pPr>
              <w:pStyle w:val="Compact"/>
            </w:pPr>
            <w:r>
              <w:t xml:space="preserve">Personal library</w:t>
            </w:r>
          </w:p>
        </w:tc>
        <w:tc>
          <w:tcPr/>
          <w:p>
            <w:pPr>
              <w:pStyle w:val="Compact"/>
            </w:pPr>
            <w:r>
              <w:t xml:space="preserve">Judge import, search, reader, annotation, privacy</w:t>
            </w:r>
          </w:p>
        </w:tc>
        <w:tc>
          <w:tcPr/>
          <w:p>
            <w:pPr>
              <w:pStyle w:val="Compact"/>
            </w:pPr>
            <w:r>
              <w:t xml:space="preserve">Tested screenshots labelled development evidence; requirements links</w:t>
            </w:r>
          </w:p>
        </w:tc>
      </w:tr>
      <w:tr>
        <w:trPr>
          <w:cantSplit/>
        </w:trPr>
        <w:tc>
          <w:tcPr/>
          <w:p>
            <w:pPr>
              <w:pStyle w:val="Compact"/>
            </w:pPr>
            <w:r>
              <w:t xml:space="preserve">Schools</w:t>
            </w:r>
          </w:p>
        </w:tc>
        <w:tc>
          <w:tcPr/>
          <w:p>
            <w:pPr>
              <w:pStyle w:val="Compact"/>
            </w:pPr>
            <w:r>
              <w:t xml:space="preserve">Evaluate LAN/classroom fit</w:t>
            </w:r>
          </w:p>
        </w:tc>
        <w:tc>
          <w:tcPr/>
          <w:p>
            <w:pPr>
              <w:pStyle w:val="Compact"/>
            </w:pPr>
            <w:r>
              <w:t xml:space="preserve">Controller/minors obligations, deployment prerequisites, pilot CTA; no “compliant” badge</w:t>
            </w:r>
          </w:p>
        </w:tc>
      </w:tr>
      <w:tr>
        <w:trPr>
          <w:cantSplit/>
        </w:trPr>
        <w:tc>
          <w:tcPr/>
          <w:p>
            <w:pPr>
              <w:pStyle w:val="Compact"/>
            </w:pPr>
            <w:r>
              <w:t xml:space="preserve">Privacy and AI</w:t>
            </w:r>
          </w:p>
        </w:tc>
        <w:tc>
          <w:tcPr/>
          <w:p>
            <w:pPr>
              <w:pStyle w:val="Compact"/>
            </w:pPr>
            <w:r>
              <w:t xml:space="preserve">See exactly what can leave the device</w:t>
            </w:r>
          </w:p>
        </w:tc>
        <w:tc>
          <w:tcPr/>
          <w:p>
            <w:pPr>
              <w:pStyle w:val="Compact"/>
            </w:pPr>
            <w:r>
              <w:t xml:space="preserve">Tier model, payload-preview example, provider/retention caveats</w:t>
            </w:r>
          </w:p>
        </w:tc>
      </w:tr>
      <w:tr>
        <w:trPr>
          <w:cantSplit/>
        </w:trPr>
        <w:tc>
          <w:tcPr/>
          <w:p>
            <w:pPr>
              <w:pStyle w:val="Compact"/>
            </w:pPr>
            <w:r>
              <w:t xml:space="preserve">Pricing</w:t>
            </w:r>
          </w:p>
        </w:tc>
        <w:tc>
          <w:tcPr/>
          <w:p>
            <w:pPr>
              <w:pStyle w:val="Compact"/>
            </w:pPr>
            <w:r>
              <w:t xml:space="preserve">Compare approved offers</w:t>
            </w:r>
          </w:p>
        </w:tc>
        <w:tc>
          <w:tcPr/>
          <w:p>
            <w:pPr>
              <w:pStyle w:val="Compact"/>
            </w:pPr>
            <w:r>
              <w:t xml:space="preserve">Hidden until commercial gate; hypotheses never published as final</w:t>
            </w:r>
          </w:p>
        </w:tc>
      </w:tr>
      <w:tr>
        <w:trPr>
          <w:cantSplit/>
        </w:trPr>
        <w:tc>
          <w:tcPr/>
          <w:p>
            <w:pPr>
              <w:pStyle w:val="Compact"/>
            </w:pPr>
            <w:r>
              <w:t xml:space="preserve">Evidence</w:t>
            </w:r>
          </w:p>
        </w:tc>
        <w:tc>
          <w:tcPr/>
          <w:p>
            <w:pPr>
              <w:pStyle w:val="Compact"/>
            </w:pPr>
            <w:r>
              <w:t xml:space="preserve">Inspect test, accessibility, security, release, and known-limitations status</w:t>
            </w:r>
          </w:p>
        </w:tc>
        <w:tc>
          <w:tcPr/>
          <w:p>
            <w:pPr>
              <w:pStyle w:val="Compact"/>
            </w:pPr>
            <w:r>
              <w:t xml:space="preserve">Dated evidence matrix and refresh dates</w:t>
            </w:r>
          </w:p>
        </w:tc>
      </w:tr>
      <w:tr>
        <w:trPr>
          <w:cantSplit/>
        </w:trPr>
        <w:tc>
          <w:tcPr/>
          <w:p>
            <w:pPr>
              <w:pStyle w:val="Compact"/>
            </w:pPr>
            <w:r>
              <w:t xml:space="preserve">Support / legal</w:t>
            </w:r>
          </w:p>
        </w:tc>
        <w:tc>
          <w:tcPr/>
          <w:p>
            <w:pPr>
              <w:pStyle w:val="Compact"/>
            </w:pPr>
            <w:r>
              <w:t xml:space="preserve">Know support scope, terms, privacy, refunds, updates</w:t>
            </w:r>
          </w:p>
        </w:tc>
        <w:tc>
          <w:tcPr/>
          <w:p>
            <w:pPr>
              <w:pStyle w:val="Compact"/>
            </w:pPr>
            <w:r>
              <w:t xml:space="preserve">Approved policy documents and contact route</w:t>
            </w:r>
          </w:p>
        </w:tc>
      </w:tr>
    </w:tbl>
    <w:p>
      <w:pPr>
        <w:pStyle w:val="BodyText"/>
      </w:pPr>
      <w:r>
        <w:t xml:space="preserve">Navigation remains keyboard operable, descriptive, and no deeper than two levels for the core buyer journeys.</w:t>
      </w:r>
    </w:p>
    <w:bookmarkEnd w:id="10"/>
    <w:bookmarkStart w:id="11" w:name="claims-proof-and-content-controls"/>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Claims, Proof, and Content Controls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Proposed claim</w:t>
            </w:r>
          </w:p>
        </w:tc>
        <w:tc>
          <w:tcPr>
            <w:shd w:fill="132338"/>
          </w:tcPr>
          <w:p>
            <w:pPr>
              <w:pStyle w:val="Compact"/>
            </w:pPr>
            <w:r>
              <w:rPr>
                <w:rFonts w:ascii="Public Sans" w:hAnsi="Public Sans" w:eastAsia="Public Sans"/>
                <w:b/>
                <w:color w:val="FFFFFF"/>
                <w:sz w:val="17"/>
              </w:rPr>
              <w:t xml:space="preserve">Permitted wording now</w:t>
            </w:r>
          </w:p>
        </w:tc>
        <w:tc>
          <w:tcPr>
            <w:shd w:fill="132338"/>
          </w:tcPr>
          <w:p>
            <w:pPr>
              <w:pStyle w:val="Compact"/>
            </w:pPr>
            <w:r>
              <w:rPr>
                <w:rFonts w:ascii="Public Sans" w:hAnsi="Public Sans" w:eastAsia="Public Sans"/>
                <w:b/>
                <w:color w:val="FFFFFF"/>
                <w:sz w:val="17"/>
              </w:rPr>
              <w:t xml:space="preserve">Proof needed for stronger wording</w:t>
            </w:r>
          </w:p>
        </w:tc>
      </w:tr>
      <w:tr>
        <w:trPr>
          <w:cantSplit/>
        </w:trPr>
        <w:tc>
          <w:tcPr/>
          <w:p>
            <w:pPr>
              <w:pStyle w:val="Compact"/>
            </w:pPr>
            <w:r>
              <w:t xml:space="preserve">“Local-first”</w:t>
            </w:r>
          </w:p>
        </w:tc>
        <w:tc>
          <w:tcPr/>
          <w:p>
            <w:pPr>
              <w:pStyle w:val="Compact"/>
            </w:pPr>
            <w:r>
              <w:t xml:space="preserve">Core catalogue/reader behavior is designed for local operation; optional provider calls are user-controlled</w:t>
            </w:r>
          </w:p>
        </w:tc>
        <w:tc>
          <w:tcPr/>
          <w:p>
            <w:pPr>
              <w:pStyle w:val="Compact"/>
            </w:pPr>
            <w:r>
              <w:t xml:space="preserve">Network-blocked release-candidate journey and privacy review</w:t>
            </w:r>
          </w:p>
        </w:tc>
      </w:tr>
      <w:tr>
        <w:trPr>
          <w:cantSplit/>
        </w:trPr>
        <w:tc>
          <w:tcPr/>
          <w:p>
            <w:pPr>
              <w:pStyle w:val="Compact"/>
            </w:pPr>
            <w:r>
              <w:t xml:space="preserve">“800 tests pass”</w:t>
            </w:r>
          </w:p>
        </w:tc>
        <w:tc>
          <w:tcPr/>
          <w:p>
            <w:pPr>
              <w:pStyle w:val="Compact"/>
            </w:pPr>
            <w:r>
              <w:t xml:space="preserve">800 automated cases passed at named commit/date</w:t>
            </w:r>
          </w:p>
        </w:tc>
        <w:tc>
          <w:tcPr/>
          <w:p>
            <w:pPr>
              <w:pStyle w:val="Compact"/>
            </w:pPr>
            <w:r>
              <w:t xml:space="preserve">Public build must use the same commit/artifact chain</w:t>
            </w:r>
          </w:p>
        </w:tc>
      </w:tr>
      <w:tr>
        <w:trPr>
          <w:cantSplit/>
        </w:trPr>
        <w:tc>
          <w:tcPr/>
          <w:p>
            <w:pPr>
              <w:pStyle w:val="Compact"/>
            </w:pPr>
            <w:r>
              <w:t xml:space="preserve">“Private”</w:t>
            </w:r>
          </w:p>
        </w:tc>
        <w:tc>
          <w:tcPr/>
          <w:p>
            <w:pPr>
              <w:pStyle w:val="Compact"/>
            </w:pPr>
            <w:r>
              <w:t xml:space="preserve">Payload preview and privacy tiers have code/test evidence</w:t>
            </w:r>
          </w:p>
        </w:tc>
        <w:tc>
          <w:tcPr/>
          <w:p>
            <w:pPr>
              <w:pStyle w:val="Compact"/>
            </w:pPr>
            <w:r>
              <w:t xml:space="preserve">Threat model, SAST, penetration review, provider/legal review</w:t>
            </w:r>
          </w:p>
        </w:tc>
      </w:tr>
      <w:tr>
        <w:trPr>
          <w:cantSplit/>
        </w:trPr>
        <w:tc>
          <w:tcPr/>
          <w:p>
            <w:pPr>
              <w:pStyle w:val="Compact"/>
            </w:pPr>
            <w:r>
              <w:t xml:space="preserve">“Accessible”</w:t>
            </w:r>
          </w:p>
        </w:tc>
        <w:tc>
          <w:tcPr/>
          <w:p>
            <w:pPr>
              <w:pStyle w:val="Compact"/>
            </w:pPr>
            <w:r>
              <w:t xml:space="preserve">Accessibility is a binding target</w:t>
            </w:r>
          </w:p>
        </w:tc>
        <w:tc>
          <w:tcPr/>
          <w:p>
            <w:pPr>
              <w:pStyle w:val="Compact"/>
            </w:pPr>
            <w:r>
              <w:t xml:space="preserve">Manual WCAG 2.2 AA audit and assistive-technology evidence</w:t>
            </w:r>
          </w:p>
        </w:tc>
      </w:tr>
      <w:tr>
        <w:trPr>
          <w:cantSplit/>
        </w:trPr>
        <w:tc>
          <w:tcPr/>
          <w:p>
            <w:pPr>
              <w:pStyle w:val="Compact"/>
            </w:pPr>
            <w:r>
              <w:t xml:space="preserve">“For schools”</w:t>
            </w:r>
          </w:p>
        </w:tc>
        <w:tc>
          <w:tcPr/>
          <w:p>
            <w:pPr>
              <w:pStyle w:val="Compact"/>
            </w:pPr>
            <w:r>
              <w:t xml:space="preserve">Institutional workflows have partial code/test evidence</w:t>
            </w:r>
          </w:p>
        </w:tc>
        <w:tc>
          <w:tcPr/>
          <w:p>
            <w:pPr>
              <w:pStyle w:val="Compact"/>
            </w:pPr>
            <w:r>
              <w:t xml:space="preserve">Jurisdiction decision, minors DPIA, LAN pilot, support and education terms</w:t>
            </w:r>
          </w:p>
        </w:tc>
      </w:tr>
    </w:tbl>
    <w:p>
      <w:pPr>
        <w:pStyle w:val="BodyText"/>
      </w:pPr>
      <w:r>
        <w:t xml:space="preserve">Screenshots disclose synthetic/headless fixtures. Competitor comparisons use “not observed in the reviewed set as of 2026-08-13,” name sources, and expire before publication. No fabricated testimonial, logo, user count, rating, security badge, compliance seal, performance number, or availability date is allowed.</w:t>
      </w:r>
    </w:p>
    <w:bookmarkEnd w:id="11"/>
    <w:bookmarkStart w:id="12" w:name="X359de8c9cb0814d05844c3e5af325f95a4b4841"/>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Website Quality, Analytics, and Launch Gate</w:t>
      </w:r>
    </w:p>
    <w:p>
      <w:pPr>
        <w:pStyle w:val="Compact"/>
        <w:numPr>
          <w:ilvl w:val="0"/>
          <w:numId w:val="1001"/>
        </w:numPr>
      </w:pPr>
      <w:r>
        <w:t xml:space="preserve">Typography: Spectral for editorial headings, Public Sans for body/interface copy, JetBrains Mono for technical evidence. Palette: ink navy, oxblood, vellum, and muted brass; Inter and other banned generic primaries are prohibited.</w:t>
      </w:r>
    </w:p>
    <w:p>
      <w:pPr>
        <w:pStyle w:val="Compact"/>
        <w:numPr>
          <w:ilvl w:val="0"/>
          <w:numId w:val="1001"/>
        </w:numPr>
      </w:pPr>
      <w:r>
        <w:t xml:space="preserve">Accessibility: WCAG 2.2 AA target; keyboard complete; visible focus; 200% zoom without loss; reduced motion; meaningful alt text; form errors associated with fields.</w:t>
      </w:r>
    </w:p>
    <w:p>
      <w:pPr>
        <w:pStyle w:val="Compact"/>
        <w:numPr>
          <w:ilvl w:val="0"/>
          <w:numId w:val="1001"/>
        </w:numPr>
      </w:pPr>
      <w:r>
        <w:t xml:space="preserve">Performance budgets at P75 mobile: LCP ≤2.5 s, INP ≤200 ms, CLS ≤0.1; JavaScript ≤180 KB compressed on brochure pages and optimized images with explicit dimensions.</w:t>
      </w:r>
    </w:p>
    <w:p>
      <w:pPr>
        <w:pStyle w:val="Compact"/>
        <w:numPr>
          <w:ilvl w:val="0"/>
          <w:numId w:val="1001"/>
        </w:numPr>
      </w:pPr>
      <w:r>
        <w:t xml:space="preserve">SEO: unique title/description, canonical URL, sitemap, robots policy, structured Product/SoftwareApplication data only when the corresponding claims are approved.</w:t>
      </w:r>
    </w:p>
    <w:p>
      <w:pPr>
        <w:pStyle w:val="Compact"/>
        <w:numPr>
          <w:ilvl w:val="0"/>
          <w:numId w:val="1001"/>
        </w:numPr>
      </w:pPr>
      <w:r>
        <w:t xml:space="preserve">Analytics: consent-dependent, content-free events for CTA view/click, form start/submit/error, evidence-page view, and qualified pilot request. Never capture document titles, search terms, or AI payloads.</w:t>
      </w:r>
    </w:p>
    <w:p>
      <w:pPr>
        <w:pStyle w:val="Compact"/>
        <w:numPr>
          <w:ilvl w:val="0"/>
          <w:numId w:val="1001"/>
        </w:numPr>
      </w:pPr>
      <w:r>
        <w:t xml:space="preserve">Download integrity: signed artifacts only, SHA-256 displayed, version/OS/architecture explicit, release notes and rollback/support links adjacent.</w:t>
      </w:r>
    </w:p>
    <w:p>
      <w:pPr>
        <w:pStyle w:val="FirstParagraph"/>
      </w:pPr>
      <w:r>
        <w:t xml:space="preserve">Launch requires automated accessibility/performance checks, manual keyboard/screen-reader sampling, broken-link scan, privacy/legal/content approval, analytics validation, and a rollbackable deployment. A website build or hosted deployment is NOT ASSESSED in this workspace.</w:t>
      </w:r>
    </w:p>
    <w:bookmarkEnd w:id="12"/>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PUBLIC WEBSITE SPECIFICATION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Website Specification</dc:title>
  <dc:creator>Chwezi Core Systems</dc:creator>
  <cp:keywords>Ogma Library; local-first; requirements; desktop; controlled baseline</cp:keywords>
  <dcterms:created xsi:type="dcterms:W3CDTF">2026-08-13T13:27:18Z</dcterms:created>
  <dcterms:modified xsi:type="dcterms:W3CDTF">2026-08-13T13:27:18Z</dcterms:modified>
  <dc:subject>Ogma Library controlled documentation baseline</dc:subject>
  <dc:description>Version 2.1; Review baseline — not approved for production; regenerated 2026-08-13</dc:description>
</cp:coreProperties>
</file>

<file path=docProps/custom.xml><?xml version="1.0" encoding="utf-8"?>
<Properties xmlns="http://schemas.openxmlformats.org/officeDocument/2006/custom-properties" xmlns:vt="http://schemas.openxmlformats.org/officeDocument/2006/docPropsVTypes"/>
</file>