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Risk Register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risk-register-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Risk Register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t xml:space="preserve">ISO 31000:2018; ISO/IEC 27001:2022 §6.1; IEEE 1012-2016 anomaly identification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Version 1.0 split risks across two formats (bulleted security risks, tabular delivery risks). Version 2.0 normalises all risks into one table, updates every status against the as-built evidence in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and the codebase git history, and adds six risks (RISK-018 through RISK-023) arising from the classroom scope, the delivery model, and the open build items.</w:t>
      </w:r>
    </w:p>
    <w:bookmarkStart w:id="9" w:name="Xb2526ce6e17db5be68806b3af5f367e216bff6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Scoring Method</w:t>
      </w:r>
    </w:p>
    <w:p>
      <w:pPr>
        <w:pStyle w:val="Compact"/>
        <w:numPr>
          <w:ilvl w:val="0"/>
          <w:numId w:val="1001"/>
        </w:numPr>
      </w:pPr>
      <w:r>
        <w:t xml:space="preserve">Likelihood (L) and Impact (I) each 1–5 (1 = Rare/Negligible, 3 = Possible/Moderate, 5 = Almost Certain/Catastrophic). Score = L × I.</w:t>
      </w:r>
    </w:p>
    <w:p>
      <w:pPr>
        <w:pStyle w:val="Compact"/>
        <w:numPr>
          <w:ilvl w:val="0"/>
          <w:numId w:val="1001"/>
        </w:numPr>
      </w:pPr>
      <w:r>
        <w:t xml:space="preserve">Tolerance: 1–4 Low, 5–9 Medium, 10–15 High, 16–25 Critical. Scores of 10+ require a named mitigation with a dated verification point.</w:t>
      </w:r>
    </w:p>
    <w:p>
      <w:pPr>
        <w:pStyle w:val="Compact"/>
        <w:numPr>
          <w:ilvl w:val="0"/>
          <w:numId w:val="1001"/>
        </w:numPr>
      </w:pPr>
      <w:r>
        <w:t xml:space="preserve">Status values: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(mitigation pending),</w:t>
      </w:r>
      <w:r>
        <w:t xml:space="preserve"> </w:t>
      </w:r>
      <w:r>
        <w:rPr>
          <w:b/>
          <w:bCs/>
        </w:rPr>
        <w:t xml:space="preserve">Mitigated — verification pending</w:t>
      </w:r>
      <w:r>
        <w:t xml:space="preserve"> </w:t>
      </w:r>
      <w:r>
        <w:t xml:space="preserve">(controls implemented in code; adversarial or formal verification scheduled),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(risk event can no longer occur; evidence cited),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(owner-recorded acceptance).</w:t>
      </w:r>
    </w:p>
    <w:p>
      <w:pPr>
        <w:pStyle w:val="Compact"/>
        <w:numPr>
          <w:ilvl w:val="0"/>
          <w:numId w:val="1001"/>
        </w:numPr>
      </w:pPr>
      <w:r>
        <w:t xml:space="preserve">Ratings shown are post-mitigation (residual). Owners are roles per</w:t>
      </w:r>
      <w:r>
        <w:t xml:space="preserve"> </w:t>
      </w:r>
      <w:r>
        <w:rPr>
          <w:rStyle w:val="VerbatimChar"/>
        </w:rPr>
        <w:t xml:space="preserve">_context/stakeholders.md</w:t>
      </w:r>
      <w:r>
        <w:t xml:space="preserve">.</w:t>
      </w:r>
    </w:p>
    <w:bookmarkEnd w:id="9"/>
    <w:bookmarkStart w:id="10" w:name="X11fa80402853ad4af4e211c3ee57d2b8934705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Risk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Score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Mitigation → controls/decisions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RISK-001</w:t>
            </w:r>
          </w:p>
        </w:tc>
        <w:tc>
          <w:tcPr/>
          <w:p>
            <w:pPr>
              <w:pStyle w:val="Compact"/>
            </w:pPr>
            <w:r>
              <w:t xml:space="preserve">Provider credential exposure via logs, settings, or crash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OS credential storage, log redaction, deletion on provider removal → CTRL-001, CTRL-002, CTRL-003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SAST/review, US-051)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RISK-002</w:t>
            </w:r>
          </w:p>
        </w:tc>
        <w:tc>
          <w:tcPr/>
          <w:p>
            <w:pPr>
              <w:pStyle w:val="Compact"/>
            </w:pPr>
            <w:r>
              <w:t xml:space="preserve">Malicious/malformed PDF exploits render or OCR path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Untrusted-content workers, scripting disabled, bounded time/memory → CTRL-004..007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(malformed-corpus adversarial run, Phase 19)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RISK-003</w:t>
            </w:r>
          </w:p>
        </w:tc>
        <w:tc>
          <w:tcPr/>
          <w:p>
            <w:pPr>
              <w:pStyle w:val="Compact"/>
            </w:pPr>
            <w:r>
              <w:t xml:space="preserve">Metadata write-back corrupts an original file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Backup → diff → verify-reopen → restore inside validated root → CTRL-011, NFR-PROD-010; fault-injection tests pass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20 fault-injection re-run on reference hardware)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RISK-004</w:t>
            </w:r>
          </w:p>
        </w:tc>
        <w:tc>
          <w:tcPr/>
          <w:p>
            <w:pPr>
              <w:pStyle w:val="Compact"/>
            </w:pPr>
            <w:r>
              <w:t xml:space="preserve">Path traversal / symlink escape beyond library root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Canonicalise and validate all paths; quarantine traversal entries → CTRL-008..010; Phase 16 path-validation tests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RISK-005</w:t>
            </w:r>
          </w:p>
        </w:tc>
        <w:tc>
          <w:tcPr/>
          <w:p>
            <w:pPr>
              <w:pStyle w:val="Compact"/>
            </w:pPr>
            <w:r>
              <w:t xml:space="preserve">Tampered or unsigned update installed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Code-signing, signature verification before install, authenticated update channel → CTRL-012, CTRL-013, ADR-0009</w:t>
            </w:r>
          </w:p>
        </w:tc>
        <w:tc>
          <w:tcPr/>
          <w:p>
            <w:pPr>
              <w:pStyle w:val="Compact"/>
            </w:pPr>
            <w:r>
              <w:t xml:space="preserve">Engineering lead (release)</w:t>
            </w:r>
          </w:p>
        </w:tc>
        <w:tc>
          <w:tcPr/>
          <w:p>
            <w:pPr>
              <w:pStyle w:val="Compact"/>
            </w:pPr>
            <w:r>
              <w:t xml:space="preserve">Open (no packaging exists yet; lands with US-056, Sprint-4)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RISK-006</w:t>
            </w:r>
          </w:p>
        </w:tc>
        <w:tc>
          <w:tcPr/>
          <w:p>
            <w:pPr>
              <w:pStyle w:val="Compact"/>
            </w:pPr>
            <w:r>
              <w:t xml:space="preserve">User content transmitted off-device without intent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Single egress chokepoint, active-tier requirement, confirmed payload preview, minimisation → CTRL-016, CTRL-017, CTRL-020; architecture test forbids bypass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review of gateway paths)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RISK-007</w:t>
            </w:r>
          </w:p>
        </w:tc>
        <w:tc>
          <w:tcPr/>
          <w:p>
            <w:pPr>
              <w:pStyle w:val="Compact"/>
            </w:pPr>
            <w:r>
              <w:t xml:space="preserve">AI history/embeddings retain content after expected deletion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Scoped erasure of history, vectors, cached responses; provider deletion path surfaced → CTRL-023, NFR-PROD-014; erasure-residue tests 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RISK-008</w:t>
            </w:r>
          </w:p>
        </w:tc>
        <w:tc>
          <w:tcPr/>
          <w:p>
            <w:pPr>
              <w:pStyle w:val="Compact"/>
            </w:pPr>
            <w:r>
              <w:t xml:space="preserve">Cross-jurisdiction transfer without notice or lawful basis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Provider region surfaced pre-use; DPIA screening per off-device feature → CTRL-021, CTRL-024; DPIA v2.0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(target-jurisdiction decision outstanding — audit finding F-14, DPIA §2.7)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RISK-009</w:t>
            </w:r>
          </w:p>
        </w:tc>
        <w:tc>
          <w:tcPr/>
          <w:p>
            <w:pPr>
              <w:pStyle w:val="Compact"/>
            </w:pPr>
            <w:r>
              <w:t xml:space="preserve">Provider trains on user content without distinct consent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No-training flag default opt-out; separate explicit opt-in → CTRL-022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RISK-010</w:t>
            </w:r>
          </w:p>
        </w:tc>
        <w:tc>
          <w:tcPr/>
          <w:p>
            <w:pPr>
              <w:pStyle w:val="Compact"/>
            </w:pPr>
            <w:r>
              <w:t xml:space="preserve">WebView-to-Three.js bridge unreliable on macOS WKWebView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01 spike + Phase 14 shipped typed bridge with</w:t>
            </w:r>
            <w:r>
              <w:t xml:space="preserve"> </w:t>
            </w:r>
            <w:r>
              <w:rPr>
                <w:rStyle w:val="VerbatimChar"/>
              </w:rPr>
              <w:t xml:space="preserve">ogma://</w:t>
            </w:r>
            <w:r>
              <w:t xml:space="preserve"> </w:t>
            </w:r>
            <w:r>
              <w:t xml:space="preserve">scheme → ADR-0003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2026-06-02 (3D shelf implemented and tested; evidence:</w:t>
            </w:r>
            <w:r>
              <w:t xml:space="preserve"> </w:t>
            </w:r>
            <w:r>
              <w:rPr>
                <w:rStyle w:val="VerbatimChar"/>
              </w:rPr>
              <w:t xml:space="preserve">OgmaLibrary.Bookshelf3D</w:t>
            </w:r>
            <w:r>
              <w:t xml:space="preserve">, Phase 14 commits)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RISK-011</w:t>
            </w:r>
          </w:p>
        </w:tc>
        <w:tc>
          <w:tcPr/>
          <w:p>
            <w:pPr>
              <w:pStyle w:val="Compact"/>
            </w:pPr>
            <w:r>
              <w:t xml:space="preserve">Chosen PDFium wrapper fails to package on a target platform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Wrapper benchmark spike; renderer isolated behind adapter → ADR-0004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</w:t>
            </w:r>
            <w:r>
              <w:rPr>
                <w:rStyle w:val="VerbatimChar"/>
              </w:rPr>
              <w:t xml:space="preserve">PdfiumAdapter</w:t>
            </w:r>
            <w:r>
              <w:t xml:space="preserve"> </w:t>
            </w:r>
            <w:r>
              <w:t xml:space="preserve">via PDFtoImage/SkiaSharp shipped; reader in production use in dev builds)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RISK-012</w:t>
            </w:r>
          </w:p>
        </w:tc>
        <w:tc>
          <w:tcPr/>
          <w:p>
            <w:pPr>
              <w:pStyle w:val="Compact"/>
            </w:pPr>
            <w:r>
              <w:t xml:space="preserve">3D shelf degrades below frame-rate budget on large libraries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Virtualised shelf, visible-book cap, search-driven focus, grid/list fallback → NFR-OGMA-006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(binding measurement on UHD 620 at Phase 20, US-053)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RISK-013</w:t>
            </w:r>
          </w:p>
        </w:tc>
        <w:tc>
          <w:tcPr/>
          <w:p>
            <w:pPr>
              <w:pStyle w:val="Compact"/>
            </w:pPr>
            <w:r>
              <w:t xml:space="preserve">Full-text + embedding index grows unmanageably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Sidecar storage, configurable indexing, size exposed in Index Manager → FR-SEARCH-006, NFR-OGMA-004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(50,000-item scale test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RISK-014</w:t>
            </w:r>
          </w:p>
        </w:tc>
        <w:tc>
          <w:tcPr/>
          <w:p>
            <w:pPr>
              <w:pStyle w:val="Compact"/>
            </w:pPr>
            <w:r>
              <w:t xml:space="preserve">External metadata providers return conflicting values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Field-level provenance and reviewable confidence merge; local edits win → FR-META-003, FR-META-004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(merge policy + provenance implemented with provider-stub tests)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RISK-015</w:t>
            </w:r>
          </w:p>
        </w:tc>
        <w:tc>
          <w:tcPr/>
          <w:p>
            <w:pPr>
              <w:pStyle w:val="Compact"/>
            </w:pPr>
            <w:r>
              <w:t xml:space="preserve">OCR slow or inaccurate on scanned documents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 background OCR, stored confidence, OCR-derived labelling → FR-READ-010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(accuracy sampling on golden corpus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RISK-016</w:t>
            </w:r>
          </w:p>
        </w:tc>
        <w:tc>
          <w:tcPr/>
          <w:p>
            <w:pPr>
              <w:pStyle w:val="Compact"/>
            </w:pPr>
            <w:r>
              <w:t xml:space="preserve">Runtime/package incompatibility with the .NET baseline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00 compatibility matrix; .NET 8 fallback only behind documented blocker → ADR-0001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2026-05-30 (net10.0 solution builds warnings-as-errors with full test suite; residual package-mix issue tracked separately as RISK-022)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RISK-017</w:t>
            </w:r>
          </w:p>
        </w:tc>
        <w:tc>
          <w:tcPr/>
          <w:p>
            <w:pPr>
              <w:pStyle w:val="Compact"/>
            </w:pPr>
            <w:r>
              <w:t xml:space="preserve">Extracted text out of reading order pollutes search/citations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Extraction-quality flags; extracted text never treated as clean for AI/citation → FR-SEARCH-002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(two-column corpus checks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RISK-018</w:t>
            </w:r>
          </w:p>
        </w:tc>
        <w:tc>
          <w:tcPr/>
          <w:p>
            <w:pPr>
              <w:pStyle w:val="Compact"/>
            </w:pPr>
            <w:r>
              <w:t xml:space="preserve">LAN host mode opens an attack surface (TLS misconfiguration, enrollment abuse, streaming endpoint exploitation) on school networks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Off-by-default host, TLS + TOFU fingerprints, enrollment codes, per-profile auth, path validation, session revocation, host audit → FR-LAN-001..010, CTRL-016, CTRL-018; adversarial testing scheduled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Open (Phase 19 threat-model execution, US-051, Sprint-1)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RISK-019</w:t>
            </w:r>
          </w:p>
        </w:tc>
        <w:tc>
          <w:tcPr/>
          <w:p>
            <w:pPr>
              <w:pStyle w:val="Compact"/>
            </w:pPr>
            <w:r>
              <w:t xml:space="preserve">Minors' reading and AI-query data mishandled in classroom deployments (surveillance, exposure, retention)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Aggregate-only disclosed dashboards → FR-CLIENT-012; metadata-only class default and admin-gated content tier → FR-ADMIN-006, FR-ADMIN-007; student deletion and institutional purge → FR-ADMIN-012, FR-ADMIN-013; DPIA v2.0 minors section (</w:t>
            </w:r>
            <w:r>
              <w:rPr>
                <w:rStyle w:val="VerbatimChar"/>
              </w:rPr>
              <w:t xml:space="preserve">03-dpia/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(jurisdiction decision F-14 and school-controller guidance outstanding; controls implemented)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RISK-020</w:t>
            </w:r>
          </w:p>
        </w:tc>
        <w:tc>
          <w:tcPr/>
          <w:p>
            <w:pPr>
              <w:pStyle w:val="Compact"/>
            </w:pPr>
            <w:r>
              <w:t xml:space="preserve">Microsoft Store / Mac App Store submission rejected (sandbox, entitlement, or policy findings), delaying launch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Early submission in Sprint-4 with filing (not approval) as exit criterion; Velopack direct channel as fallback → ADR-0009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(Phase 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RISK-021</w:t>
            </w:r>
          </w:p>
        </w:tc>
        <w:tc>
          <w:tcPr/>
          <w:p>
            <w:pPr>
              <w:pStyle w:val="Compact"/>
            </w:pPr>
            <w:r>
              <w:t xml:space="preserve">Single-maintainer bus factor: the compressed Phases 00–18 build concentrated all system knowledge in one contributor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XML-doc'd code, ADR catalog (ADR-0001..0015), grand-plan phase READMEs, this documentation baseline; team-of-3 forward plan spreads ownership by role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(Critical band; standing item at every sprint review until a second contributor closes a full story solo)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RISK-022</w:t>
            </w:r>
          </w:p>
        </w:tc>
        <w:tc>
          <w:tcPr/>
          <w:p>
            <w:pPr>
              <w:pStyle w:val="Compact"/>
            </w:pPr>
            <w:r>
              <w:t xml:space="preserve">Runtime/package incompatibility returns after a dependency change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Aligned .NET 10/EF Core 10 baseline; Release suite and vulnerability audit → ADR-0016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for commit</w:t>
            </w:r>
            <w:r>
              <w:t xml:space="preserve"> </w:t>
            </w:r>
            <w:r>
              <w:rPr>
                <w:rStyle w:val="VerbatimChar"/>
              </w:rPr>
              <w:t xml:space="preserve">26df983</w:t>
            </w:r>
            <w:r>
              <w:t xml:space="preserve"> </w:t>
            </w:r>
            <w:r>
              <w:t xml:space="preserve">on 2026-08-13; reopen on package/runtime 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RISK-023</w:t>
            </w:r>
          </w:p>
        </w:tc>
        <w:tc>
          <w:tcPr/>
          <w:p>
            <w:pPr>
              <w:pStyle w:val="Compact"/>
            </w:pPr>
            <w:r>
              <w:t xml:space="preserve">Premium icon procurement delay blocks the release gate (placeholders are a release blocker by policy)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Owner decision + asset delivery, or recorded waiver, before Sprint-4 packaging → retrospective action A-3; grand plan principle 8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(due 2026-08-21)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RISK-024</w:t>
            </w:r>
          </w:p>
        </w:tc>
        <w:tc>
          <w:tcPr/>
          <w:p>
            <w:pPr>
              <w:pStyle w:val="Compact"/>
            </w:pPr>
            <w:r>
              <w:t xml:space="preserve">Primary UI ships with the banned Inter dependency and placeholder styling, weakening readability, identity, and premium positioning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Implement the controlled Spectral/Public Sans/JetBrains Mono system, replace icon placeholders, and run keyboard/contrast/zoom/manual screen review</w:t>
            </w:r>
          </w:p>
        </w:tc>
        <w:tc>
          <w:tcPr/>
          <w:p>
            <w:pPr>
              <w:pStyle w:val="Compact"/>
            </w:pPr>
            <w:r>
              <w:t xml:space="preserve">Design/UX lead</w:t>
            </w:r>
          </w:p>
        </w:tc>
        <w:tc>
          <w:tcPr/>
          <w:p>
            <w:pPr>
              <w:pStyle w:val="Compact"/>
            </w:pPr>
            <w:r>
              <w:t xml:space="preserve">Open; blocks design acceptance and store screenshots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RISK-025</w:t>
            </w:r>
          </w:p>
        </w:tc>
        <w:tc>
          <w:tcPr/>
          <w:p>
            <w:pPr>
              <w:pStyle w:val="Compact"/>
            </w:pPr>
            <w:r>
              <w:t xml:space="preserve">Pricing, school-seat terms, update obligations, refunds, taxes, or AI cost policy are sold before commercial controls are ratified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Business-case assumptions register, finance quality gate, store gross-to-net reconciliation, revenue/tax policy, refund/chargeback process, AI quota/cost controls</w:t>
            </w:r>
          </w:p>
        </w:tc>
        <w:tc>
          <w:tcPr/>
          <w:p>
            <w:pPr>
              <w:pStyle w:val="Compact"/>
            </w:pPr>
            <w:r>
              <w:t xml:space="preserve">Product owner + finance controller</w:t>
            </w:r>
          </w:p>
        </w:tc>
        <w:tc>
          <w:tcPr/>
          <w:p>
            <w:pPr>
              <w:pStyle w:val="Compact"/>
            </w:pPr>
            <w:r>
              <w:t xml:space="preserve">Open; blocks paid launch and education contracting</w:t>
            </w:r>
          </w:p>
        </w:tc>
      </w:tr>
    </w:tbl>
    <w:bookmarkEnd w:id="10"/>
    <w:bookmarkStart w:id="11" w:name="Xc5791f7e79582ee58e4cf668ac1bc2d7d7f18b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Residual-Risk Summary</w:t>
      </w:r>
    </w:p>
    <w:p>
      <w:pPr>
        <w:pStyle w:val="Compact"/>
        <w:numPr>
          <w:ilvl w:val="0"/>
          <w:numId w:val="1002"/>
        </w:numPr>
      </w:pPr>
      <w:r>
        <w:t xml:space="preserve">Critical band (16–25): RISK-021 only; no acceptance record was found, so it remains open.</w:t>
      </w:r>
    </w:p>
    <w:p>
      <w:pPr>
        <w:pStyle w:val="Compact"/>
        <w:numPr>
          <w:ilvl w:val="0"/>
          <w:numId w:val="1002"/>
        </w:numPr>
      </w:pPr>
      <w:r>
        <w:t xml:space="preserve">High band (10–15): RISK-002, RISK-008, RISK-018, RISK-019, RISK-023, RISK-024, and RISK-025.</w:t>
      </w:r>
    </w:p>
    <w:p>
      <w:pPr>
        <w:pStyle w:val="Compact"/>
        <w:numPr>
          <w:ilvl w:val="0"/>
          <w:numId w:val="1002"/>
        </w:numPr>
      </w:pPr>
      <w:r>
        <w:t xml:space="preserve">Retired with point-in-time evidence: RISK-010, RISK-011, RISK-014, RISK-016, and RISK-022. Retired risks remain visible and reopen when their trigger occurs.</w:t>
      </w:r>
    </w:p>
    <w:bookmarkEnd w:id="11"/>
    <w:bookmarkStart w:id="12" w:name="Xad5700e464ae43a575318c24fbf8e4250f44c1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Review Cadence and Escalation</w:t>
      </w:r>
    </w:p>
    <w:p>
      <w:pPr>
        <w:pStyle w:val="Compact"/>
        <w:numPr>
          <w:ilvl w:val="0"/>
          <w:numId w:val="1003"/>
        </w:numPr>
      </w:pPr>
      <w:r>
        <w:t xml:space="preserve">The register is reviewed at each sprint review (2-week cadence, starting 2026-07-24) and at every phase gate.</w:t>
      </w:r>
    </w:p>
    <w:p>
      <w:pPr>
        <w:pStyle w:val="Compact"/>
        <w:numPr>
          <w:ilvl w:val="0"/>
          <w:numId w:val="1003"/>
        </w:numPr>
      </w:pPr>
      <w:r>
        <w:t xml:space="preserve">A new risk takes the next sequential identifier; a retired risk keeps its row, closure date, and evidence pointer.</w:t>
      </w:r>
    </w:p>
    <w:p>
      <w:pPr>
        <w:pStyle w:val="Compact"/>
        <w:numPr>
          <w:ilvl w:val="0"/>
          <w:numId w:val="1003"/>
        </w:numPr>
      </w:pPr>
      <w:r>
        <w:t xml:space="preserve">Any risk entering the Critical band, and any High risk missing its dated verification point, escalates to the product owner at the sprint review; escalations and acceptances are recorded in the sign-off ledger.</w:t>
      </w:r>
    </w:p>
    <w:p>
      <w:pPr>
        <w:pStyle w:val="Compact"/>
        <w:numPr>
          <w:ilvl w:val="0"/>
          <w:numId w:val="1003"/>
        </w:numPr>
      </w:pPr>
      <w:r>
        <w:t xml:space="preserve">Trigger conditions for out-of-cycle reassessment: a Phase 19 adversarial finding, a store-submission rejection, any classroom-pilot incident involving student data, and any change to a baselined CTRL requirement (which also requires a Change Impact Analysis entry).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RISK REGISTER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</dc:title>
  <dc:creator>Chwezi Core Systems</dc:creator>
  <cp:keywords>Ogma Library; local-first; requirements; desktop; controlled baseline</cp:keywords>
  <dcterms:created xsi:type="dcterms:W3CDTF">2026-08-13T13:27:36Z</dcterms:created>
  <dcterms:modified xsi:type="dcterms:W3CDTF">2026-08-13T13:27:36Z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Risk Register</vt:lpwstr>
  </property>
  <property fmtid="{D5CDD505-2E9C-101B-9397-08002B2CF9AE}" pid="3" name="phase">
    <vt:lpwstr>09</vt:lpwstr>
  </property>
</Properties>
</file>