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Software Requirements Specification</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9" w:name="X867f4b7faefa768c3afa1ae78008dbd9f70b36e"/>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Software Requirements Specification — Ogma Library</w:t>
      </w:r>
    </w:p>
    <w:p>
      <w:pPr>
        <w:pStyle w:val="FirstParagraph"/>
      </w:pPr>
      <w:r>
        <w:rPr>
          <w:b/>
          <w:bCs/>
        </w:rPr>
        <w:t xml:space="preserve">Ogma Library</w:t>
      </w:r>
    </w:p>
    <w:p>
      <w:pPr>
        <w:pStyle w:val="BodyText"/>
      </w:pPr>
      <w:r>
        <w:rPr>
          <w:i/>
          <w:iCs/>
        </w:rPr>
        <w:t xml:space="preserve">A local-first, premium personal and classroom PDF library application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Details</w:t>
            </w:r>
          </w:p>
        </w:tc>
      </w:tr>
      <w:tr>
        <w:trPr>
          <w:cantSplit/>
        </w:trPr>
        <w:tc>
          <w:tcPr/>
          <w:p>
            <w:pPr>
              <w:pStyle w:val="Compact"/>
            </w:pPr>
            <w:r>
              <w:rPr>
                <w:b/>
                <w:bCs/>
              </w:rPr>
              <w:t xml:space="preserve">Product</w:t>
            </w:r>
          </w:p>
        </w:tc>
        <w:tc>
          <w:tcPr/>
          <w:p>
            <w:pPr>
              <w:pStyle w:val="Compact"/>
            </w:pPr>
            <w:r>
              <w:t xml:space="preserve">Ogma Library</w:t>
            </w:r>
          </w:p>
        </w:tc>
      </w:tr>
      <w:tr>
        <w:trPr>
          <w:cantSplit/>
        </w:trPr>
        <w:tc>
          <w:tcPr/>
          <w:p>
            <w:pPr>
              <w:pStyle w:val="Compact"/>
            </w:pPr>
            <w:r>
              <w:rPr>
                <w:b/>
                <w:bCs/>
              </w:rPr>
              <w:t xml:space="preserve">Document</w:t>
            </w:r>
          </w:p>
        </w:tc>
        <w:tc>
          <w:tcPr/>
          <w:p>
            <w:pPr>
              <w:pStyle w:val="Compact"/>
            </w:pPr>
            <w:r>
              <w:t xml:space="preserve">Software Requirements Specification</w:t>
            </w:r>
          </w:p>
        </w:tc>
      </w:tr>
      <w:tr>
        <w:trPr>
          <w:cantSplit/>
        </w:trPr>
        <w:tc>
          <w:tcPr/>
          <w:p>
            <w:pPr>
              <w:pStyle w:val="Compact"/>
            </w:pPr>
            <w:r>
              <w:rPr>
                <w:b/>
                <w:bCs/>
              </w:rPr>
              <w:t xml:space="preserve">Owner</w:t>
            </w:r>
          </w:p>
        </w:tc>
        <w:tc>
          <w:tcPr/>
          <w:p>
            <w:pPr>
              <w:pStyle w:val="Compact"/>
            </w:pPr>
            <w:r>
              <w:t xml:space="preserve">Chwezi Core Systems</w:t>
            </w:r>
          </w:p>
        </w:tc>
      </w:tr>
      <w:tr>
        <w:trPr>
          <w:cantSplit/>
        </w:trPr>
        <w:tc>
          <w:tcPr/>
          <w:p>
            <w:pPr>
              <w:pStyle w:val="Compact"/>
            </w:pPr>
            <w:r>
              <w:rPr>
                <w:b/>
                <w:bCs/>
              </w:rPr>
              <w:t xml:space="preserve">Website</w:t>
            </w:r>
          </w:p>
        </w:tc>
        <w:tc>
          <w:tcPr/>
          <w:p>
            <w:pPr>
              <w:pStyle w:val="Compact"/>
            </w:pPr>
            <w:r>
              <w:t xml:space="preserve">chwezicore.com</w:t>
            </w:r>
          </w:p>
        </w:tc>
      </w:tr>
      <w:tr>
        <w:trPr>
          <w:cantSplit/>
        </w:trPr>
        <w:tc>
          <w:tcPr/>
          <w:p>
            <w:pPr>
              <w:pStyle w:val="Compact"/>
            </w:pPr>
            <w:r>
              <w:rPr>
                <w:b/>
                <w:bCs/>
              </w:rPr>
              <w:t xml:space="preserve">Author</w:t>
            </w:r>
          </w:p>
        </w:tc>
        <w:tc>
          <w:tcPr/>
          <w:p>
            <w:pPr>
              <w:pStyle w:val="Compact"/>
            </w:pPr>
            <w:r>
              <w:t xml:space="preserve">Peter Bamuhigire, Lead Consultant, Chwezi Core</w:t>
            </w:r>
          </w:p>
        </w:tc>
      </w:tr>
      <w:tr>
        <w:trPr>
          <w:cantSplit/>
        </w:trPr>
        <w:tc>
          <w:tcPr/>
          <w:p>
            <w:pPr>
              <w:pStyle w:val="Compact"/>
            </w:pPr>
            <w:r>
              <w:rPr>
                <w:b/>
                <w:bCs/>
              </w:rPr>
              <w:t xml:space="preserve">Document Version</w:t>
            </w:r>
          </w:p>
        </w:tc>
        <w:tc>
          <w:tcPr/>
          <w:p>
            <w:pPr>
              <w:pStyle w:val="Compact"/>
            </w:pPr>
            <w:r>
              <w:t xml:space="preserve">2.0</w:t>
            </w:r>
          </w:p>
        </w:tc>
      </w:tr>
      <w:tr>
        <w:trPr>
          <w:cantSplit/>
        </w:trPr>
        <w:tc>
          <w:tcPr/>
          <w:p>
            <w:pPr>
              <w:pStyle w:val="Compact"/>
            </w:pPr>
            <w:r>
              <w:rPr>
                <w:b/>
                <w:bCs/>
              </w:rPr>
              <w:t xml:space="preserve">Date</w:t>
            </w:r>
          </w:p>
        </w:tc>
        <w:tc>
          <w:tcPr/>
          <w:p>
            <w:pPr>
              <w:pStyle w:val="Compact"/>
            </w:pPr>
            <w:r>
              <w:t xml:space="preserve">2026-07-06</w:t>
            </w:r>
          </w:p>
        </w:tc>
      </w:tr>
      <w:tr>
        <w:trPr>
          <w:cantSplit/>
        </w:trPr>
        <w:tc>
          <w:tcPr/>
          <w:p>
            <w:pPr>
              <w:pStyle w:val="Compact"/>
            </w:pPr>
            <w:r>
              <w:rPr>
                <w:b/>
                <w:bCs/>
              </w:rPr>
              <w:t xml:space="preserve">Status</w:t>
            </w:r>
          </w:p>
        </w:tc>
        <w:tc>
          <w:tcPr/>
          <w:p>
            <w:pPr>
              <w:pStyle w:val="Compact"/>
            </w:pPr>
            <w:r>
              <w:t xml:space="preserve">Draft for owner sign-off — supersedes signed baseline v1.0 (2026-05-30)</w:t>
            </w:r>
          </w:p>
        </w:tc>
      </w:tr>
      <w:tr>
        <w:trPr>
          <w:cantSplit/>
        </w:trPr>
        <w:tc>
          <w:tcPr/>
          <w:p>
            <w:pPr>
              <w:pStyle w:val="Compact"/>
            </w:pPr>
            <w:r>
              <w:rPr>
                <w:b/>
                <w:bCs/>
              </w:rPr>
              <w:t xml:space="preserve">Classification</w:t>
            </w:r>
          </w:p>
        </w:tc>
        <w:tc>
          <w:tcPr/>
          <w:p>
            <w:pPr>
              <w:pStyle w:val="Compact"/>
            </w:pPr>
            <w:r>
              <w:t xml:space="preserve">Confidential — Internal Use Only</w:t>
            </w:r>
          </w:p>
        </w:tc>
      </w:tr>
      <w:tr>
        <w:trPr>
          <w:cantSplit/>
        </w:trPr>
        <w:tc>
          <w:tcPr/>
          <w:p>
            <w:pPr>
              <w:pStyle w:val="Compact"/>
            </w:pPr>
            <w:r>
              <w:rPr>
                <w:b/>
                <w:bCs/>
              </w:rPr>
              <w:t xml:space="preserve">Methodology</w:t>
            </w:r>
          </w:p>
        </w:tc>
        <w:tc>
          <w:tcPr/>
          <w:p>
            <w:pPr>
              <w:pStyle w:val="Compact"/>
            </w:pPr>
            <w:r>
              <w:t xml:space="preserve">Hybrid (Water-Scrum-Fall)</w:t>
            </w:r>
          </w:p>
        </w:tc>
      </w:tr>
      <w:tr>
        <w:trPr>
          <w:cantSplit/>
        </w:trPr>
        <w:tc>
          <w:tcPr/>
          <w:p>
            <w:pPr>
              <w:pStyle w:val="Compact"/>
            </w:pPr>
            <w:r>
              <w:rPr>
                <w:b/>
                <w:bCs/>
              </w:rPr>
              <w:t xml:space="preserve">Governing Standard</w:t>
            </w:r>
          </w:p>
        </w:tc>
        <w:tc>
          <w:tcPr/>
          <w:p>
            <w:pPr>
              <w:pStyle w:val="Compact"/>
            </w:pPr>
            <w:r>
              <w:t xml:space="preserve">ISO/IEC/IEEE 29148:2018 (requirements engineering); IEEE Std 830 cited as heritage only</w:t>
            </w:r>
          </w:p>
        </w:tc>
      </w:tr>
    </w:tbl>
    <w:p>
      <w:r>
        <w:pict>
          <v:rect style="width:0;height:1.5pt" o:hralign="center" o:hrstd="t" o:hr="t"/>
        </w:pict>
      </w:r>
    </w:p>
    <w:p>
      <w:pPr>
        <w:pStyle w:val="FirstParagraph"/>
      </w:pPr>
      <w:r>
        <w:rPr>
          <w:i/>
          <w:iCs/>
        </w:rPr>
        <w:t xml:space="preserve">Confidential — Internal Use Only. This document is the intellectual property of Chwezi Core Systems. No part may be reproduced or disclosed without written permission.</w:t>
      </w:r>
    </w:p>
    <w:p>
      <w:r>
        <w:pict>
          <v:rect style="width:0;height:1.5pt" o:hralign="center" o:hrstd="t" o:hr="t"/>
        </w:pict>
      </w:r>
    </w:p>
    <w:p>
      <w:pPr>
        <w:pStyle w:val="FirstParagraph"/>
      </w:pPr>
      <w:r>
        <w:t xml:space="preserve">This Software Requirements Specification (SRS) is baseline v2.0 of the Ogma Library engagement. It supersedes the signed v1.0 baseline of 2026-05-30 under a Change Impact Analysis covering the classroom/LAN scope expansion (</w:t>
      </w:r>
      <w:r>
        <w:rPr>
          <w:rStyle w:val="VerbatimChar"/>
        </w:rPr>
        <w:t xml:space="preserve">_registry/change-impact.yaml</w:t>
      </w:r>
      <w:r>
        <w:t xml:space="preserve">). Baseline v2.0 specifies the full product — the standalone personal library plus the Library Host, Classroom Client, and School Administration modes — and records per-requirement implementation status against the codebase at</w:t>
      </w:r>
      <w:r>
        <w:t xml:space="preserve"> </w:t>
      </w:r>
      <w:r>
        <w:rPr>
          <w:rStyle w:val="VerbatimChar"/>
        </w:rPr>
        <w:t xml:space="preserve">C:\wamp64\www\Ogma-Library</w:t>
      </w:r>
      <w:r>
        <w:t xml:space="preserve"> </w:t>
      </w:r>
      <w:r>
        <w:t xml:space="preserve">as verified in</w:t>
      </w:r>
      <w:r>
        <w:t xml:space="preserve"> </w:t>
      </w:r>
      <w:r>
        <w:rPr>
          <w:rStyle w:val="VerbatimChar"/>
        </w:rPr>
        <w:t xml:space="preserve">_context/build-status.md</w:t>
      </w:r>
      <w:r>
        <w:t xml:space="preserve"> </w:t>
      </w:r>
      <w:r>
        <w:t xml:space="preserve">(2026-07-06). Verification and Validation (V&amp;V) follow IEEE Std 1012. Terminology follows IEEE Std 610.12.</w:t>
      </w:r>
    </w:p>
    <w:p>
      <w:r>
        <w:pict>
          <v:rect style="width:0;height:1.5pt" o:hralign="center" o:hrstd="t" o:hr="t"/>
        </w:pict>
      </w:r>
    </w:p>
    <w:p>
      <w:pPr>
        <w:pStyle w:val="FirstParagraph"/>
      </w:pPr>
      <w:r>
        <w:t xml:space="preserve">\newpage</w:t>
      </w:r>
    </w:p>
    <w:bookmarkEnd w:id="9"/>
    <w:bookmarkStart w:id="16" w:name="Xe3d0fc0bea9a42ce7605565d0964033d7f6ee47"/>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1. Introduction</w:t>
      </w:r>
    </w:p>
    <w:bookmarkStart w:id="10" w:name="X20d1ef6c323fcc49382d7abfa1802b113007729"/>
    <w:p>
      <w:pPr>
        <w:pStyle w:val="Heading2"/>
      </w:pPr>
      <w:r>
        <w:rPr>
          <w:rStyle w:val="SectionNumber"/>
          <w:rFonts w:ascii="Spectral" w:hAnsi="Spectral" w:eastAsia="Spectral"/>
          <w:color w:val="132338"/>
        </w:rPr>
        <w:t xml:space="preserve">2.1</w:t>
      </w:r>
      <w:r>
        <w:rPr>
          <w:rFonts w:ascii="Spectral" w:hAnsi="Spectral" w:eastAsia="Spectral"/>
          <w:color w:val="132338"/>
        </w:rPr>
        <w:tab/>
      </w:r>
      <w:r>
        <w:rPr>
          <w:rFonts w:ascii="Spectral" w:hAnsi="Spectral" w:eastAsia="Spectral"/>
          <w:color w:val="132338"/>
        </w:rPr>
        <w:t xml:space="preserve">1.1 Purpose of This Software Requirements Specification</w:t>
      </w:r>
    </w:p>
    <w:p>
      <w:pPr>
        <w:pStyle w:val="FirstParagraph"/>
      </w:pPr>
      <w:r>
        <w:t xml:space="preserve">This Software Requirements Specification (SRS) defines the functional, non-functional, data, security, and privacy requirements for Ogma Library, a local-first desktop application that converts a collection of Portable Document Format (PDF) files into a managed, searchable personal library, and — in its opt-in networked modes — into a shared classroom e-library on a Local Area Network (LAN). The document conforms to ISO/IEC/IEEE 29148:2018, the governing standard for requirements processes and requirement quality; the withdrawn IEEE Std 830 is cited as heritage only. This SRS is the requirements baseline the product owner signs off under the Hybrid (Water-Scrum-Fall) methodology recorded in</w:t>
      </w:r>
      <w:r>
        <w:t xml:space="preserve"> </w:t>
      </w:r>
      <w:r>
        <w:rPr>
          <w:rStyle w:val="VerbatimChar"/>
        </w:rPr>
        <w:t xml:space="preserve">_context/methodology.md</w:t>
      </w:r>
      <w:r>
        <w:t xml:space="preserve">.</w:t>
      </w:r>
    </w:p>
    <w:p>
      <w:pPr>
        <w:pStyle w:val="BodyText"/>
      </w:pPr>
      <w:r>
        <w:t xml:space="preserve">Version 2.0 differs from the signed v1.0 baseline in three ways:</w:t>
      </w:r>
    </w:p>
    <w:p>
      <w:pPr>
        <w:pStyle w:val="Compact"/>
        <w:numPr>
          <w:ilvl w:val="0"/>
          <w:numId w:val="1001"/>
        </w:numPr>
      </w:pPr>
      <w:r>
        <w:t xml:space="preserve">Coverage: v1.0 specified 47 functional requirements across 6 modules; v2.0 specifies 101 functional requirements across 11 modules, adding the LAN Library Host (LAN), Classroom Client (CLIENT), School Administration and Managed AI (ADMIN), Extension (EXT), and Premium Experience (UX) modules and promoting the v1.0 "world-class additions" prose into identified requirements.</w:t>
      </w:r>
    </w:p>
    <w:p>
      <w:pPr>
        <w:pStyle w:val="Compact"/>
        <w:numPr>
          <w:ilvl w:val="0"/>
          <w:numId w:val="1001"/>
        </w:numPr>
      </w:pPr>
      <w:r>
        <w:t xml:space="preserve">Grounding: every requirement carries an implementation status (Implemented, Partial, or Not started) verified against the codebase per</w:t>
      </w:r>
      <w:r>
        <w:t xml:space="preserve"> </w:t>
      </w:r>
      <w:r>
        <w:rPr>
          <w:rStyle w:val="VerbatimChar"/>
        </w:rPr>
        <w:t xml:space="preserve">_context/build-status.md</w:t>
      </w:r>
      <w:r>
        <w:t xml:space="preserve">, and cites the real test class that verifies it where one exists.</w:t>
      </w:r>
    </w:p>
    <w:p>
      <w:pPr>
        <w:pStyle w:val="Compact"/>
        <w:numPr>
          <w:ilvl w:val="0"/>
          <w:numId w:val="1001"/>
        </w:numPr>
      </w:pPr>
      <w:r>
        <w:t xml:space="preserve">Anchoring: every performance budget is bound to the defined reference hardware W-REF-01 / M-REF-01 (</w:t>
      </w:r>
      <w:r>
        <w:rPr>
          <w:rStyle w:val="VerbatimChar"/>
        </w:rPr>
        <w:t xml:space="preserve">_context/reference-hardware.md</w:t>
      </w:r>
      <w:r>
        <w:t xml:space="preserve">), closing the v1.0 reference-hardware context gap and the NFR scale contradictions.</w:t>
      </w:r>
    </w:p>
    <w:p>
      <w:pPr>
        <w:pStyle w:val="FirstParagraph"/>
      </w:pPr>
      <w:r>
        <w:t xml:space="preserve">The intended audience is the product design, engineering, Artificial Intelligence (AI), Quality Assurance (QA), and launch-planning team identified in the stakeholder register, plus — for the classroom scope — the school administrator role that operates a deployed host.</w:t>
      </w:r>
    </w:p>
    <w:bookmarkEnd w:id="10"/>
    <w:bookmarkStart w:id="11" w:name="Xc32aa2591b3f8652098ae452596599f2ad365fc"/>
    <w:p>
      <w:pPr>
        <w:pStyle w:val="Heading2"/>
      </w:pPr>
      <w:r>
        <w:rPr>
          <w:rStyle w:val="SectionNumber"/>
          <w:rFonts w:ascii="Spectral" w:hAnsi="Spectral" w:eastAsia="Spectral"/>
          <w:color w:val="132338"/>
        </w:rPr>
        <w:t xml:space="preserve">2.2</w:t>
      </w:r>
      <w:r>
        <w:rPr>
          <w:rFonts w:ascii="Spectral" w:hAnsi="Spectral" w:eastAsia="Spectral"/>
          <w:color w:val="132338"/>
        </w:rPr>
        <w:tab/>
      </w:r>
      <w:r>
        <w:rPr>
          <w:rFonts w:ascii="Spectral" w:hAnsi="Spectral" w:eastAsia="Spectral"/>
          <w:color w:val="132338"/>
        </w:rPr>
        <w:t xml:space="preserve">1.2 Business Goals</w:t>
      </w:r>
    </w:p>
    <w:p>
      <w:pPr>
        <w:pStyle w:val="FirstParagraph"/>
      </w:pPr>
      <w:r>
        <w:t xml:space="preserve">This SRS traces every functional requirement to at least one of the following business goals derived from the product vision. The goals anchor the per-requirement traceability table in Section 8. The classroom scope expansion (vision, 2026-07-06) applies the same 5 goals to the shared LAN deployment: a school library must be equally visible, usable, intelligent, durable, and private for each enrolled student.</w:t>
      </w:r>
    </w:p>
    <w:p>
      <w:pPr>
        <w:pStyle w:val="Compact"/>
        <w:numPr>
          <w:ilvl w:val="0"/>
          <w:numId w:val="1002"/>
        </w:numPr>
      </w:pPr>
      <w:r>
        <w:rPr>
          <w:b/>
          <w:bCs/>
        </w:rPr>
        <w:t xml:space="preserve">BG-001</w:t>
      </w:r>
      <w:r>
        <w:t xml:space="preserve"> </w:t>
      </w:r>
      <w:r>
        <w:t xml:space="preserve">Visible library. Make a PDF collection visible through covers, shelves, metadata, and multiple browsing modes (3D shelf, grid, list, directory).</w:t>
      </w:r>
    </w:p>
    <w:p>
      <w:pPr>
        <w:pStyle w:val="Compact"/>
        <w:numPr>
          <w:ilvl w:val="0"/>
          <w:numId w:val="1002"/>
        </w:numPr>
      </w:pPr>
      <w:r>
        <w:rPr>
          <w:b/>
          <w:bCs/>
        </w:rPr>
        <w:t xml:space="preserve">BG-002</w:t>
      </w:r>
      <w:r>
        <w:t xml:space="preserve"> </w:t>
      </w:r>
      <w:r>
        <w:t xml:space="preserve">Usable library. Make the collection usable through reading progress, bookmarks, annotations, search, and statistics — locally and, in classroom mode, from any LAN computer.</w:t>
      </w:r>
    </w:p>
    <w:p>
      <w:pPr>
        <w:pStyle w:val="Compact"/>
        <w:numPr>
          <w:ilvl w:val="0"/>
          <w:numId w:val="1002"/>
        </w:numPr>
      </w:pPr>
      <w:r>
        <w:rPr>
          <w:b/>
          <w:bCs/>
        </w:rPr>
        <w:t xml:space="preserve">BG-003</w:t>
      </w:r>
      <w:r>
        <w:t xml:space="preserve"> </w:t>
      </w:r>
      <w:r>
        <w:t xml:space="preserve">Intelligent library. Make the collection intelligent through an AI reading advisor that recommends books from the user's own (or the school's shared) collection with explanation and confidence.</w:t>
      </w:r>
    </w:p>
    <w:p>
      <w:pPr>
        <w:pStyle w:val="Compact"/>
        <w:numPr>
          <w:ilvl w:val="0"/>
          <w:numId w:val="1002"/>
        </w:numPr>
      </w:pPr>
      <w:r>
        <w:rPr>
          <w:b/>
          <w:bCs/>
        </w:rPr>
        <w:t xml:space="preserve">BG-004</w:t>
      </w:r>
      <w:r>
        <w:t xml:space="preserve"> </w:t>
      </w:r>
      <w:r>
        <w:t xml:space="preserve">Durable ownership. Keep the user's files in their original format under the user's control; the catalogue augments the folder rather than replacing it, and nothing locks the collection into a proprietary container.</w:t>
      </w:r>
    </w:p>
    <w:p>
      <w:pPr>
        <w:pStyle w:val="Compact"/>
        <w:numPr>
          <w:ilvl w:val="0"/>
          <w:numId w:val="1002"/>
        </w:numPr>
      </w:pPr>
      <w:r>
        <w:rPr>
          <w:b/>
          <w:bCs/>
        </w:rPr>
        <w:t xml:space="preserve">BG-005</w:t>
      </w:r>
      <w:r>
        <w:t xml:space="preserve"> </w:t>
      </w:r>
      <w:r>
        <w:t xml:space="preserve">Private by default. Keep catalogue, reading state, annotations, and indexes on the device; treat every off-device transmission as an explicit, consented, audited, reversible exception; in classroom mode, keep each student's reading state private from other students.</w:t>
      </w:r>
    </w:p>
    <w:bookmarkEnd w:id="11"/>
    <w:bookmarkStart w:id="12" w:name="X887f4a4822f522fe8c4451fef0d30a3f01df551"/>
    <w:p>
      <w:pPr>
        <w:pStyle w:val="Heading2"/>
      </w:pPr>
      <w:r>
        <w:rPr>
          <w:rStyle w:val="SectionNumber"/>
          <w:rFonts w:ascii="Spectral" w:hAnsi="Spectral" w:eastAsia="Spectral"/>
          <w:color w:val="132338"/>
        </w:rPr>
        <w:t xml:space="preserve">2.3</w:t>
      </w:r>
      <w:r>
        <w:rPr>
          <w:rFonts w:ascii="Spectral" w:hAnsi="Spectral" w:eastAsia="Spectral"/>
          <w:color w:val="132338"/>
        </w:rPr>
        <w:tab/>
      </w:r>
      <w:r>
        <w:rPr>
          <w:rFonts w:ascii="Spectral" w:hAnsi="Spectral" w:eastAsia="Spectral"/>
          <w:color w:val="132338"/>
        </w:rPr>
        <w:t xml:space="preserve">1.3 Scope</w:t>
      </w:r>
    </w:p>
    <w:p>
      <w:pPr>
        <w:pStyle w:val="FirstParagraph"/>
      </w:pPr>
      <w:r>
        <w:t xml:space="preserve">Ogma Library is a single .NET 10 desktop application (</w:t>
      </w:r>
      <w:r>
        <w:rPr>
          <w:rStyle w:val="VerbatimChar"/>
        </w:rPr>
        <w:t xml:space="preserve">OgmaLibrary.sln</w:t>
      </w:r>
      <w:r>
        <w:t xml:space="preserve">) that runs in one of three runtime modes — Standalone (default), Library Host, or Classroom Client — selected by configuration, not by separate products. Its capability set is organised into 11 functional modules whose identifier prefixes are fixed in</w:t>
      </w:r>
      <w:r>
        <w:t xml:space="preserve"> </w:t>
      </w:r>
      <w:r>
        <w:rPr>
          <w:rStyle w:val="VerbatimChar"/>
        </w:rPr>
        <w:t xml:space="preserve">_context/features.md</w:t>
      </w:r>
      <w:r>
        <w:t xml:space="preserve">:</w:t>
      </w:r>
    </w:p>
    <w:p>
      <w:pPr>
        <w:pStyle w:val="Compact"/>
        <w:numPr>
          <w:ilvl w:val="0"/>
          <w:numId w:val="1003"/>
        </w:numPr>
      </w:pPr>
      <w:r>
        <w:t xml:space="preserve">Library Setup and Scanning (LIB) — 7 requirements, MVP/V1.</w:t>
      </w:r>
    </w:p>
    <w:p>
      <w:pPr>
        <w:pStyle w:val="Compact"/>
        <w:numPr>
          <w:ilvl w:val="0"/>
          <w:numId w:val="1003"/>
        </w:numPr>
      </w:pPr>
      <w:r>
        <w:t xml:space="preserve">Catalogue Browsing (CAT) — 7 requirements, including smart shelves and the Work/Edition model.</w:t>
      </w:r>
    </w:p>
    <w:p>
      <w:pPr>
        <w:pStyle w:val="Compact"/>
        <w:numPr>
          <w:ilvl w:val="0"/>
          <w:numId w:val="1003"/>
        </w:numPr>
      </w:pPr>
      <w:r>
        <w:t xml:space="preserve">Metadata Enrichment (META) — 8 requirements, including PDF write-back and the library health dashboard.</w:t>
      </w:r>
    </w:p>
    <w:p>
      <w:pPr>
        <w:pStyle w:val="Compact"/>
        <w:numPr>
          <w:ilvl w:val="0"/>
          <w:numId w:val="1003"/>
        </w:numPr>
      </w:pPr>
      <w:r>
        <w:t xml:space="preserve">PDF Reader (READ) — 15 requirements, including citation export, reading memory, and annotation layers.</w:t>
      </w:r>
    </w:p>
    <w:p>
      <w:pPr>
        <w:pStyle w:val="Compact"/>
        <w:numPr>
          <w:ilvl w:val="0"/>
          <w:numId w:val="1003"/>
        </w:numPr>
      </w:pPr>
      <w:r>
        <w:t xml:space="preserve">Search and Indexing (SEARCH) — 6 requirements.</w:t>
      </w:r>
    </w:p>
    <w:p>
      <w:pPr>
        <w:pStyle w:val="Compact"/>
        <w:numPr>
          <w:ilvl w:val="0"/>
          <w:numId w:val="1003"/>
        </w:numPr>
      </w:pPr>
      <w:r>
        <w:t xml:space="preserve">AI Advisor (AI) — 11 requirements, including the Privacy Center.</w:t>
      </w:r>
    </w:p>
    <w:p>
      <w:pPr>
        <w:pStyle w:val="Compact"/>
        <w:numPr>
          <w:ilvl w:val="0"/>
          <w:numId w:val="1003"/>
        </w:numPr>
      </w:pPr>
      <w:r>
        <w:t xml:space="preserve">LAN Library Host Mode (LAN) — 10 requirements (V2 classroom product; implemented, grand-plan Phase 16).</w:t>
      </w:r>
    </w:p>
    <w:p>
      <w:pPr>
        <w:pStyle w:val="Compact"/>
        <w:numPr>
          <w:ilvl w:val="0"/>
          <w:numId w:val="1003"/>
        </w:numPr>
      </w:pPr>
      <w:r>
        <w:t xml:space="preserve">Classroom Client Mode (CLIENT) — 13 requirements (V2; implemented, Phase 17).</w:t>
      </w:r>
    </w:p>
    <w:p>
      <w:pPr>
        <w:pStyle w:val="Compact"/>
        <w:numPr>
          <w:ilvl w:val="0"/>
          <w:numId w:val="1003"/>
        </w:numPr>
      </w:pPr>
      <w:r>
        <w:t xml:space="preserve">School Administration and Managed AI (ADMIN) — 13 requirements (V2; implemented, Phase 18).</w:t>
      </w:r>
    </w:p>
    <w:p>
      <w:pPr>
        <w:pStyle w:val="Compact"/>
        <w:numPr>
          <w:ilvl w:val="0"/>
          <w:numId w:val="1003"/>
        </w:numPr>
      </w:pPr>
      <w:r>
        <w:t xml:space="preserve">Extension and Interoperability (EXT) — 3 requirements (V2 open-source and plugin ambitions).</w:t>
      </w:r>
    </w:p>
    <w:p>
      <w:pPr>
        <w:pStyle w:val="Compact"/>
        <w:numPr>
          <w:ilvl w:val="0"/>
          <w:numId w:val="1003"/>
        </w:numPr>
      </w:pPr>
      <w:r>
        <w:t xml:space="preserve">Premium Experience (UX) — 8 requirements (onboarding, states, command palette, localization, keyboard operability, help, journeys, themes).</w:t>
      </w:r>
    </w:p>
    <w:p>
      <w:pPr>
        <w:pStyle w:val="FirstParagraph"/>
      </w:pPr>
      <w:r>
        <w:t xml:space="preserve">The FR inventory is closed at these 101 identifiers; adding a requirement requires a Change Impact Analysis entry against this baseline.</w:t>
      </w:r>
    </w:p>
    <w:p>
      <w:pPr>
        <w:pStyle w:val="BodyText"/>
      </w:pPr>
      <w:r>
        <w:t xml:space="preserve">Out of scope for the Minimum Viable Product (MVP), per the vision:</w:t>
      </w:r>
    </w:p>
    <w:p>
      <w:pPr>
        <w:pStyle w:val="Compact"/>
        <w:numPr>
          <w:ilvl w:val="0"/>
          <w:numId w:val="1004"/>
        </w:numPr>
      </w:pPr>
      <w:r>
        <w:t xml:space="preserve">Cloud synchronisation. The data model permits encrypted synchronisation later; planning is deferred to V2.</w:t>
      </w:r>
    </w:p>
    <w:p>
      <w:pPr>
        <w:pStyle w:val="Compact"/>
        <w:numPr>
          <w:ilvl w:val="0"/>
          <w:numId w:val="1004"/>
        </w:numPr>
      </w:pPr>
      <w:r>
        <w:t xml:space="preserve">Electronic Publication (EPUB) and Comic Book Archive (CBZ) formats. The schema is prepared; support is post-MVP.</w:t>
      </w:r>
    </w:p>
    <w:p>
      <w:pPr>
        <w:pStyle w:val="Compact"/>
        <w:numPr>
          <w:ilvl w:val="0"/>
          <w:numId w:val="1004"/>
        </w:numPr>
      </w:pPr>
      <w:r>
        <w:t xml:space="preserve">PDF write-back of highlight annotations. Annotations persist in the catalogue of record; write-back of highlights is post-MVP (metadata write-back is in scope as FR-META-005).</w:t>
      </w:r>
    </w:p>
    <w:bookmarkEnd w:id="12"/>
    <w:bookmarkStart w:id="13" w:name="Xa1f827e69131a9242dd1811f908c9d7e0b8c433"/>
    <w:p>
      <w:pPr>
        <w:pStyle w:val="Heading2"/>
      </w:pPr>
      <w:r>
        <w:rPr>
          <w:rStyle w:val="SectionNumber"/>
          <w:rFonts w:ascii="Spectral" w:hAnsi="Spectral" w:eastAsia="Spectral"/>
          <w:color w:val="132338"/>
        </w:rPr>
        <w:t xml:space="preserve">2.4</w:t>
      </w:r>
      <w:r>
        <w:rPr>
          <w:rFonts w:ascii="Spectral" w:hAnsi="Spectral" w:eastAsia="Spectral"/>
          <w:color w:val="132338"/>
        </w:rPr>
        <w:tab/>
      </w:r>
      <w:r>
        <w:rPr>
          <w:rFonts w:ascii="Spectral" w:hAnsi="Spectral" w:eastAsia="Spectral"/>
          <w:color w:val="132338"/>
        </w:rPr>
        <w:t xml:space="preserve">1.4 Definitions, Acronyms, and Abbreviations</w:t>
      </w:r>
    </w:p>
    <w:p>
      <w:pPr>
        <w:pStyle w:val="FirstParagraph"/>
      </w:pPr>
      <w:r>
        <w:t xml:space="preserve">All domain terms, technical terms, acronyms, and standards used in this SRS are defined in the project glossary at</w:t>
      </w:r>
      <w:r>
        <w:t xml:space="preserve"> </w:t>
      </w:r>
      <w:r>
        <w:rPr>
          <w:rStyle w:val="VerbatimChar"/>
        </w:rPr>
        <w:t xml:space="preserve">projects/Ogma-Library/_context/glossary.md</w:t>
      </w:r>
      <w:r>
        <w:t xml:space="preserve">. Each acronym is spelled out on first use in this document and abbreviated thereafter. Any term used but not defined there is flagged inline as</w:t>
      </w:r>
      <w:r>
        <w:t xml:space="preserve"> </w:t>
      </w:r>
      <w:r>
        <w:rPr>
          <w:rStyle w:val="VerbatimChar"/>
        </w:rPr>
        <w:t xml:space="preserve">[GLOSSARY-GAP: &lt;term&gt;]</w:t>
      </w:r>
      <w:r>
        <w:t xml:space="preserve"> </w:t>
      </w:r>
      <w:r>
        <w:t xml:space="preserve">and collected in Section 8.</w:t>
      </w:r>
    </w:p>
    <w:bookmarkEnd w:id="13"/>
    <w:bookmarkStart w:id="14" w:name="Xcb8f34702d1980450cb726f50d1fbc110147fb8"/>
    <w:p>
      <w:pPr>
        <w:pStyle w:val="Heading2"/>
      </w:pPr>
      <w:r>
        <w:rPr>
          <w:rStyle w:val="SectionNumber"/>
          <w:rFonts w:ascii="Spectral" w:hAnsi="Spectral" w:eastAsia="Spectral"/>
          <w:color w:val="132338"/>
        </w:rPr>
        <w:t xml:space="preserve">2.5</w:t>
      </w:r>
      <w:r>
        <w:rPr>
          <w:rFonts w:ascii="Spectral" w:hAnsi="Spectral" w:eastAsia="Spectral"/>
          <w:color w:val="132338"/>
        </w:rPr>
        <w:tab/>
      </w:r>
      <w:r>
        <w:rPr>
          <w:rFonts w:ascii="Spectral" w:hAnsi="Spectral" w:eastAsia="Spectral"/>
          <w:color w:val="132338"/>
        </w:rPr>
        <w:t xml:space="preserve">1.5 References</w:t>
      </w:r>
    </w:p>
    <w:p>
      <w:pPr>
        <w:pStyle w:val="Compact"/>
        <w:numPr>
          <w:ilvl w:val="0"/>
          <w:numId w:val="1005"/>
        </w:numPr>
      </w:pPr>
      <w:r>
        <w:t xml:space="preserve">ISO/IEC/IEEE 29148:2018 — Systems and software engineering — Life cycle processes — Requirements engineering (governing standard).</w:t>
      </w:r>
    </w:p>
    <w:p>
      <w:pPr>
        <w:pStyle w:val="Compact"/>
        <w:numPr>
          <w:ilvl w:val="0"/>
          <w:numId w:val="1005"/>
        </w:numPr>
      </w:pPr>
      <w:r>
        <w:t xml:space="preserve">IEEE Std 830-1998 — Recommended Practice for Software Requirements Specifications (withdrawn; heritage structure only).</w:t>
      </w:r>
    </w:p>
    <w:p>
      <w:pPr>
        <w:pStyle w:val="Compact"/>
        <w:numPr>
          <w:ilvl w:val="0"/>
          <w:numId w:val="1005"/>
        </w:numPr>
      </w:pPr>
      <w:r>
        <w:t xml:space="preserve">IEEE Std 1012 — Standard for System, Software, and Hardware Verification and Validation.</w:t>
      </w:r>
    </w:p>
    <w:p>
      <w:pPr>
        <w:pStyle w:val="Compact"/>
        <w:numPr>
          <w:ilvl w:val="0"/>
          <w:numId w:val="1005"/>
        </w:numPr>
      </w:pPr>
      <w:r>
        <w:t xml:space="preserve">IEEE Std 610.12-1990 — Standard Glossary of Software Engineering Terminology.</w:t>
      </w:r>
    </w:p>
    <w:p>
      <w:pPr>
        <w:pStyle w:val="Compact"/>
        <w:numPr>
          <w:ilvl w:val="0"/>
          <w:numId w:val="1005"/>
        </w:numPr>
      </w:pPr>
      <w:r>
        <w:t xml:space="preserve">IEEE Std 982.1 — Standard Dictionary of Measures of the Software Aspects of Dependability.</w:t>
      </w:r>
    </w:p>
    <w:p>
      <w:pPr>
        <w:pStyle w:val="Compact"/>
        <w:numPr>
          <w:ilvl w:val="0"/>
          <w:numId w:val="1005"/>
        </w:numPr>
      </w:pPr>
      <w:r>
        <w:t xml:space="preserve">ISO/IEC 25010 — Systems and software Quality Requirements and Evaluation (product quality model).</w:t>
      </w:r>
    </w:p>
    <w:p>
      <w:pPr>
        <w:pStyle w:val="Compact"/>
        <w:numPr>
          <w:ilvl w:val="0"/>
          <w:numId w:val="1005"/>
        </w:numPr>
      </w:pPr>
      <w:r>
        <w:t xml:space="preserve">Web Content Accessibility Guidelines (WCAG) 2.2 Level AA.</w:t>
      </w:r>
    </w:p>
    <w:p>
      <w:pPr>
        <w:pStyle w:val="Compact"/>
        <w:numPr>
          <w:ilvl w:val="0"/>
          <w:numId w:val="1005"/>
        </w:numPr>
      </w:pPr>
      <w:r>
        <w:t xml:space="preserve">Project context:</w:t>
      </w:r>
      <w:r>
        <w:t xml:space="preserve"> </w:t>
      </w:r>
      <w:r>
        <w:rPr>
          <w:rStyle w:val="VerbatimChar"/>
        </w:rPr>
        <w:t xml:space="preserve">_context/vision.md</w:t>
      </w:r>
      <w:r>
        <w:t xml:space="preserve">,</w:t>
      </w:r>
      <w:r>
        <w:t xml:space="preserve"> </w:t>
      </w:r>
      <w:r>
        <w:rPr>
          <w:rStyle w:val="VerbatimChar"/>
        </w:rPr>
        <w:t xml:space="preserve">_context/features.md</w:t>
      </w:r>
      <w:r>
        <w:t xml:space="preserve">,</w:t>
      </w:r>
      <w:r>
        <w:t xml:space="preserve"> </w:t>
      </w:r>
      <w:r>
        <w:rPr>
          <w:rStyle w:val="VerbatimChar"/>
        </w:rPr>
        <w:t xml:space="preserve">_context/build-status.md</w:t>
      </w:r>
      <w:r>
        <w:t xml:space="preserve">,</w:t>
      </w:r>
      <w:r>
        <w:t xml:space="preserve"> </w:t>
      </w:r>
      <w:r>
        <w:rPr>
          <w:rStyle w:val="VerbatimChar"/>
        </w:rPr>
        <w:t xml:space="preserve">_context/reference-hardware.md</w:t>
      </w:r>
      <w:r>
        <w:t xml:space="preserve">,</w:t>
      </w:r>
      <w:r>
        <w:t xml:space="preserve"> </w:t>
      </w:r>
      <w:r>
        <w:rPr>
          <w:rStyle w:val="VerbatimChar"/>
        </w:rPr>
        <w:t xml:space="preserve">_context/competitive-analysis.md</w:t>
      </w:r>
      <w:r>
        <w:t xml:space="preserve">,</w:t>
      </w:r>
      <w:r>
        <w:t xml:space="preserve"> </w:t>
      </w:r>
      <w:r>
        <w:rPr>
          <w:rStyle w:val="VerbatimChar"/>
        </w:rPr>
        <w:t xml:space="preserve">_context/stakeholders.md</w:t>
      </w:r>
      <w:r>
        <w:t xml:space="preserve">,</w:t>
      </w:r>
      <w:r>
        <w:t xml:space="preserve"> </w:t>
      </w:r>
      <w:r>
        <w:rPr>
          <w:rStyle w:val="VerbatimChar"/>
        </w:rPr>
        <w:t xml:space="preserve">_context/methodology.md</w:t>
      </w:r>
      <w:r>
        <w:t xml:space="preserve">,</w:t>
      </w:r>
      <w:r>
        <w:t xml:space="preserve"> </w:t>
      </w:r>
      <w:r>
        <w:rPr>
          <w:rStyle w:val="VerbatimChar"/>
        </w:rPr>
        <w:t xml:space="preserve">_context/domain.md</w:t>
      </w:r>
      <w:r>
        <w:t xml:space="preserve">,</w:t>
      </w:r>
      <w:r>
        <w:t xml:space="preserve"> </w:t>
      </w:r>
      <w:r>
        <w:rPr>
          <w:rStyle w:val="VerbatimChar"/>
        </w:rPr>
        <w:t xml:space="preserve">_context/glossary.md</w:t>
      </w:r>
      <w:r>
        <w:t xml:space="preserve">.</w:t>
      </w:r>
    </w:p>
    <w:p>
      <w:pPr>
        <w:pStyle w:val="Compact"/>
        <w:numPr>
          <w:ilvl w:val="0"/>
          <w:numId w:val="1005"/>
        </w:numPr>
      </w:pPr>
      <w:r>
        <w:t xml:space="preserve">Codebase governance:</w:t>
      </w:r>
      <w:r>
        <w:t xml:space="preserve"> </w:t>
      </w:r>
      <w:r>
        <w:rPr>
          <w:rStyle w:val="VerbatimChar"/>
        </w:rPr>
        <w:t xml:space="preserve">C:\wamp64\www\Ogma-Library\docs\governance\REFERENCE-HARDWARE.md</w:t>
      </w:r>
      <w:r>
        <w:t xml:space="preserve">;</w:t>
      </w:r>
      <w:r>
        <w:t xml:space="preserve"> </w:t>
      </w:r>
      <w:r>
        <w:rPr>
          <w:rStyle w:val="VerbatimChar"/>
        </w:rPr>
        <w:t xml:space="preserve">docs\plans\grand-plan\LAN-CLASSROOM-ARCHITECTURE.md</w:t>
      </w:r>
      <w:r>
        <w:t xml:space="preserve">; grand-plan</w:t>
      </w:r>
      <w:r>
        <w:t xml:space="preserve"> </w:t>
      </w:r>
      <w:r>
        <w:rPr>
          <w:rStyle w:val="VerbatimChar"/>
        </w:rPr>
        <w:t xml:space="preserve">phase-16/README.md</w:t>
      </w:r>
      <w:r>
        <w:t xml:space="preserve">,</w:t>
      </w:r>
      <w:r>
        <w:t xml:space="preserve"> </w:t>
      </w:r>
      <w:r>
        <w:rPr>
          <w:rStyle w:val="VerbatimChar"/>
        </w:rPr>
        <w:t xml:space="preserve">phase-17/README.md</w:t>
      </w:r>
      <w:r>
        <w:t xml:space="preserve">,</w:t>
      </w:r>
      <w:r>
        <w:t xml:space="preserve"> </w:t>
      </w:r>
      <w:r>
        <w:rPr>
          <w:rStyle w:val="VerbatimChar"/>
        </w:rPr>
        <w:t xml:space="preserve">phase-18/README.md</w:t>
      </w:r>
      <w:r>
        <w:t xml:space="preserve">.</w:t>
      </w:r>
    </w:p>
    <w:p>
      <w:pPr>
        <w:pStyle w:val="Compact"/>
        <w:numPr>
          <w:ilvl w:val="0"/>
          <w:numId w:val="1005"/>
        </w:numPr>
      </w:pPr>
      <w:r>
        <w:t xml:space="preserve">Domain references:</w:t>
      </w:r>
      <w:r>
        <w:t xml:space="preserve"> </w:t>
      </w:r>
      <w:r>
        <w:rPr>
          <w:rStyle w:val="VerbatimChar"/>
        </w:rPr>
        <w:t xml:space="preserve">domains/productivity/references/nfr-defaults.md</w:t>
      </w:r>
      <w:r>
        <w:t xml:space="preserve">,</w:t>
      </w:r>
      <w:r>
        <w:t xml:space="preserve"> </w:t>
      </w:r>
      <w:r>
        <w:rPr>
          <w:rStyle w:val="VerbatimChar"/>
        </w:rPr>
        <w:t xml:space="preserve">domains/productivity/references/security-baseline.md</w:t>
      </w:r>
      <w:r>
        <w:t xml:space="preserve">,</w:t>
      </w:r>
      <w:r>
        <w:t xml:space="preserve"> </w:t>
      </w:r>
      <w:r>
        <w:rPr>
          <w:rStyle w:val="VerbatimChar"/>
        </w:rPr>
        <w:t xml:space="preserve">domains/productivity/references/regulations.md</w:t>
      </w:r>
      <w:r>
        <w:t xml:space="preserve">.</w:t>
      </w:r>
    </w:p>
    <w:bookmarkEnd w:id="14"/>
    <w:bookmarkStart w:id="15" w:name="X29f302f01fd3943ee644211218f978116071c80"/>
    <w:p>
      <w:pPr>
        <w:pStyle w:val="Heading2"/>
      </w:pPr>
      <w:r>
        <w:rPr>
          <w:rStyle w:val="SectionNumber"/>
          <w:rFonts w:ascii="Spectral" w:hAnsi="Spectral" w:eastAsia="Spectral"/>
          <w:color w:val="132338"/>
        </w:rPr>
        <w:t xml:space="preserve">2.6</w:t>
      </w:r>
      <w:r>
        <w:rPr>
          <w:rFonts w:ascii="Spectral" w:hAnsi="Spectral" w:eastAsia="Spectral"/>
          <w:color w:val="132338"/>
        </w:rPr>
        <w:tab/>
      </w:r>
      <w:r>
        <w:rPr>
          <w:rFonts w:ascii="Spectral" w:hAnsi="Spectral" w:eastAsia="Spectral"/>
          <w:color w:val="132338"/>
        </w:rPr>
        <w:t xml:space="preserve">1.6 Overview of the Document</w:t>
      </w:r>
    </w:p>
    <w:p>
      <w:pPr>
        <w:pStyle w:val="FirstParagraph"/>
      </w:pPr>
      <w:r>
        <w:t xml:space="preserve">Section 2 describes the product perspective (including the three runtime modes), functions, user characteristics (8 personas), constraints, assumptions, and the privacy-tier model. Section 3 specifies external interface requirements, including the opt-in LAN host surface that amends the v1.0 no-inbound-listener rule. Section 4 specifies all 101 functional requirements with priority tier, deterministic acceptance oracle, implementation status, and trace line. Section 5 specifies non-functional requirements at two explicit scales: binding MVP budgets (NFR-OGMA, 2,000 books on W-REF-01) and V1 large-library targets (NFR-PROD, 50,000 items, gated at Phase 20), plus LAN capacity budgets. Section 6 specifies data requirements aligned to the as-built Entity Framework Core schema and its 11 migrations. Section 7 specifies the 32-control security and privacy catalogue, extended for the LAN/classroom attack surface. Section 8 provides the per-requirement traceability table, the V&amp;V approach, and the open-items register.</w:t>
      </w:r>
    </w:p>
    <w:p>
      <w:pPr>
        <w:pStyle w:val="BodyText"/>
      </w:pPr>
      <w:r>
        <w:t xml:space="preserve">\newpage</w:t>
      </w:r>
    </w:p>
    <w:bookmarkEnd w:id="15"/>
    <w:bookmarkEnd w:id="16"/>
    <w:bookmarkStart w:id="24" w:name="X9193add25e2ce1e86c38972eca5adfa00384b97"/>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2. Overall Description</w:t>
      </w:r>
    </w:p>
    <w:bookmarkStart w:id="18" w:name="X40679f18d7e6714a9b5771b70f2e7757bd6390a"/>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2.1 Product Perspective</w:t>
      </w:r>
    </w:p>
    <w:p>
      <w:pPr>
        <w:pStyle w:val="FirstParagraph"/>
      </w:pPr>
      <w:r>
        <w:t xml:space="preserve">Ogma Library is a self-contained, locally installed desktop application built as a Clean/Onion</w:t>
      </w:r>
      <w:r>
        <w:t xml:space="preserve"> </w:t>
      </w:r>
      <w:r>
        <w:rPr>
          <w:i/>
          <w:iCs/>
        </w:rPr>
        <w:t xml:space="preserve">modular monolith</w:t>
      </w:r>
      <w:r>
        <w:t xml:space="preserve"> </w:t>
      </w:r>
      <w:r>
        <w:t xml:space="preserve">on .NET 10: a single deployable divided into bounded modules (Library, Catalogue, Metadata, Reader, Search, AI, Bookshelf3D, Sharing/Host, Classroom, School Admin) with a single dependency-injection composition root (</w:t>
      </w:r>
      <w:r>
        <w:rPr>
          <w:rStyle w:val="VerbatimChar"/>
        </w:rPr>
        <w:t xml:space="preserve">OgmaLibrary.App/CompositionRoot.cs</w:t>
      </w:r>
      <w:r>
        <w:t xml:space="preserve">). NetArchTest architecture tests enforce inward dependencies and a single HTTP-egress chokepoint (the AI gateway).</w:t>
      </w:r>
    </w:p>
    <w:p>
      <w:pPr>
        <w:pStyle w:val="BodyText"/>
      </w:pPr>
      <w:r>
        <w:t xml:space="preserve">The application is local-first by default. The</w:t>
      </w:r>
      <w:r>
        <w:t xml:space="preserve"> </w:t>
      </w:r>
      <w:r>
        <w:rPr>
          <w:i/>
          <w:iCs/>
        </w:rPr>
        <w:t xml:space="preserve">catalogue of record</w:t>
      </w:r>
      <w:r>
        <w:t xml:space="preserve"> </w:t>
      </w:r>
      <w:r>
        <w:t xml:space="preserve">— the embedded SQLite database, accessed through Entity Framework Core — is the authoritative source of truth for book identity, metadata, virtual shelves, reading progress, and annotations. The database augments the user's folder of PDF files; it never locks them into a proprietary container. Generated artifacts (covers, thumbnails, spine textures, Optical Character Recognition (OCR) text, extracted text, embeddings, backups) live in a</w:t>
      </w:r>
      <w:r>
        <w:t xml:space="preserve"> </w:t>
      </w:r>
      <w:r>
        <w:rPr>
          <w:i/>
          <w:iCs/>
        </w:rPr>
        <w:t xml:space="preserve">sidecar asset folder</w:t>
      </w:r>
      <w:r>
        <w:t xml:space="preserve"> </w:t>
      </w:r>
      <w:r>
        <w:t xml:space="preserve">on disk, outside the database.</w:t>
      </w:r>
    </w:p>
    <w:p>
      <w:pPr>
        <w:pStyle w:val="BodyText"/>
      </w:pPr>
      <w:r>
        <w:t xml:space="preserve">The desktop shell is Avalonia. The 3D bookshelf is rendered with Three.js r181 inside the platform web control (WebView2 on Windows, WKWebView on macOS), driven by a typed C#-to-JavaScript</w:t>
      </w:r>
      <w:r>
        <w:t xml:space="preserve"> </w:t>
      </w:r>
      <w:r>
        <w:rPr>
          <w:i/>
          <w:iCs/>
        </w:rPr>
        <w:t xml:space="preserve">message bridge</w:t>
      </w:r>
      <w:r>
        <w:t xml:space="preserve"> </w:t>
      </w:r>
      <w:r>
        <w:t xml:space="preserve">and an</w:t>
      </w:r>
      <w:r>
        <w:t xml:space="preserve"> </w:t>
      </w:r>
      <w:r>
        <w:rPr>
          <w:rStyle w:val="VerbatimChar"/>
        </w:rPr>
        <w:t xml:space="preserve">ogma://</w:t>
      </w:r>
      <w:r>
        <w:t xml:space="preserve"> </w:t>
      </w:r>
      <w:r>
        <w:t xml:space="preserve">asset scheme.</w:t>
      </w:r>
    </w:p>
    <w:bookmarkStart w:id="17" w:name="X8a5997b769291341cbdc07d9c5400fb43b76c44"/>
    <w:p>
      <w:pPr>
        <w:pStyle w:val="Heading3"/>
      </w:pPr>
      <w:r>
        <w:rPr>
          <w:rStyle w:val="SectionNumber"/>
          <w:rFonts w:ascii="Spectral" w:hAnsi="Spectral" w:eastAsia="Spectral"/>
          <w:color w:val="132338"/>
        </w:rPr>
        <w:t xml:space="preserve">3.1.1</w:t>
      </w:r>
      <w:r>
        <w:rPr>
          <w:rFonts w:ascii="Spectral" w:hAnsi="Spectral" w:eastAsia="Spectral"/>
          <w:color w:val="132338"/>
        </w:rPr>
        <w:tab/>
      </w:r>
      <w:r>
        <w:rPr>
          <w:rFonts w:ascii="Spectral" w:hAnsi="Spectral" w:eastAsia="Spectral"/>
          <w:color w:val="132338"/>
        </w:rPr>
        <w:t xml:space="preserve">2.1.1 Runtime Modes</w:t>
      </w:r>
    </w:p>
    <w:p>
      <w:pPr>
        <w:pStyle w:val="FirstParagraph"/>
      </w:pPr>
      <w:r>
        <w:t xml:space="preserve">One codebase runs in one of three modes; the mode is runtime configuration, not a separate product (</w:t>
      </w:r>
      <w:r>
        <w:rPr>
          <w:rStyle w:val="VerbatimChar"/>
        </w:rPr>
        <w:t xml:space="preserve">docs/plans/grand-plan/LAN-CLASSROOM-ARCHITECTURE.md</w:t>
      </w:r>
      <w:r>
        <w:t xml:space="preserv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Mode</w:t>
            </w:r>
          </w:p>
        </w:tc>
        <w:tc>
          <w:tcPr>
            <w:shd w:fill="132338"/>
          </w:tcPr>
          <w:p>
            <w:pPr>
              <w:pStyle w:val="Compact"/>
            </w:pPr>
            <w:r>
              <w:rPr>
                <w:rFonts w:ascii="Public Sans" w:hAnsi="Public Sans" w:eastAsia="Public Sans"/>
                <w:b/>
                <w:color w:val="FFFFFF"/>
                <w:sz w:val="17"/>
              </w:rPr>
              <w:t xml:space="preserve">Operator</w:t>
            </w:r>
          </w:p>
        </w:tc>
        <w:tc>
          <w:tcPr>
            <w:shd w:fill="132338"/>
          </w:tcPr>
          <w:p>
            <w:pPr>
              <w:pStyle w:val="Compact"/>
            </w:pPr>
            <w:r>
              <w:rPr>
                <w:rFonts w:ascii="Public Sans" w:hAnsi="Public Sans" w:eastAsia="Public Sans"/>
                <w:b/>
                <w:color w:val="FFFFFF"/>
                <w:sz w:val="17"/>
              </w:rPr>
              <w:t xml:space="preserve">Behaviour</w:t>
            </w:r>
          </w:p>
        </w:tc>
      </w:tr>
      <w:tr>
        <w:trPr>
          <w:cantSplit/>
        </w:trPr>
        <w:tc>
          <w:tcPr/>
          <w:p>
            <w:pPr>
              <w:pStyle w:val="Compact"/>
            </w:pPr>
            <w:r>
              <w:t xml:space="preserve">Standalone (default)</w:t>
            </w:r>
          </w:p>
        </w:tc>
        <w:tc>
          <w:tcPr/>
          <w:p>
            <w:pPr>
              <w:pStyle w:val="Compact"/>
            </w:pPr>
            <w:r>
              <w:t xml:space="preserve">Any user</w:t>
            </w:r>
          </w:p>
        </w:tc>
        <w:tc>
          <w:tcPr/>
          <w:p>
            <w:pPr>
              <w:pStyle w:val="Compact"/>
            </w:pPr>
            <w:r>
              <w:t xml:space="preserve">The local-first single-user product. No inbound network listener.</w:t>
            </w:r>
          </w:p>
        </w:tc>
      </w:tr>
      <w:tr>
        <w:trPr>
          <w:cantSplit/>
        </w:trPr>
        <w:tc>
          <w:tcPr/>
          <w:p>
            <w:pPr>
              <w:pStyle w:val="Compact"/>
            </w:pPr>
            <w:r>
              <w:t xml:space="preserve">Library Host</w:t>
            </w:r>
          </w:p>
        </w:tc>
        <w:tc>
          <w:tcPr/>
          <w:p>
            <w:pPr>
              <w:pStyle w:val="Compact"/>
            </w:pPr>
            <w:r>
              <w:t xml:space="preserve">The central classroom or office computer</w:t>
            </w:r>
          </w:p>
        </w:tc>
        <w:tc>
          <w:tcPr/>
          <w:p>
            <w:pPr>
              <w:pStyle w:val="Compact"/>
            </w:pPr>
            <w:r>
              <w:t xml:space="preserve">Holds the PDF folder and catalogue of record; serves catalogue projections, cover/spine assets, PDF content streams, and gated AI search to LAN clients through</w:t>
            </w:r>
            <w:r>
              <w:t xml:space="preserve"> </w:t>
            </w:r>
            <w:r>
              <w:rPr>
                <w:rStyle w:val="VerbatimChar"/>
              </w:rPr>
              <w:t xml:space="preserve">KestrelHostModeListener</w:t>
            </w:r>
            <w:r>
              <w:t xml:space="preserve">. Opt-in, explicitly enabled by an administrator, reversible, audited (FR-LAN-001).</w:t>
            </w:r>
          </w:p>
        </w:tc>
      </w:tr>
      <w:tr>
        <w:trPr>
          <w:cantSplit/>
        </w:trPr>
        <w:tc>
          <w:tcPr/>
          <w:p>
            <w:pPr>
              <w:pStyle w:val="Compact"/>
            </w:pPr>
            <w:r>
              <w:t xml:space="preserve">Classroom Client</w:t>
            </w:r>
          </w:p>
        </w:tc>
        <w:tc>
          <w:tcPr/>
          <w:p>
            <w:pPr>
              <w:pStyle w:val="Compact"/>
            </w:pPr>
            <w:r>
              <w:t xml:space="preserve">Student, teacher, or guest computers on the LAN</w:t>
            </w:r>
          </w:p>
        </w:tc>
        <w:tc>
          <w:tcPr/>
          <w:p>
            <w:pPr>
              <w:pStyle w:val="Compact"/>
            </w:pPr>
            <w:r>
              <w:t xml:space="preserve">Discovers and connects to a host; browses, reads, and searches the shared catalogue; keeps per-student private reading state; degrades to its own local library when the host is unreachable (FR-CLIENT group).</w:t>
            </w:r>
          </w:p>
        </w:tc>
      </w:tr>
    </w:tbl>
    <w:p>
      <w:pPr>
        <w:pStyle w:val="BodyText"/>
      </w:pPr>
      <w:r>
        <w:t xml:space="preserve">The bounded-context discipline is preserved across modes: the Library Catalogue context on the host remains the single source of truth; clients are projection consumers and never mutate host files or host metadata (FR-CLIENT-010).</w:t>
      </w:r>
    </w:p>
    <w:bookmarkEnd w:id="17"/>
    <w:bookmarkEnd w:id="18"/>
    <w:bookmarkStart w:id="19" w:name="X8a79d0d6a0ced62c3451ef7400d041837550cfe"/>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2.2 Product Functions</w:t>
      </w:r>
    </w:p>
    <w:p>
      <w:pPr>
        <w:pStyle w:val="FirstParagraph"/>
      </w:pPr>
      <w:r>
        <w:t xml:space="preserve">At summary level, detailed as numbered requirements in Section 4:</w:t>
      </w:r>
    </w:p>
    <w:p>
      <w:pPr>
        <w:pStyle w:val="Compact"/>
        <w:numPr>
          <w:ilvl w:val="0"/>
          <w:numId w:val="1006"/>
        </w:numPr>
      </w:pPr>
      <w:r>
        <w:t xml:space="preserve">Select a library root and discover, identify, and track PDF files within it (LIB).</w:t>
      </w:r>
    </w:p>
    <w:p>
      <w:pPr>
        <w:pStyle w:val="Compact"/>
        <w:numPr>
          <w:ilvl w:val="0"/>
          <w:numId w:val="1006"/>
        </w:numPr>
      </w:pPr>
      <w:r>
        <w:t xml:space="preserve">Browse the catalogue in 3D shelf, grid, list, and directory modes; organise books into virtual shelves and smart shelves (CAT).</w:t>
      </w:r>
    </w:p>
    <w:p>
      <w:pPr>
        <w:pStyle w:val="Compact"/>
        <w:numPr>
          <w:ilvl w:val="0"/>
          <w:numId w:val="1006"/>
        </w:numPr>
      </w:pPr>
      <w:r>
        <w:t xml:space="preserve">Detect identifiers, look up and merge bibliographic metadata under a reviewable confidence policy, write metadata back with backup and diff, and audit collection health (META).</w:t>
      </w:r>
    </w:p>
    <w:p>
      <w:pPr>
        <w:pStyle w:val="Compact"/>
        <w:numPr>
          <w:ilvl w:val="0"/>
          <w:numId w:val="1006"/>
        </w:numPr>
      </w:pPr>
      <w:r>
        <w:t xml:space="preserve">Open, read, navigate, zoom, search, bookmark, and annotate PDF files; capture citations, reading memory, and annotation layers; resume the last reading position (READ).</w:t>
      </w:r>
    </w:p>
    <w:p>
      <w:pPr>
        <w:pStyle w:val="Compact"/>
        <w:numPr>
          <w:ilvl w:val="0"/>
          <w:numId w:val="1006"/>
        </w:numPr>
      </w:pPr>
      <w:r>
        <w:t xml:space="preserve">Provide metadata search, full-text search over an FTS5 index, semantic search over embeddings, and hybrid ranking with an index manager (SEARCH).</w:t>
      </w:r>
    </w:p>
    <w:p>
      <w:pPr>
        <w:pStyle w:val="Compact"/>
        <w:numPr>
          <w:ilvl w:val="0"/>
          <w:numId w:val="1006"/>
        </w:numPr>
      </w:pPr>
      <w:r>
        <w:t xml:space="preserve">Recommend books and generate reading plans through a provider-neutral AI gateway under a tiered privacy model, with a Privacy Center over every off-device payload (AI).</w:t>
      </w:r>
    </w:p>
    <w:p>
      <w:pPr>
        <w:pStyle w:val="Compact"/>
        <w:numPr>
          <w:ilvl w:val="0"/>
          <w:numId w:val="1006"/>
        </w:numPr>
      </w:pPr>
      <w:r>
        <w:t xml:space="preserve">Serve the catalogue and PDF streams to LAN clients from an opt-in host, with TLS, discovery, authentication, and session control (LAN).</w:t>
      </w:r>
    </w:p>
    <w:p>
      <w:pPr>
        <w:pStyle w:val="Compact"/>
        <w:numPr>
          <w:ilvl w:val="0"/>
          <w:numId w:val="1006"/>
        </w:numPr>
      </w:pPr>
      <w:r>
        <w:t xml:space="preserve">Let students read and search the shared collection from any LAN computer with per-student private state, offline cache, and sync (CLIENT).</w:t>
      </w:r>
    </w:p>
    <w:p>
      <w:pPr>
        <w:pStyle w:val="Compact"/>
        <w:numPr>
          <w:ilvl w:val="0"/>
          <w:numId w:val="1006"/>
        </w:numPr>
      </w:pPr>
      <w:r>
        <w:t xml:space="preserve">Let a school publish content, enroll and revoke profiles, custody its own AI keys, and enforce privacy tiers, quotas, and audit over student AI use (ADMIN).</w:t>
      </w:r>
    </w:p>
    <w:p>
      <w:pPr>
        <w:pStyle w:val="Compact"/>
        <w:numPr>
          <w:ilvl w:val="0"/>
          <w:numId w:val="1006"/>
        </w:numPr>
      </w:pPr>
      <w:r>
        <w:t xml:space="preserve">Expose plugin interfaces, a documented local read API, and importers for Zotero, Calibre, and Goodreads (EXT).</w:t>
      </w:r>
    </w:p>
    <w:p>
      <w:pPr>
        <w:pStyle w:val="Compact"/>
        <w:numPr>
          <w:ilvl w:val="0"/>
          <w:numId w:val="1006"/>
        </w:numPr>
      </w:pPr>
      <w:r>
        <w:t xml:space="preserve">Deliver the premium experience floor: zero-configuration onboarding, complete surface states, command palette, runtime language switch, keyboard-only operability, offline help, measured journeys, and themes (UX).</w:t>
      </w:r>
    </w:p>
    <w:bookmarkEnd w:id="19"/>
    <w:bookmarkStart w:id="20" w:name="Xd2f70ac4050bfb0f41ce4f9357738f18c684a1e"/>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2.3 User Characteristics</w:t>
      </w:r>
    </w:p>
    <w:p>
      <w:pPr>
        <w:pStyle w:val="FirstParagraph"/>
      </w:pPr>
      <w:r>
        <w:t xml:space="preserve">The application is designed for 8 personas drawn from</w:t>
      </w:r>
      <w:r>
        <w:t xml:space="preserve"> </w:t>
      </w:r>
      <w:r>
        <w:rPr>
          <w:rStyle w:val="VerbatimChar"/>
        </w:rPr>
        <w:t xml:space="preserve">_context/stakeholders.md</w:t>
      </w:r>
      <w:r>
        <w:t xml:space="preserve">. Each persona defines a success signal and the critical feature set the requirements in Section 4 must satisfy.</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Persona</w:t>
            </w:r>
          </w:p>
        </w:tc>
        <w:tc>
          <w:tcPr>
            <w:shd w:fill="132338"/>
          </w:tcPr>
          <w:p>
            <w:pPr>
              <w:pStyle w:val="Compact"/>
            </w:pPr>
            <w:r>
              <w:rPr>
                <w:rFonts w:ascii="Public Sans" w:hAnsi="Public Sans" w:eastAsia="Public Sans"/>
                <w:b/>
                <w:color w:val="FFFFFF"/>
                <w:sz w:val="17"/>
              </w:rPr>
              <w:t xml:space="preserve">Primary job</w:t>
            </w:r>
          </w:p>
        </w:tc>
        <w:tc>
          <w:tcPr>
            <w:shd w:fill="132338"/>
          </w:tcPr>
          <w:p>
            <w:pPr>
              <w:pStyle w:val="Compact"/>
            </w:pPr>
            <w:r>
              <w:rPr>
                <w:rFonts w:ascii="Public Sans" w:hAnsi="Public Sans" w:eastAsia="Public Sans"/>
                <w:b/>
                <w:color w:val="FFFFFF"/>
                <w:sz w:val="17"/>
              </w:rPr>
              <w:t xml:space="preserve">Product success signal</w:t>
            </w:r>
          </w:p>
        </w:tc>
        <w:tc>
          <w:tcPr>
            <w:shd w:fill="132338"/>
          </w:tcPr>
          <w:p>
            <w:pPr>
              <w:pStyle w:val="Compact"/>
            </w:pPr>
            <w:r>
              <w:rPr>
                <w:rFonts w:ascii="Public Sans" w:hAnsi="Public Sans" w:eastAsia="Public Sans"/>
                <w:b/>
                <w:color w:val="FFFFFF"/>
                <w:sz w:val="17"/>
              </w:rPr>
              <w:t xml:space="preserve">Critical feature focus</w:t>
            </w:r>
          </w:p>
        </w:tc>
      </w:tr>
      <w:tr>
        <w:trPr>
          <w:cantSplit/>
        </w:trPr>
        <w:tc>
          <w:tcPr/>
          <w:p>
            <w:pPr>
              <w:pStyle w:val="Compact"/>
            </w:pPr>
            <w:r>
              <w:t xml:space="preserve">Serious reader</w:t>
            </w:r>
          </w:p>
        </w:tc>
        <w:tc>
          <w:tcPr/>
          <w:p>
            <w:pPr>
              <w:pStyle w:val="Compact"/>
            </w:pPr>
            <w:r>
              <w:t xml:space="preserve">Re-discover and continue books accumulated over years</w:t>
            </w:r>
          </w:p>
        </w:tc>
        <w:tc>
          <w:tcPr/>
          <w:p>
            <w:pPr>
              <w:pStyle w:val="Compact"/>
            </w:pPr>
            <w:r>
              <w:t xml:space="preserve">Finds, resumes, and browses without recalling file names</w:t>
            </w:r>
          </w:p>
        </w:tc>
        <w:tc>
          <w:tcPr/>
          <w:p>
            <w:pPr>
              <w:pStyle w:val="Compact"/>
            </w:pPr>
            <w:r>
              <w:t xml:space="preserve">3D shelf, grid view, progress, shelves, reading statistics</w:t>
            </w:r>
          </w:p>
        </w:tc>
      </w:tr>
      <w:tr>
        <w:trPr>
          <w:cantSplit/>
        </w:trPr>
        <w:tc>
          <w:tcPr/>
          <w:p>
            <w:pPr>
              <w:pStyle w:val="Compact"/>
            </w:pPr>
            <w:r>
              <w:t xml:space="preserve">Researcher</w:t>
            </w:r>
          </w:p>
        </w:tc>
        <w:tc>
          <w:tcPr/>
          <w:p>
            <w:pPr>
              <w:pStyle w:val="Compact"/>
            </w:pPr>
            <w:r>
              <w:t xml:space="preserve">Find the right document for a topic or question</w:t>
            </w:r>
          </w:p>
        </w:tc>
        <w:tc>
          <w:tcPr/>
          <w:p>
            <w:pPr>
              <w:pStyle w:val="Compact"/>
            </w:pPr>
            <w:r>
              <w:t xml:space="preserve">Moves from intent to relevant source quickly</w:t>
            </w:r>
          </w:p>
        </w:tc>
        <w:tc>
          <w:tcPr/>
          <w:p>
            <w:pPr>
              <w:pStyle w:val="Compact"/>
            </w:pPr>
            <w:r>
              <w:t xml:space="preserve">Full-text search, semantic search, AI advisor, annotations, citations</w:t>
            </w:r>
          </w:p>
        </w:tc>
      </w:tr>
      <w:tr>
        <w:trPr>
          <w:cantSplit/>
        </w:trPr>
        <w:tc>
          <w:tcPr/>
          <w:p>
            <w:pPr>
              <w:pStyle w:val="Compact"/>
            </w:pPr>
            <w:r>
              <w:t xml:space="preserve">Collector</w:t>
            </w:r>
          </w:p>
        </w:tc>
        <w:tc>
          <w:tcPr/>
          <w:p>
            <w:pPr>
              <w:pStyle w:val="Compact"/>
            </w:pPr>
            <w:r>
              <w:t xml:space="preserve">Correct and preserve metadata</w:t>
            </w:r>
          </w:p>
        </w:tc>
        <w:tc>
          <w:tcPr/>
          <w:p>
            <w:pPr>
              <w:pStyle w:val="Compact"/>
            </w:pPr>
            <w:r>
              <w:t xml:space="preserve">Repairs, enriches, exports, and writes metadata safely</w:t>
            </w:r>
          </w:p>
        </w:tc>
        <w:tc>
          <w:tcPr/>
          <w:p>
            <w:pPr>
              <w:pStyle w:val="Compact"/>
            </w:pPr>
            <w:r>
              <w:t xml:space="preserve">ISBN detection, provider lookup, metadata editor, backups</w:t>
            </w:r>
          </w:p>
        </w:tc>
      </w:tr>
      <w:tr>
        <w:trPr>
          <w:cantSplit/>
        </w:trPr>
        <w:tc>
          <w:tcPr/>
          <w:p>
            <w:pPr>
              <w:pStyle w:val="Compact"/>
            </w:pPr>
            <w:r>
              <w:t xml:space="preserve">Power librarian</w:t>
            </w:r>
          </w:p>
        </w:tc>
        <w:tc>
          <w:tcPr/>
          <w:p>
            <w:pPr>
              <w:pStyle w:val="Compact"/>
            </w:pPr>
            <w:r>
              <w:t xml:space="preserve">Maintain a large collection over time</w:t>
            </w:r>
          </w:p>
        </w:tc>
        <w:tc>
          <w:tcPr/>
          <w:p>
            <w:pPr>
              <w:pStyle w:val="Compact"/>
            </w:pPr>
            <w:r>
              <w:t xml:space="preserve">Audits duplicates, gaps, unavailable files, broken covers</w:t>
            </w:r>
          </w:p>
        </w:tc>
        <w:tc>
          <w:tcPr/>
          <w:p>
            <w:pPr>
              <w:pStyle w:val="Compact"/>
            </w:pPr>
            <w:r>
              <w:t xml:space="preserve">Health dashboard, duplicate detection, batch jobs</w:t>
            </w:r>
          </w:p>
        </w:tc>
      </w:tr>
      <w:tr>
        <w:trPr>
          <w:cantSplit/>
        </w:trPr>
        <w:tc>
          <w:tcPr/>
          <w:p>
            <w:pPr>
              <w:pStyle w:val="Compact"/>
            </w:pPr>
            <w:r>
              <w:t xml:space="preserve">Privacy-sensitive user</w:t>
            </w:r>
          </w:p>
        </w:tc>
        <w:tc>
          <w:tcPr/>
          <w:p>
            <w:pPr>
              <w:pStyle w:val="Compact"/>
            </w:pPr>
            <w:r>
              <w:t xml:space="preserve">Use AI without exposing documents unnecessarily</w:t>
            </w:r>
          </w:p>
        </w:tc>
        <w:tc>
          <w:tcPr/>
          <w:p>
            <w:pPr>
              <w:pStyle w:val="Compact"/>
            </w:pPr>
            <w:r>
              <w:t xml:space="preserve">Chooses local-only or metadata-only AI modes</w:t>
            </w:r>
          </w:p>
        </w:tc>
        <w:tc>
          <w:tcPr/>
          <w:p>
            <w:pPr>
              <w:pStyle w:val="Compact"/>
            </w:pPr>
            <w:r>
              <w:t xml:space="preserve">Privacy labels, local embeddings, Privacy Center</w:t>
            </w:r>
          </w:p>
        </w:tc>
      </w:tr>
      <w:tr>
        <w:trPr>
          <w:cantSplit/>
        </w:trPr>
        <w:tc>
          <w:tcPr/>
          <w:p>
            <w:pPr>
              <w:pStyle w:val="Compact"/>
            </w:pPr>
            <w:r>
              <w:t xml:space="preserve">Student (classroom client)</w:t>
            </w:r>
          </w:p>
        </w:tc>
        <w:tc>
          <w:tcPr/>
          <w:p>
            <w:pPr>
              <w:pStyle w:val="Compact"/>
            </w:pPr>
            <w:r>
              <w:t xml:space="preserve">Read and search the school's shared collection from any LAN computer</w:t>
            </w:r>
          </w:p>
        </w:tc>
        <w:tc>
          <w:tcPr/>
          <w:p>
            <w:pPr>
              <w:pStyle w:val="Compact"/>
            </w:pPr>
            <w:r>
              <w:t xml:space="preserve">Joins with a code, reads a streamed book, keeps private notes</w:t>
            </w:r>
          </w:p>
        </w:tc>
        <w:tc>
          <w:tcPr/>
          <w:p>
            <w:pPr>
              <w:pStyle w:val="Compact"/>
            </w:pPr>
            <w:r>
              <w:t xml:space="preserve">Classroom join, streamed reading, private per-profile state, explainable AI search</w:t>
            </w:r>
          </w:p>
        </w:tc>
      </w:tr>
      <w:tr>
        <w:trPr>
          <w:cantSplit/>
        </w:trPr>
        <w:tc>
          <w:tcPr/>
          <w:p>
            <w:pPr>
              <w:pStyle w:val="Compact"/>
            </w:pPr>
            <w:r>
              <w:t xml:space="preserve">Teacher</w:t>
            </w:r>
          </w:p>
        </w:tc>
        <w:tc>
          <w:tcPr/>
          <w:p>
            <w:pPr>
              <w:pStyle w:val="Compact"/>
            </w:pPr>
            <w:r>
              <w:t xml:space="preserve">Guide a class through a shared collection</w:t>
            </w:r>
          </w:p>
        </w:tc>
        <w:tc>
          <w:tcPr/>
          <w:p>
            <w:pPr>
              <w:pStyle w:val="Compact"/>
            </w:pPr>
            <w:r>
              <w:t xml:space="preserve">Sees class-level reading dashboards and assigns shelves</w:t>
            </w:r>
          </w:p>
        </w:tc>
        <w:tc>
          <w:tcPr/>
          <w:p>
            <w:pPr>
              <w:pStyle w:val="Compact"/>
            </w:pPr>
            <w:r>
              <w:t xml:space="preserve">Shared shelves, class dashboards, role-scoped access</w:t>
            </w:r>
          </w:p>
        </w:tc>
      </w:tr>
      <w:tr>
        <w:trPr>
          <w:cantSplit/>
        </w:trPr>
        <w:tc>
          <w:tcPr/>
          <w:p>
            <w:pPr>
              <w:pStyle w:val="Compact"/>
            </w:pPr>
            <w:r>
              <w:t xml:space="preserve">School administrator</w:t>
            </w:r>
          </w:p>
        </w:tc>
        <w:tc>
          <w:tcPr/>
          <w:p>
            <w:pPr>
              <w:pStyle w:val="Compact"/>
            </w:pPr>
            <w:r>
              <w:t xml:space="preserve">Operate the shared library and control AI spend and privacy</w:t>
            </w:r>
          </w:p>
        </w:tc>
        <w:tc>
          <w:tcPr/>
          <w:p>
            <w:pPr>
              <w:pStyle w:val="Compact"/>
            </w:pPr>
            <w:r>
              <w:t xml:space="preserve">Publishes content, enrolls/revokes profiles, sets AI quotas and tiers, audits usage</w:t>
            </w:r>
          </w:p>
        </w:tc>
        <w:tc>
          <w:tcPr/>
          <w:p>
            <w:pPr>
              <w:pStyle w:val="Compact"/>
            </w:pPr>
            <w:r>
              <w:t xml:space="preserve">Host mode, entitlements, managed AI keys, quotas, audit export</w:t>
            </w:r>
          </w:p>
        </w:tc>
      </w:tr>
    </w:tbl>
    <w:p>
      <w:pPr>
        <w:pStyle w:val="BodyText"/>
      </w:pPr>
      <w:r>
        <w:t xml:space="preserve">The application targets users with general desktop-computing competence and does not assume software-engineering knowledge. Students may be</w:t>
      </w:r>
      <w:r>
        <w:t xml:space="preserve"> </w:t>
      </w:r>
      <w:r>
        <w:rPr>
          <w:i/>
          <w:iCs/>
        </w:rPr>
        <w:t xml:space="preserve">minors</w:t>
      </w:r>
      <w:r>
        <w:t xml:space="preserve">; the classroom scope therefore carries child-data protections (Section 7, CTRL-032). Keyboard-only and screen-reader users are a first-class audience; WCAG 2.2 Level AA conformance is a release gate (Section 5, NFR-PROD-007 and NFR-PROD-008).</w:t>
      </w:r>
    </w:p>
    <w:bookmarkEnd w:id="20"/>
    <w:bookmarkStart w:id="21" w:name="X1d37ca2cf2c6517ebe12098404c292ffcd35a5b"/>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2.4 Constraints</w:t>
      </w:r>
    </w:p>
    <w:p>
      <w:pPr>
        <w:pStyle w:val="Compact"/>
        <w:numPr>
          <w:ilvl w:val="0"/>
          <w:numId w:val="1007"/>
        </w:numPr>
      </w:pPr>
      <w:r>
        <w:rPr>
          <w:b/>
          <w:bCs/>
        </w:rPr>
        <w:t xml:space="preserve">CON-1</w:t>
      </w:r>
      <w:r>
        <w:t xml:space="preserve"> </w:t>
      </w:r>
      <w:r>
        <w:t xml:space="preserve">Runtime baseline. The application targets the .NET 10 Long-Term Support runtime and builds</w:t>
      </w:r>
      <w:r>
        <w:t xml:space="preserve"> </w:t>
      </w:r>
      <w:r>
        <w:rPr>
          <w:rStyle w:val="VerbatimChar"/>
        </w:rPr>
        <w:t xml:space="preserve">net10.0</w:t>
      </w:r>
      <w:r>
        <w:t xml:space="preserve"> </w:t>
      </w:r>
      <w:r>
        <w:t xml:space="preserve">with warnings-as-errors. The inspected baseline uses EF Core SQLite 10.0.9 and Microsoft.Extensions 10.0.9; ADR-0016 records the aligned runtime decision. Current support dates are controlled through</w:t>
      </w:r>
      <w:r>
        <w:t xml:space="preserve"> </w:t>
      </w:r>
      <w:r>
        <w:rPr>
          <w:rStyle w:val="VerbatimChar"/>
        </w:rPr>
        <w:t xml:space="preserve">_context/source-register.md</w:t>
      </w:r>
      <w:r>
        <w:t xml:space="preserve"> </w:t>
      </w:r>
      <w:r>
        <w:t xml:space="preserve">and must be refreshed before release.</w:t>
      </w:r>
    </w:p>
    <w:p>
      <w:pPr>
        <w:pStyle w:val="Compact"/>
        <w:numPr>
          <w:ilvl w:val="0"/>
          <w:numId w:val="1007"/>
        </w:numPr>
      </w:pPr>
      <w:r>
        <w:rPr>
          <w:b/>
          <w:bCs/>
        </w:rPr>
        <w:t xml:space="preserve">CON-2</w:t>
      </w:r>
      <w:r>
        <w:t xml:space="preserve"> </w:t>
      </w:r>
      <w:r>
        <w:t xml:space="preserve">Local-first operation. Core operations function with no network connection present (NFR-PROD-001).</w:t>
      </w:r>
    </w:p>
    <w:p>
      <w:pPr>
        <w:pStyle w:val="Compact"/>
        <w:numPr>
          <w:ilvl w:val="0"/>
          <w:numId w:val="1007"/>
        </w:numPr>
      </w:pPr>
      <w:r>
        <w:rPr>
          <w:b/>
          <w:bCs/>
        </w:rPr>
        <w:t xml:space="preserve">CON-3</w:t>
      </w:r>
      <w:r>
        <w:t xml:space="preserve"> </w:t>
      </w:r>
      <w:r>
        <w:t xml:space="preserve">File ownership. Source files stay in their original format under the user's control; the application never rewrites them into a proprietary container (NFR-PROD-009).</w:t>
      </w:r>
    </w:p>
    <w:p>
      <w:pPr>
        <w:pStyle w:val="Compact"/>
        <w:numPr>
          <w:ilvl w:val="0"/>
          <w:numId w:val="1007"/>
        </w:numPr>
      </w:pPr>
      <w:r>
        <w:rPr>
          <w:b/>
          <w:bCs/>
        </w:rPr>
        <w:t xml:space="preserve">CON-4</w:t>
      </w:r>
      <w:r>
        <w:t xml:space="preserve"> </w:t>
      </w:r>
      <w:r>
        <w:t xml:space="preserve">Single egress chokepoint. All off-device network calls route through the AI gateway (</w:t>
      </w:r>
      <w:r>
        <w:rPr>
          <w:rStyle w:val="VerbatimChar"/>
        </w:rPr>
        <w:t xml:space="preserve">AiGateway</w:t>
      </w:r>
      <w:r>
        <w:t xml:space="preserve">); no feature module opens its own provider connection. Architecture tests enforce this (Section 7, CTRL-016).</w:t>
      </w:r>
    </w:p>
    <w:p>
      <w:pPr>
        <w:pStyle w:val="Compact"/>
        <w:numPr>
          <w:ilvl w:val="0"/>
          <w:numId w:val="1007"/>
        </w:numPr>
      </w:pPr>
      <w:r>
        <w:rPr>
          <w:b/>
          <w:bCs/>
        </w:rPr>
        <w:t xml:space="preserve">CON-5</w:t>
      </w:r>
      <w:r>
        <w:t xml:space="preserve"> </w:t>
      </w:r>
      <w:r>
        <w:t xml:space="preserve">Accessibility. WCAG 2.2 Level AA is a release gate; the formal audit is Phase 21 scope (Section 8.6).</w:t>
      </w:r>
    </w:p>
    <w:p>
      <w:pPr>
        <w:pStyle w:val="Compact"/>
        <w:numPr>
          <w:ilvl w:val="0"/>
          <w:numId w:val="1007"/>
        </w:numPr>
      </w:pPr>
      <w:r>
        <w:rPr>
          <w:b/>
          <w:bCs/>
        </w:rPr>
        <w:t xml:space="preserve">CON-6</w:t>
      </w:r>
      <w:r>
        <w:t xml:space="preserve"> </w:t>
      </w:r>
      <w:r>
        <w:t xml:space="preserve">Platform targets. The product ships on Windows 10 22H2 or later (WebView2) and macOS 13 or later (WKWebView). Linux is not a release target of this baseline; the Linux Secret Service reference in CTRL-001 is forward-compatibility only. Distribution channels per the vision: Velopack direct, MSIX + Microsoft Store, notarized DMG + Mac App Store, GitHub releases.</w:t>
      </w:r>
    </w:p>
    <w:p>
      <w:pPr>
        <w:pStyle w:val="Compact"/>
        <w:numPr>
          <w:ilvl w:val="0"/>
          <w:numId w:val="1007"/>
        </w:numPr>
      </w:pPr>
      <w:r>
        <w:rPr>
          <w:b/>
          <w:bCs/>
        </w:rPr>
        <w:t xml:space="preserve">CON-7</w:t>
      </w:r>
      <w:r>
        <w:t xml:space="preserve"> </w:t>
      </w:r>
      <w:r>
        <w:t xml:space="preserve">Classroom capacity. A Library Host is a desktop machine, not a server: the design capacity is a classroom of 20–40 concurrent clients, with binding budgets NFR-LAN-001 through NFR-LAN-003 (Section 5.4).</w:t>
      </w:r>
    </w:p>
    <w:bookmarkEnd w:id="21"/>
    <w:bookmarkStart w:id="22" w:name="X64d2af84293eeb3b79c868ce9364e2198597b19"/>
    <w:p>
      <w:pPr>
        <w:pStyle w:val="Heading2"/>
      </w:pPr>
      <w:r>
        <w:rPr>
          <w:rStyle w:val="SectionNumber"/>
          <w:rFonts w:ascii="Spectral" w:hAnsi="Spectral" w:eastAsia="Spectral"/>
          <w:color w:val="132338"/>
        </w:rPr>
        <w:t xml:space="preserve">3.5</w:t>
      </w:r>
      <w:r>
        <w:rPr>
          <w:rFonts w:ascii="Spectral" w:hAnsi="Spectral" w:eastAsia="Spectral"/>
          <w:color w:val="132338"/>
        </w:rPr>
        <w:tab/>
      </w:r>
      <w:r>
        <w:rPr>
          <w:rFonts w:ascii="Spectral" w:hAnsi="Spectral" w:eastAsia="Spectral"/>
          <w:color w:val="132338"/>
        </w:rPr>
        <w:t xml:space="preserve">2.5 Assumptions and Dependencies</w:t>
      </w:r>
    </w:p>
    <w:p>
      <w:pPr>
        <w:pStyle w:val="Compact"/>
        <w:numPr>
          <w:ilvl w:val="0"/>
          <w:numId w:val="1008"/>
        </w:numPr>
      </w:pPr>
      <w:r>
        <w:rPr>
          <w:b/>
          <w:bCs/>
        </w:rPr>
        <w:t xml:space="preserve">ASM-1.</w:t>
      </w:r>
      <w:r>
        <w:t xml:space="preserve"> </w:t>
      </w:r>
      <w:r>
        <w:t xml:space="preserve">The PDF collection resides on a local or locally mounted file system reachable by an absolute path under a single library root.</w:t>
      </w:r>
    </w:p>
    <w:p>
      <w:pPr>
        <w:pStyle w:val="Compact"/>
        <w:numPr>
          <w:ilvl w:val="0"/>
          <w:numId w:val="1008"/>
        </w:numPr>
      </w:pPr>
      <w:r>
        <w:rPr>
          <w:b/>
          <w:bCs/>
        </w:rPr>
        <w:t xml:space="preserve">ASM-2.</w:t>
      </w:r>
      <w:r>
        <w:t xml:space="preserve"> </w:t>
      </w:r>
      <w:r>
        <w:t xml:space="preserve">Performance acceptance binds on the defined reference machines: W-REF-01 (Intel Core i5-10210U, 8 GB DDR4, SATA SSD, Intel UHD 620, 1920×1080, Windows 10 22H2) is the binding gate; M-REF-01 (MacBook Air M1, 8 GB, macOS 13.6) is expected to meet or exceed it (</w:t>
      </w:r>
      <w:r>
        <w:rPr>
          <w:rStyle w:val="VerbatimChar"/>
        </w:rPr>
        <w:t xml:space="preserve">_context/reference-hardware.md</w:t>
      </w:r>
      <w:r>
        <w:t xml:space="preserve">, decision CON-1 of</w:t>
      </w:r>
      <w:r>
        <w:t xml:space="preserve"> </w:t>
      </w:r>
      <w:r>
        <w:rPr>
          <w:rStyle w:val="VerbatimChar"/>
        </w:rPr>
        <w:t xml:space="preserve">REFERENCE-HARDWARE.md</w:t>
      </w:r>
      <w:r>
        <w:t xml:space="preserve"> </w:t>
      </w:r>
      <w:r>
        <w:t xml:space="preserve">v1.0).</w:t>
      </w:r>
    </w:p>
    <w:p>
      <w:pPr>
        <w:pStyle w:val="Compact"/>
        <w:numPr>
          <w:ilvl w:val="0"/>
          <w:numId w:val="1008"/>
        </w:numPr>
      </w:pPr>
      <w:r>
        <w:rPr>
          <w:b/>
          <w:bCs/>
        </w:rPr>
        <w:t xml:space="preserve">ASM-3.</w:t>
      </w:r>
      <w:r>
        <w:t xml:space="preserve"> </w:t>
      </w:r>
      <w:r>
        <w:t xml:space="preserve">In classroom deployments the school is the</w:t>
      </w:r>
      <w:r>
        <w:t xml:space="preserve"> </w:t>
      </w:r>
      <w:r>
        <w:rPr>
          <w:i/>
          <w:iCs/>
        </w:rPr>
        <w:t xml:space="preserve">data controller</w:t>
      </w:r>
      <w:r>
        <w:t xml:space="preserve"> </w:t>
      </w:r>
      <w:r>
        <w:t xml:space="preserve">for student personal data; the applicable data-protection law is jurisdiction-specific and is fixed per deployment through the DPIA screening (Section 7, CTRL-024 and CTRL-032).</w:t>
      </w:r>
    </w:p>
    <w:p>
      <w:pPr>
        <w:pStyle w:val="Compact"/>
        <w:numPr>
          <w:ilvl w:val="0"/>
          <w:numId w:val="1008"/>
        </w:numPr>
      </w:pPr>
      <w:r>
        <w:rPr>
          <w:b/>
          <w:bCs/>
        </w:rPr>
        <w:t xml:space="preserve">DEP-1.</w:t>
      </w:r>
      <w:r>
        <w:t xml:space="preserve"> </w:t>
      </w:r>
      <w:r>
        <w:t xml:space="preserve">PDF rendering and password handling depend on PDFium via</w:t>
      </w:r>
      <w:r>
        <w:t xml:space="preserve"> </w:t>
      </w:r>
      <w:r>
        <w:rPr>
          <w:rStyle w:val="VerbatimChar"/>
        </w:rPr>
        <w:t xml:space="preserve">PdfiumAdapter</w:t>
      </w:r>
      <w:r>
        <w:t xml:space="preserve"> </w:t>
      </w:r>
      <w:r>
        <w:t xml:space="preserve">(PDFtoImage/SkiaSharp); text and metadata extraction on PdfPig; metadata write-back on PDFsharp via</w:t>
      </w:r>
      <w:r>
        <w:t xml:space="preserve"> </w:t>
      </w:r>
      <w:r>
        <w:rPr>
          <w:rStyle w:val="VerbatimChar"/>
        </w:rPr>
        <w:t xml:space="preserve">PdfWriteBackService</w:t>
      </w:r>
      <w:r>
        <w:t xml:space="preserve">; image and texture work on SkiaSharp.</w:t>
      </w:r>
    </w:p>
    <w:p>
      <w:pPr>
        <w:pStyle w:val="Compact"/>
        <w:numPr>
          <w:ilvl w:val="0"/>
          <w:numId w:val="1008"/>
        </w:numPr>
      </w:pPr>
      <w:r>
        <w:rPr>
          <w:b/>
          <w:bCs/>
        </w:rPr>
        <w:t xml:space="preserve">DEP-2.</w:t>
      </w:r>
      <w:r>
        <w:t xml:space="preserve"> </w:t>
      </w:r>
      <w:r>
        <w:t xml:space="preserve">Full-text search depends on the SQLite FTS5 extension (</w:t>
      </w:r>
      <w:r>
        <w:rPr>
          <w:rStyle w:val="VerbatimChar"/>
        </w:rPr>
        <w:t xml:space="preserve">FtsIndexService</w:t>
      </w:r>
      <w:r>
        <w:t xml:space="preserve">); vector search on a SQLite vector extension (sqlite-vec / Vec1) behind</w:t>
      </w:r>
      <w:r>
        <w:t xml:space="preserve"> </w:t>
      </w:r>
      <w:r>
        <w:rPr>
          <w:rStyle w:val="VerbatimChar"/>
        </w:rPr>
        <w:t xml:space="preserve">SemanticSearchService</w:t>
      </w:r>
      <w:r>
        <w:t xml:space="preserve">.</w:t>
      </w:r>
    </w:p>
    <w:p>
      <w:pPr>
        <w:pStyle w:val="Compact"/>
        <w:numPr>
          <w:ilvl w:val="0"/>
          <w:numId w:val="1008"/>
        </w:numPr>
      </w:pPr>
      <w:r>
        <w:rPr>
          <w:b/>
          <w:bCs/>
        </w:rPr>
        <w:t xml:space="preserve">DEP-3.</w:t>
      </w:r>
      <w:r>
        <w:t xml:space="preserve"> </w:t>
      </w:r>
      <w:r>
        <w:t xml:space="preserve">The 3D bookshelf depends on WebGL2 in the platform WebView; a capability helper confirms availability and the application falls back to grid or list view where WebGL2 is absent.</w:t>
      </w:r>
    </w:p>
    <w:p>
      <w:pPr>
        <w:pStyle w:val="Compact"/>
        <w:numPr>
          <w:ilvl w:val="0"/>
          <w:numId w:val="1008"/>
        </w:numPr>
      </w:pPr>
      <w:r>
        <w:rPr>
          <w:b/>
          <w:bCs/>
        </w:rPr>
        <w:t xml:space="preserve">DEP-4.</w:t>
      </w:r>
      <w:r>
        <w:t xml:space="preserve"> </w:t>
      </w:r>
      <w:r>
        <w:t xml:space="preserve">Optional cloud AI and metadata enrichment depend on third-party providers (OpenAI-compatible, Anthropic-compatible, DeepSeek-compatible, Ollama local, Google Books, Open Library) whose availability is outside the application's control.</w:t>
      </w:r>
    </w:p>
    <w:p>
      <w:pPr>
        <w:pStyle w:val="Compact"/>
        <w:numPr>
          <w:ilvl w:val="0"/>
          <w:numId w:val="1008"/>
        </w:numPr>
      </w:pPr>
      <w:r>
        <w:rPr>
          <w:b/>
          <w:bCs/>
        </w:rPr>
        <w:t xml:space="preserve">DEP-5.</w:t>
      </w:r>
      <w:r>
        <w:t xml:space="preserve"> </w:t>
      </w:r>
      <w:r>
        <w:t xml:space="preserve">Optional OCR depends on Tesseract 5.2.0, executed in background jobs.</w:t>
      </w:r>
    </w:p>
    <w:p>
      <w:pPr>
        <w:pStyle w:val="Compact"/>
        <w:numPr>
          <w:ilvl w:val="0"/>
          <w:numId w:val="1008"/>
        </w:numPr>
      </w:pPr>
      <w:r>
        <w:rPr>
          <w:b/>
          <w:bCs/>
        </w:rPr>
        <w:t xml:space="preserve">DEP-6.</w:t>
      </w:r>
      <w:r>
        <w:t xml:space="preserve"> </w:t>
      </w:r>
      <w:r>
        <w:t xml:space="preserve">LAN host mode depends on the ASP.NET Core Kestrel server (</w:t>
      </w:r>
      <w:r>
        <w:rPr>
          <w:rStyle w:val="VerbatimChar"/>
        </w:rPr>
        <w:t xml:space="preserve">KestrelHostModeListener</w:t>
      </w:r>
      <w:r>
        <w:t xml:space="preserve">) and mDNS advertisement; client discovery falls back to manual host-address entry where multicast is filtered.</w:t>
      </w:r>
    </w:p>
    <w:bookmarkEnd w:id="22"/>
    <w:bookmarkStart w:id="23" w:name="X4a0d294cfc521e874ac46b6bd6e0da211b9f236"/>
    <w:p>
      <w:pPr>
        <w:pStyle w:val="Heading2"/>
      </w:pPr>
      <w:r>
        <w:rPr>
          <w:rStyle w:val="SectionNumber"/>
          <w:rFonts w:ascii="Spectral" w:hAnsi="Spectral" w:eastAsia="Spectral"/>
          <w:color w:val="132338"/>
        </w:rPr>
        <w:t xml:space="preserve">3.6</w:t>
      </w:r>
      <w:r>
        <w:rPr>
          <w:rFonts w:ascii="Spectral" w:hAnsi="Spectral" w:eastAsia="Spectral"/>
          <w:color w:val="132338"/>
        </w:rPr>
        <w:tab/>
      </w:r>
      <w:r>
        <w:rPr>
          <w:rFonts w:ascii="Spectral" w:hAnsi="Spectral" w:eastAsia="Spectral"/>
          <w:color w:val="132338"/>
        </w:rPr>
        <w:t xml:space="preserve">2.6 Privacy-Tier Model Overview</w:t>
      </w:r>
    </w:p>
    <w:p>
      <w:pPr>
        <w:pStyle w:val="FirstParagraph"/>
      </w:pPr>
      <w:r>
        <w:t xml:space="preserve">AI and enrichment data handling operates under 4 explicit</w:t>
      </w:r>
      <w:r>
        <w:t xml:space="preserve"> </w:t>
      </w:r>
      <w:r>
        <w:rPr>
          <w:i/>
          <w:iCs/>
        </w:rPr>
        <w:t xml:space="preserve">privacy tiers</w:t>
      </w:r>
      <w:r>
        <w:t xml:space="preserve">, implemented in</w:t>
      </w:r>
      <w:r>
        <w:t xml:space="preserve"> </w:t>
      </w:r>
      <w:r>
        <w:rPr>
          <w:rStyle w:val="VerbatimChar"/>
        </w:rPr>
        <w:t xml:space="preserve">AiGateway</w:t>
      </w:r>
      <w:r>
        <w:t xml:space="preserve"> </w:t>
      </w:r>
      <w:r>
        <w:t xml:space="preserve">with</w:t>
      </w:r>
      <w:r>
        <w:t xml:space="preserve"> </w:t>
      </w:r>
      <w:r>
        <w:rPr>
          <w:rStyle w:val="VerbatimChar"/>
        </w:rPr>
        <w:t xml:space="preserve">AiDisabledProvider</w:t>
      </w:r>
      <w:r>
        <w:t xml:space="preserve"> </w:t>
      </w:r>
      <w:r>
        <w:t xml:space="preserve">as the default provider. The tier in force is shown at the point of any off-device action, and a</w:t>
      </w:r>
      <w:r>
        <w:t xml:space="preserve"> </w:t>
      </w:r>
      <w:r>
        <w:rPr>
          <w:i/>
          <w:iCs/>
        </w:rPr>
        <w:t xml:space="preserve">payload preview</w:t>
      </w:r>
      <w:r>
        <w:t xml:space="preserve"> </w:t>
      </w:r>
      <w:r>
        <w:t xml:space="preserve">is presented before any data leaves the device (Section 7; NFR-PROD-011).</w:t>
      </w:r>
    </w:p>
    <w:p>
      <w:pPr>
        <w:pStyle w:val="Compact"/>
        <w:numPr>
          <w:ilvl w:val="0"/>
          <w:numId w:val="1009"/>
        </w:numPr>
      </w:pPr>
      <w:r>
        <w:t xml:space="preserve">Tier 0 — Offline. No off-device transmission. AI features requiring a provider are unavailable; reading, browsing, metadata editing, and local search remain fully functional.</w:t>
      </w:r>
    </w:p>
    <w:p>
      <w:pPr>
        <w:pStyle w:val="Compact"/>
        <w:numPr>
          <w:ilvl w:val="0"/>
          <w:numId w:val="1009"/>
        </w:numPr>
      </w:pPr>
      <w:r>
        <w:t xml:space="preserve">Tier 1 — Metadata-only (default for cloud AI, and the enforced class default in classroom mode per FR-ADMIN-006). Off-device requests carry only bibliographic and organisational metadata (title, author, tags, categories, descriptions, notes). No document content is transmitted.</w:t>
      </w:r>
    </w:p>
    <w:p>
      <w:pPr>
        <w:pStyle w:val="Compact"/>
        <w:numPr>
          <w:ilvl w:val="0"/>
          <w:numId w:val="1009"/>
        </w:numPr>
      </w:pPr>
      <w:r>
        <w:t xml:space="preserve">Tier 2 — Content-aware (opt-in). Off-device requests may carry document content chunks, enabled per library or per query only after the user — or, in classroom mode, the administrator — confirms a privacy label and previewed payload.</w:t>
      </w:r>
    </w:p>
    <w:p>
      <w:pPr>
        <w:pStyle w:val="Compact"/>
        <w:numPr>
          <w:ilvl w:val="0"/>
          <w:numId w:val="1009"/>
        </w:numPr>
      </w:pPr>
      <w:r>
        <w:t xml:space="preserve">Tier 3 — Local AI. Inference and embeddings run on-device through Ollama; no user content leaves the machine.</w:t>
      </w:r>
    </w:p>
    <w:p>
      <w:pPr>
        <w:pStyle w:val="FirstParagraph"/>
      </w:pPr>
      <w:r>
        <w:t xml:space="preserve">In classroom mode the tier model operates on the host on behalf of the class: the student still sees the active tier and a payload preview before any off-device search (FR-ADMIN-007), preserving explainability and consent in managed mode.</w:t>
      </w:r>
    </w:p>
    <w:p>
      <w:pPr>
        <w:pStyle w:val="BodyText"/>
      </w:pPr>
      <w:r>
        <w:t xml:space="preserve">\newpage</w:t>
      </w:r>
    </w:p>
    <w:bookmarkEnd w:id="23"/>
    <w:bookmarkEnd w:id="24"/>
    <w:bookmarkStart w:id="29" w:name="Xd1094d81aa8a8bcfe07382c09cb16d506908afc"/>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3. External Interface Requirements</w:t>
      </w:r>
    </w:p>
    <w:bookmarkStart w:id="25" w:name="Xd0a85d7949193a3cb43e65a8fc5ae541c9f00b1"/>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3.1 User Interfaces</w:t>
      </w:r>
    </w:p>
    <w:p>
      <w:pPr>
        <w:pStyle w:val="FirstParagraph"/>
      </w:pPr>
      <w:r>
        <w:t xml:space="preserve">The application presents a single main window hosting the catalogue and a set of focused surfaces. All surfaces are keyboard-operable and expose accessible names, roles, and states to the platform accessibility Application Programming Interface (API), per NFR-PROD-007 and NFR-PROD-008. Every primary surface defines loading, empty, error, and in-progress states (FR-UX-002); no surface may present a blank panel.</w:t>
      </w:r>
    </w:p>
    <w:p>
      <w:pPr>
        <w:pStyle w:val="Compact"/>
        <w:numPr>
          <w:ilvl w:val="0"/>
          <w:numId w:val="1010"/>
        </w:numPr>
      </w:pPr>
      <w:r>
        <w:rPr>
          <w:b/>
          <w:bCs/>
        </w:rPr>
        <w:t xml:space="preserve">UI-1</w:t>
      </w:r>
      <w:r>
        <w:t xml:space="preserve"> </w:t>
      </w:r>
      <w:r>
        <w:t xml:space="preserve">Main window. Presents the catalogue in the active browsing mode, a sort-and-filter control region, a virtual-shelf and smart-shelf navigation region, and a status region for background jobs. All 4 browsing modes (3D shelf, grid, list, directory) open the same book-detail surface and the same reader.</w:t>
      </w:r>
    </w:p>
    <w:p>
      <w:pPr>
        <w:pStyle w:val="Compact"/>
        <w:numPr>
          <w:ilvl w:val="0"/>
          <w:numId w:val="1010"/>
        </w:numPr>
      </w:pPr>
      <w:r>
        <w:rPr>
          <w:b/>
          <w:bCs/>
        </w:rPr>
        <w:t xml:space="preserve">UI-2</w:t>
      </w:r>
      <w:r>
        <w:t xml:space="preserve"> </w:t>
      </w:r>
      <w:r>
        <w:t xml:space="preserve">Reader. Presents the rendered PDF page area, a navigation region (first, previous, next, last, jump-to-page, history back and forward), zoom and display-mode controls, a full-screen toggle, in-document text search with match highlighting, and the bookmark, annotation-layer, citation, and reading-memory region.</w:t>
      </w:r>
    </w:p>
    <w:p>
      <w:pPr>
        <w:pStyle w:val="Compact"/>
        <w:numPr>
          <w:ilvl w:val="0"/>
          <w:numId w:val="1010"/>
        </w:numPr>
      </w:pPr>
      <w:r>
        <w:rPr>
          <w:b/>
          <w:bCs/>
        </w:rPr>
        <w:t xml:space="preserve">UI-3</w:t>
      </w:r>
      <w:r>
        <w:t xml:space="preserve"> </w:t>
      </w:r>
      <w:r>
        <w:t xml:space="preserve">3D shelf. A WebGL2 shelf hosted in the platform WebView and driven by Three.js, presenting book meshes with generated spine textures. Selecting a mesh opens the same book-detail surface as the other modes. Where WebGL2 is unavailable, the application falls back to grid view.</w:t>
      </w:r>
    </w:p>
    <w:p>
      <w:pPr>
        <w:pStyle w:val="Compact"/>
        <w:numPr>
          <w:ilvl w:val="0"/>
          <w:numId w:val="1010"/>
        </w:numPr>
      </w:pPr>
      <w:r>
        <w:rPr>
          <w:b/>
          <w:bCs/>
        </w:rPr>
        <w:t xml:space="preserve">UI-4</w:t>
      </w:r>
      <w:r>
        <w:t xml:space="preserve"> </w:t>
      </w:r>
      <w:r>
        <w:t xml:space="preserve">Command palette. A keyboard-invoked palette accepting a typed query and exposing all catalogue, reader, and search commands (FR-UX-003).</w:t>
      </w:r>
    </w:p>
    <w:p>
      <w:pPr>
        <w:pStyle w:val="Compact"/>
        <w:numPr>
          <w:ilvl w:val="0"/>
          <w:numId w:val="1010"/>
        </w:numPr>
      </w:pPr>
      <w:r>
        <w:rPr>
          <w:b/>
          <w:bCs/>
        </w:rPr>
        <w:t xml:space="preserve">UI-5</w:t>
      </w:r>
      <w:r>
        <w:t xml:space="preserve"> </w:t>
      </w:r>
      <w:r>
        <w:t xml:space="preserve">Privacy Center. One surface listing provider keys, recent AI calls with exact payloads, per-call privacy tier, delete controls for history and embeddings, and audit-log export (FR-AI-011).</w:t>
      </w:r>
    </w:p>
    <w:p>
      <w:pPr>
        <w:pStyle w:val="Compact"/>
        <w:numPr>
          <w:ilvl w:val="0"/>
          <w:numId w:val="1010"/>
        </w:numPr>
      </w:pPr>
      <w:r>
        <w:rPr>
          <w:b/>
          <w:bCs/>
        </w:rPr>
        <w:t xml:space="preserve">UI-6</w:t>
      </w:r>
      <w:r>
        <w:t xml:space="preserve"> </w:t>
      </w:r>
      <w:r>
        <w:t xml:space="preserve">Classroom join and connection surface. Client-side host discovery list, manual address entry, QR join-code entry, certificate fingerprint confirmation, profile selection, and a persistent connection-state indicator with local-library fallback (FR-CLIENT-001, FR-CLIENT-011).</w:t>
      </w:r>
    </w:p>
    <w:p>
      <w:pPr>
        <w:pStyle w:val="Compact"/>
        <w:numPr>
          <w:ilvl w:val="0"/>
          <w:numId w:val="1010"/>
        </w:numPr>
      </w:pPr>
      <w:r>
        <w:rPr>
          <w:b/>
          <w:bCs/>
        </w:rPr>
        <w:t xml:space="preserve">UI-7</w:t>
      </w:r>
      <w:r>
        <w:t xml:space="preserve"> </w:t>
      </w:r>
      <w:r>
        <w:t xml:space="preserve">School administration console. Host-side publish/unpublish controls, shared-shelf management, profile enrollment and revocation, session list with revoke actions, AI policy (tier, quota, rate limit) controls, and the usage dashboard with audit export (FR-ADMIN group; FR-LAN-007, FR-LAN-010).</w:t>
      </w:r>
    </w:p>
    <w:p>
      <w:pPr>
        <w:pStyle w:val="Compact"/>
        <w:numPr>
          <w:ilvl w:val="0"/>
          <w:numId w:val="1010"/>
        </w:numPr>
      </w:pPr>
      <w:r>
        <w:rPr>
          <w:b/>
          <w:bCs/>
        </w:rPr>
        <w:t xml:space="preserve">UI-8</w:t>
      </w:r>
      <w:r>
        <w:t xml:space="preserve"> </w:t>
      </w:r>
      <w:r>
        <w:t xml:space="preserve">Teacher dashboard. Class-level aggregate reading dashboards with disclosed per-student visibility (FR-CLIENT-012).</w:t>
      </w:r>
    </w:p>
    <w:bookmarkEnd w:id="25"/>
    <w:bookmarkStart w:id="26" w:name="X4c2cf716762a4416bc889380d4a123de24a44f7"/>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3.2 Hardware Interfaces</w:t>
      </w:r>
    </w:p>
    <w:p>
      <w:pPr>
        <w:pStyle w:val="FirstParagraph"/>
      </w:pPr>
      <w:r>
        <w:t xml:space="preserve">The application runs on commodity desktop hardware and requires no specialised peripheral. The performance-anchored minimum is the binding reference machine W-REF-01: a 2020-class 4-core/8-thread x64 CPU, 8 GB RAM, SATA SSD (~550 MB/s sequential read), and an integrated GPU of Intel UHD 620 class at 1920×1080. A WebGL2-capable GPU is required for the 3D shelf; absence degrades to grid or list view without loss of catalogue function (DEP-3). Local persistent storage must hold the catalogue database and the sidecar asset folder; the index manager surfaces sidecar and index sizes (FR-SEARCH-006). M-REF-01 (MacBook Air M1, 8 GB) anchors the macOS floor.</w:t>
      </w:r>
    </w:p>
    <w:bookmarkEnd w:id="26"/>
    <w:bookmarkStart w:id="27" w:name="X165c5f1ae5fcdd5323bac8cfb5b51a68882c52b"/>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3.3 Software Interfaces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Interface</w:t>
            </w:r>
          </w:p>
        </w:tc>
        <w:tc>
          <w:tcPr>
            <w:shd w:fill="132338"/>
          </w:tcPr>
          <w:p>
            <w:pPr>
              <w:pStyle w:val="Compact"/>
            </w:pPr>
            <w:r>
              <w:rPr>
                <w:rFonts w:ascii="Public Sans" w:hAnsi="Public Sans" w:eastAsia="Public Sans"/>
                <w:b/>
                <w:color w:val="FFFFFF"/>
                <w:sz w:val="17"/>
              </w:rPr>
              <w:t xml:space="preserve">Purpose</w:t>
            </w:r>
          </w:p>
        </w:tc>
        <w:tc>
          <w:tcPr>
            <w:shd w:fill="132338"/>
          </w:tcPr>
          <w:p>
            <w:pPr>
              <w:pStyle w:val="Compact"/>
            </w:pPr>
            <w:r>
              <w:rPr>
                <w:rFonts w:ascii="Public Sans" w:hAnsi="Public Sans" w:eastAsia="Public Sans"/>
                <w:b/>
                <w:color w:val="FFFFFF"/>
                <w:sz w:val="17"/>
              </w:rPr>
              <w:t xml:space="preserve">Direction</w:t>
            </w:r>
          </w:p>
        </w:tc>
      </w:tr>
      <w:tr>
        <w:trPr>
          <w:cantSplit/>
        </w:trPr>
        <w:tc>
          <w:tcPr/>
          <w:p>
            <w:pPr>
              <w:pStyle w:val="Compact"/>
            </w:pPr>
            <w:r>
              <w:t xml:space="preserve">PDFium via</w:t>
            </w:r>
            <w:r>
              <w:t xml:space="preserve"> </w:t>
            </w:r>
            <w:r>
              <w:rPr>
                <w:rStyle w:val="VerbatimChar"/>
              </w:rPr>
              <w:t xml:space="preserve">PdfiumAdapter</w:t>
            </w:r>
          </w:p>
        </w:tc>
        <w:tc>
          <w:tcPr/>
          <w:p>
            <w:pPr>
              <w:pStyle w:val="Compact"/>
            </w:pPr>
            <w:r>
              <w:t xml:space="preserve">PDF page rendering and password-protected document loading</w:t>
            </w:r>
          </w:p>
        </w:tc>
        <w:tc>
          <w:tcPr/>
          <w:p>
            <w:pPr>
              <w:pStyle w:val="Compact"/>
            </w:pPr>
            <w:r>
              <w:t xml:space="preserve">Local, in-process</w:t>
            </w:r>
          </w:p>
        </w:tc>
      </w:tr>
      <w:tr>
        <w:trPr>
          <w:cantSplit/>
        </w:trPr>
        <w:tc>
          <w:tcPr/>
          <w:p>
            <w:pPr>
              <w:pStyle w:val="Compact"/>
            </w:pPr>
            <w:r>
              <w:t xml:space="preserve">PdfPig</w:t>
            </w:r>
          </w:p>
        </w:tc>
        <w:tc>
          <w:tcPr/>
          <w:p>
            <w:pPr>
              <w:pStyle w:val="Compact"/>
            </w:pPr>
            <w:r>
              <w:t xml:space="preserve">PDF text and metadata extraction</w:t>
            </w:r>
          </w:p>
        </w:tc>
        <w:tc>
          <w:tcPr/>
          <w:p>
            <w:pPr>
              <w:pStyle w:val="Compact"/>
            </w:pPr>
            <w:r>
              <w:t xml:space="preserve">Local, in-process</w:t>
            </w:r>
          </w:p>
        </w:tc>
      </w:tr>
      <w:tr>
        <w:trPr>
          <w:cantSplit/>
        </w:trPr>
        <w:tc>
          <w:tcPr/>
          <w:p>
            <w:pPr>
              <w:pStyle w:val="Compact"/>
            </w:pPr>
            <w:r>
              <w:t xml:space="preserve">PDFsharp via</w:t>
            </w:r>
            <w:r>
              <w:t xml:space="preserve"> </w:t>
            </w:r>
            <w:r>
              <w:rPr>
                <w:rStyle w:val="VerbatimChar"/>
              </w:rPr>
              <w:t xml:space="preserve">PdfWriteBackService</w:t>
            </w:r>
          </w:p>
        </w:tc>
        <w:tc>
          <w:tcPr/>
          <w:p>
            <w:pPr>
              <w:pStyle w:val="Compact"/>
            </w:pPr>
            <w:r>
              <w:t xml:space="preserve">Metadata write-back to PDF source files</w:t>
            </w:r>
          </w:p>
        </w:tc>
        <w:tc>
          <w:tcPr/>
          <w:p>
            <w:pPr>
              <w:pStyle w:val="Compact"/>
            </w:pPr>
            <w:r>
              <w:t xml:space="preserve">Local, in-process</w:t>
            </w:r>
          </w:p>
        </w:tc>
      </w:tr>
      <w:tr>
        <w:trPr>
          <w:cantSplit/>
        </w:trPr>
        <w:tc>
          <w:tcPr/>
          <w:p>
            <w:pPr>
              <w:pStyle w:val="Compact"/>
            </w:pPr>
            <w:r>
              <w:t xml:space="preserve">SkiaSharp</w:t>
            </w:r>
          </w:p>
        </w:tc>
        <w:tc>
          <w:tcPr/>
          <w:p>
            <w:pPr>
              <w:pStyle w:val="Compact"/>
            </w:pPr>
            <w:r>
              <w:t xml:space="preserve">Image resize and spine-texture generation</w:t>
            </w:r>
          </w:p>
        </w:tc>
        <w:tc>
          <w:tcPr/>
          <w:p>
            <w:pPr>
              <w:pStyle w:val="Compact"/>
            </w:pPr>
            <w:r>
              <w:t xml:space="preserve">Local, in-process</w:t>
            </w:r>
          </w:p>
        </w:tc>
      </w:tr>
      <w:tr>
        <w:trPr>
          <w:cantSplit/>
        </w:trPr>
        <w:tc>
          <w:tcPr/>
          <w:p>
            <w:pPr>
              <w:pStyle w:val="Compact"/>
            </w:pPr>
            <w:r>
              <w:t xml:space="preserve">SQLite with FTS5 (</w:t>
            </w:r>
            <w:r>
              <w:rPr>
                <w:rStyle w:val="VerbatimChar"/>
              </w:rPr>
              <w:t xml:space="preserve">FtsIndexService</w:t>
            </w:r>
            <w:r>
              <w:t xml:space="preserve">)</w:t>
            </w:r>
          </w:p>
        </w:tc>
        <w:tc>
          <w:tcPr/>
          <w:p>
            <w:pPr>
              <w:pStyle w:val="Compact"/>
            </w:pPr>
            <w:r>
              <w:t xml:space="preserve">Catalogue of record and full-text index</w:t>
            </w:r>
          </w:p>
        </w:tc>
        <w:tc>
          <w:tcPr/>
          <w:p>
            <w:pPr>
              <w:pStyle w:val="Compact"/>
            </w:pPr>
            <w:r>
              <w:t xml:space="preserve">Local, in-process</w:t>
            </w:r>
          </w:p>
        </w:tc>
      </w:tr>
      <w:tr>
        <w:trPr>
          <w:cantSplit/>
        </w:trPr>
        <w:tc>
          <w:tcPr/>
          <w:p>
            <w:pPr>
              <w:pStyle w:val="Compact"/>
            </w:pPr>
            <w:r>
              <w:t xml:space="preserve">SQLite vector extension (sqlite-vec / Vec1)</w:t>
            </w:r>
          </w:p>
        </w:tc>
        <w:tc>
          <w:tcPr/>
          <w:p>
            <w:pPr>
              <w:pStyle w:val="Compact"/>
            </w:pPr>
            <w:r>
              <w:t xml:space="preserve">Nearest-neighbour search over embeddings</w:t>
            </w:r>
          </w:p>
        </w:tc>
        <w:tc>
          <w:tcPr/>
          <w:p>
            <w:pPr>
              <w:pStyle w:val="Compact"/>
            </w:pPr>
            <w:r>
              <w:t xml:space="preserve">Local, in-process</w:t>
            </w:r>
          </w:p>
        </w:tc>
      </w:tr>
      <w:tr>
        <w:trPr>
          <w:cantSplit/>
        </w:trPr>
        <w:tc>
          <w:tcPr/>
          <w:p>
            <w:pPr>
              <w:pStyle w:val="Compact"/>
            </w:pPr>
            <w:r>
              <w:t xml:space="preserve">WebView2 / WKWebView with Three.js</w:t>
            </w:r>
          </w:p>
        </w:tc>
        <w:tc>
          <w:tcPr/>
          <w:p>
            <w:pPr>
              <w:pStyle w:val="Compact"/>
            </w:pPr>
            <w:r>
              <w:t xml:space="preserve">3D bookshelf rendering surface</w:t>
            </w:r>
          </w:p>
        </w:tc>
        <w:tc>
          <w:tcPr/>
          <w:p>
            <w:pPr>
              <w:pStyle w:val="Compact"/>
            </w:pPr>
            <w:r>
              <w:t xml:space="preserve">Local, in-process via message bridge and</w:t>
            </w:r>
            <w:r>
              <w:t xml:space="preserve"> </w:t>
            </w:r>
            <w:r>
              <w:rPr>
                <w:rStyle w:val="VerbatimChar"/>
              </w:rPr>
              <w:t xml:space="preserve">ogma://</w:t>
            </w:r>
            <w:r>
              <w:t xml:space="preserve"> </w:t>
            </w:r>
            <w:r>
              <w:t xml:space="preserve">scheme</w:t>
            </w:r>
          </w:p>
        </w:tc>
      </w:tr>
      <w:tr>
        <w:trPr>
          <w:cantSplit/>
        </w:trPr>
        <w:tc>
          <w:tcPr/>
          <w:p>
            <w:pPr>
              <w:pStyle w:val="Compact"/>
            </w:pPr>
            <w:r>
              <w:t xml:space="preserve">OS credential store</w:t>
            </w:r>
          </w:p>
        </w:tc>
        <w:tc>
          <w:tcPr/>
          <w:p>
            <w:pPr>
              <w:pStyle w:val="Compact"/>
            </w:pPr>
            <w:r>
              <w:t xml:space="preserve">Provider secrets, PDF passwords, client session tokens</w:t>
            </w:r>
          </w:p>
        </w:tc>
        <w:tc>
          <w:tcPr/>
          <w:p>
            <w:pPr>
              <w:pStyle w:val="Compact"/>
            </w:pPr>
            <w:r>
              <w:t xml:space="preserve">Local, OS-mediated</w:t>
            </w:r>
          </w:p>
        </w:tc>
      </w:tr>
      <w:tr>
        <w:trPr>
          <w:cantSplit/>
        </w:trPr>
        <w:tc>
          <w:tcPr/>
          <w:p>
            <w:pPr>
              <w:pStyle w:val="Compact"/>
            </w:pPr>
            <w:r>
              <w:t xml:space="preserve">Tesseract 5.2.0</w:t>
            </w:r>
          </w:p>
        </w:tc>
        <w:tc>
          <w:tcPr/>
          <w:p>
            <w:pPr>
              <w:pStyle w:val="Compact"/>
            </w:pPr>
            <w:r>
              <w:t xml:space="preserve">Optional OCR of scanned pages</w:t>
            </w:r>
          </w:p>
        </w:tc>
        <w:tc>
          <w:tcPr/>
          <w:p>
            <w:pPr>
              <w:pStyle w:val="Compact"/>
            </w:pPr>
            <w:r>
              <w:t xml:space="preserve">Local, background worker</w:t>
            </w:r>
          </w:p>
        </w:tc>
      </w:tr>
      <w:tr>
        <w:trPr>
          <w:cantSplit/>
        </w:trPr>
        <w:tc>
          <w:tcPr/>
          <w:p>
            <w:pPr>
              <w:pStyle w:val="Compact"/>
            </w:pPr>
            <w:r>
              <w:t xml:space="preserve">Google Books API</w:t>
            </w:r>
          </w:p>
        </w:tc>
        <w:tc>
          <w:tcPr/>
          <w:p>
            <w:pPr>
              <w:pStyle w:val="Compact"/>
            </w:pPr>
            <w:r>
              <w:t xml:space="preserve">Bibliographic metadata and cover candidates by ISBN</w:t>
            </w:r>
          </w:p>
        </w:tc>
        <w:tc>
          <w:tcPr/>
          <w:p>
            <w:pPr>
              <w:pStyle w:val="Compact"/>
            </w:pPr>
            <w:r>
              <w:t xml:space="preserve">Off-device, outbound (gated)</w:t>
            </w:r>
          </w:p>
        </w:tc>
      </w:tr>
      <w:tr>
        <w:trPr>
          <w:cantSplit/>
        </w:trPr>
        <w:tc>
          <w:tcPr/>
          <w:p>
            <w:pPr>
              <w:pStyle w:val="Compact"/>
            </w:pPr>
            <w:r>
              <w:t xml:space="preserve">Open Library API</w:t>
            </w:r>
          </w:p>
        </w:tc>
        <w:tc>
          <w:tcPr/>
          <w:p>
            <w:pPr>
              <w:pStyle w:val="Compact"/>
            </w:pPr>
            <w:r>
              <w:t xml:space="preserve">ISBN lookup, edition data, cover images</w:t>
            </w:r>
          </w:p>
        </w:tc>
        <w:tc>
          <w:tcPr/>
          <w:p>
            <w:pPr>
              <w:pStyle w:val="Compact"/>
            </w:pPr>
            <w:r>
              <w:t xml:space="preserve">Off-device, outbound (gated)</w:t>
            </w:r>
          </w:p>
        </w:tc>
      </w:tr>
      <w:tr>
        <w:trPr>
          <w:cantSplit/>
        </w:trPr>
        <w:tc>
          <w:tcPr/>
          <w:p>
            <w:pPr>
              <w:pStyle w:val="Compact"/>
            </w:pPr>
            <w:r>
              <w:t xml:space="preserve">OpenAI / Anthropic-compatible / DeepSeek-compatible providers</w:t>
            </w:r>
          </w:p>
        </w:tc>
        <w:tc>
          <w:tcPr/>
          <w:p>
            <w:pPr>
              <w:pStyle w:val="Compact"/>
            </w:pPr>
            <w:r>
              <w:t xml:space="preserve">Cloud AI recommendation and embeddings</w:t>
            </w:r>
          </w:p>
        </w:tc>
        <w:tc>
          <w:tcPr/>
          <w:p>
            <w:pPr>
              <w:pStyle w:val="Compact"/>
            </w:pPr>
            <w:r>
              <w:t xml:space="preserve">Off-device, outbound (gated)</w:t>
            </w:r>
          </w:p>
        </w:tc>
      </w:tr>
      <w:tr>
        <w:trPr>
          <w:cantSplit/>
        </w:trPr>
        <w:tc>
          <w:tcPr/>
          <w:p>
            <w:pPr>
              <w:pStyle w:val="Compact"/>
            </w:pPr>
            <w:r>
              <w:t xml:space="preserve">Ollama</w:t>
            </w:r>
          </w:p>
        </w:tc>
        <w:tc>
          <w:tcPr/>
          <w:p>
            <w:pPr>
              <w:pStyle w:val="Compact"/>
            </w:pPr>
            <w:r>
              <w:t xml:space="preserve">Local AI inference and embeddings</w:t>
            </w:r>
          </w:p>
        </w:tc>
        <w:tc>
          <w:tcPr/>
          <w:p>
            <w:pPr>
              <w:pStyle w:val="Compact"/>
            </w:pPr>
            <w:r>
              <w:t xml:space="preserve">Local, on-device</w:t>
            </w:r>
          </w:p>
        </w:tc>
      </w:tr>
      <w:tr>
        <w:trPr>
          <w:cantSplit/>
        </w:trPr>
        <w:tc>
          <w:tcPr/>
          <w:p>
            <w:pPr>
              <w:pStyle w:val="Compact"/>
            </w:pPr>
            <w:r>
              <w:t xml:space="preserve">Kestrel LAN listener (</w:t>
            </w:r>
            <w:r>
              <w:rPr>
                <w:rStyle w:val="VerbatimChar"/>
              </w:rPr>
              <w:t xml:space="preserve">KestrelHostModeListener</w:t>
            </w:r>
            <w:r>
              <w:t xml:space="preserve">)</w:t>
            </w:r>
          </w:p>
        </w:tc>
        <w:tc>
          <w:tcPr/>
          <w:p>
            <w:pPr>
              <w:pStyle w:val="Compact"/>
            </w:pPr>
            <w:r>
              <w:t xml:space="preserve">Opt-in host-mode serving of catalogue, assets, streams, and the AI proxy</w:t>
            </w:r>
          </w:p>
        </w:tc>
        <w:tc>
          <w:tcPr/>
          <w:p>
            <w:pPr>
              <w:pStyle w:val="Compact"/>
            </w:pPr>
            <w:r>
              <w:t xml:space="preserve">Inbound, LAN-only, TLS (host mode only)</w:t>
            </w:r>
          </w:p>
        </w:tc>
      </w:tr>
      <w:tr>
        <w:trPr>
          <w:cantSplit/>
        </w:trPr>
        <w:tc>
          <w:tcPr/>
          <w:p>
            <w:pPr>
              <w:pStyle w:val="Compact"/>
            </w:pPr>
            <w:r>
              <w:t xml:space="preserve">mDNS advertisement (</w:t>
            </w:r>
            <w:r>
              <w:rPr>
                <w:rStyle w:val="VerbatimChar"/>
              </w:rPr>
              <w:t xml:space="preserve">_ogma-library._tcp.local</w:t>
            </w:r>
            <w:r>
              <w:t xml:space="preserve">)</w:t>
            </w:r>
          </w:p>
        </w:tc>
        <w:tc>
          <w:tcPr/>
          <w:p>
            <w:pPr>
              <w:pStyle w:val="Compact"/>
            </w:pPr>
            <w:r>
              <w:t xml:space="preserve">Zero-configuration host discovery on the LAN</w:t>
            </w:r>
          </w:p>
        </w:tc>
        <w:tc>
          <w:tcPr/>
          <w:p>
            <w:pPr>
              <w:pStyle w:val="Compact"/>
            </w:pPr>
            <w:r>
              <w:t xml:space="preserve">LAN broadcast (host mode only)</w:t>
            </w:r>
          </w:p>
        </w:tc>
      </w:tr>
    </w:tbl>
    <w:p>
      <w:pPr>
        <w:pStyle w:val="Compact"/>
        <w:numPr>
          <w:ilvl w:val="0"/>
          <w:numId w:val="1011"/>
        </w:numPr>
      </w:pPr>
      <w:r>
        <w:rPr>
          <w:b/>
          <w:bCs/>
        </w:rPr>
        <w:t xml:space="preserve">SI-1</w:t>
      </w:r>
      <w:r>
        <w:t xml:space="preserve"> </w:t>
      </w:r>
      <w:r>
        <w:t xml:space="preserve">Provider gateway. All AI provider integrations are reached through the provider-neutral gateway (</w:t>
      </w:r>
      <w:r>
        <w:rPr>
          <w:rStyle w:val="VerbatimChar"/>
        </w:rPr>
        <w:t xml:space="preserve">AiGateway</w:t>
      </w:r>
      <w:r>
        <w:t xml:space="preserve"> </w:t>
      </w:r>
      <w:r>
        <w:t xml:space="preserve">behind the</w:t>
      </w:r>
      <w:r>
        <w:t xml:space="preserve"> </w:t>
      </w:r>
      <w:r>
        <w:rPr>
          <w:rStyle w:val="VerbatimChar"/>
        </w:rPr>
        <w:t xml:space="preserve">IAiProvider</w:t>
      </w:r>
      <w:r>
        <w:t xml:space="preserve"> </w:t>
      </w:r>
      <w:r>
        <w:t xml:space="preserve">contract); no module bypasses the gateway. In classroom mode the host gateway is the single egress point for the whole class (FR-ADMIN-005).</w:t>
      </w:r>
    </w:p>
    <w:p>
      <w:pPr>
        <w:pStyle w:val="Compact"/>
        <w:numPr>
          <w:ilvl w:val="0"/>
          <w:numId w:val="1011"/>
        </w:numPr>
      </w:pPr>
      <w:r>
        <w:rPr>
          <w:b/>
          <w:bCs/>
        </w:rPr>
        <w:t xml:space="preserve">SI-2</w:t>
      </w:r>
      <w:r>
        <w:t xml:space="preserve"> </w:t>
      </w:r>
      <w:r>
        <w:t xml:space="preserve">Off-device gating. Off-device interfaces (Google Books, Open Library, cloud AI) are invoked only when the active privacy tier permits the call and the user has confirmed the previewed payload (Section 7, CTRL-017).</w:t>
      </w:r>
    </w:p>
    <w:p>
      <w:pPr>
        <w:pStyle w:val="Compact"/>
        <w:numPr>
          <w:ilvl w:val="0"/>
          <w:numId w:val="1011"/>
        </w:numPr>
      </w:pPr>
      <w:r>
        <w:rPr>
          <w:b/>
          <w:bCs/>
        </w:rPr>
        <w:t xml:space="preserve">SI-3</w:t>
      </w:r>
      <w:r>
        <w:t xml:space="preserve"> </w:t>
      </w:r>
      <w:r>
        <w:t xml:space="preserve">Message bridge contract. The C#-to-JavaScript bridge exchanges a typed scene model outbound and typed interaction events inbound; every inbound message is validated against the contract before it is acted on.</w:t>
      </w:r>
    </w:p>
    <w:p>
      <w:pPr>
        <w:pStyle w:val="Compact"/>
        <w:numPr>
          <w:ilvl w:val="0"/>
          <w:numId w:val="1011"/>
        </w:numPr>
      </w:pPr>
      <w:r>
        <w:rPr>
          <w:b/>
          <w:bCs/>
        </w:rPr>
        <w:t xml:space="preserve">SI-4</w:t>
      </w:r>
      <w:r>
        <w:t xml:space="preserve"> </w:t>
      </w:r>
      <w:r>
        <w:t xml:space="preserve">Host API surface. In host mode the listener serves catalogue projections (</w:t>
      </w:r>
      <w:r>
        <w:rPr>
          <w:rStyle w:val="VerbatimChar"/>
        </w:rPr>
        <w:t xml:space="preserve">/api/v1/catalogue</w:t>
      </w:r>
      <w:r>
        <w:t xml:space="preserve">), cover/spine/thumbnail assets, range-request PDF content streams, reading-state sync, and the AI proxy endpoint; every request is authenticated per profile and audited (FR-LAN-002, FR-LAN-006, FR-LAN-010). Only admin-published folders and shelves are reachable (FR-LAN-009).</w:t>
      </w:r>
    </w:p>
    <w:bookmarkEnd w:id="27"/>
    <w:bookmarkStart w:id="28" w:name="X40dd3988d5de243c0b64676632d73eb3926770b"/>
    <w:p>
      <w:pPr>
        <w:pStyle w:val="Heading2"/>
      </w:pPr>
      <w:r>
        <w:rPr>
          <w:rStyle w:val="SectionNumber"/>
          <w:rFonts w:ascii="Spectral" w:hAnsi="Spectral" w:eastAsia="Spectral"/>
          <w:color w:val="132338"/>
        </w:rPr>
        <w:t xml:space="preserve">4.4</w:t>
      </w:r>
      <w:r>
        <w:rPr>
          <w:rFonts w:ascii="Spectral" w:hAnsi="Spectral" w:eastAsia="Spectral"/>
          <w:color w:val="132338"/>
        </w:rPr>
        <w:tab/>
      </w:r>
      <w:r>
        <w:rPr>
          <w:rFonts w:ascii="Spectral" w:hAnsi="Spectral" w:eastAsia="Spectral"/>
          <w:color w:val="132338"/>
        </w:rPr>
        <w:t xml:space="preserve">3.4 Communications Interfaces</w:t>
      </w:r>
    </w:p>
    <w:p>
      <w:pPr>
        <w:pStyle w:val="Compact"/>
        <w:numPr>
          <w:ilvl w:val="0"/>
          <w:numId w:val="1012"/>
        </w:numPr>
      </w:pPr>
      <w:r>
        <w:rPr>
          <w:b/>
          <w:bCs/>
        </w:rPr>
        <w:t xml:space="preserve">CI-1.</w:t>
      </w:r>
      <w:r>
        <w:t xml:space="preserve"> </w:t>
      </w:r>
      <w:r>
        <w:t xml:space="preserve">All off-device calls use an authenticated, integrity-checked transport (Transport Layer Security, TLS). Update metadata and artifacts are fetched over an authenticated, integrity-checked channel, and the update descriptor is signature-verified independently of transport (Section 7, CTRL-012 and CTRL-013).</w:t>
      </w:r>
    </w:p>
    <w:p>
      <w:pPr>
        <w:pStyle w:val="Compact"/>
        <w:numPr>
          <w:ilvl w:val="0"/>
          <w:numId w:val="1012"/>
        </w:numPr>
      </w:pPr>
      <w:r>
        <w:rPr>
          <w:b/>
          <w:bCs/>
        </w:rPr>
        <w:t xml:space="preserve">CI-2.</w:t>
      </w:r>
      <w:r>
        <w:t xml:space="preserve"> </w:t>
      </w:r>
      <w:r>
        <w:t xml:space="preserve">In Standalone and Classroom Client modes the application opens no inbound network listener. The sole exception is the opt-in Library Host mode (FR-LAN-001), which introduces a deliberately designed, TLS-protected, LAN-bounded, authenticated inbound surface with its own threat model and controls (Section 7.8). This scoping of the v1.0 CI-2 rule is recorded in ADR-0010 (</w:t>
      </w:r>
      <w:r>
        <w:rPr>
          <w:rStyle w:val="VerbatimChar"/>
        </w:rPr>
        <w:t xml:space="preserve">docs/plans/grand-plan/LAN-CLASSROOM-ARCHITECTURE.md</w:t>
      </w:r>
      <w:r>
        <w:t xml:space="preserve"> </w:t>
      </w:r>
      <w:r>
        <w:t xml:space="preserve">§1); the default install behaves exactly as v1.0 specified.</w:t>
      </w:r>
    </w:p>
    <w:p>
      <w:pPr>
        <w:pStyle w:val="Compact"/>
        <w:numPr>
          <w:ilvl w:val="0"/>
          <w:numId w:val="1012"/>
        </w:numPr>
      </w:pPr>
      <w:r>
        <w:rPr>
          <w:b/>
          <w:bCs/>
        </w:rPr>
        <w:t xml:space="preserve">CI-3.</w:t>
      </w:r>
      <w:r>
        <w:t xml:space="preserve"> </w:t>
      </w:r>
      <w:r>
        <w:t xml:space="preserve">Every off-device communication produces a local audit entry naming the provider, purpose, payload scope, and active privacy tier (NFR-PROD-013; CTRL-018). In host mode, every LAN request additionally produces an</w:t>
      </w:r>
      <w:r>
        <w:t xml:space="preserve"> </w:t>
      </w:r>
      <w:r>
        <w:rPr>
          <w:rStyle w:val="VerbatimChar"/>
        </w:rPr>
        <w:t xml:space="preserve">AuditEvents</w:t>
      </w:r>
      <w:r>
        <w:t xml:space="preserve"> </w:t>
      </w:r>
      <w:r>
        <w:t xml:space="preserve">record naming the client identity and resource (FR-LAN-010).</w:t>
      </w:r>
    </w:p>
    <w:p>
      <w:pPr>
        <w:pStyle w:val="Compact"/>
        <w:numPr>
          <w:ilvl w:val="0"/>
          <w:numId w:val="1012"/>
        </w:numPr>
      </w:pPr>
      <w:r>
        <w:rPr>
          <w:b/>
          <w:bCs/>
        </w:rPr>
        <w:t xml:space="preserve">CI-4.</w:t>
      </w:r>
      <w:r>
        <w:t xml:space="preserve"> </w:t>
      </w:r>
      <w:r>
        <w:t xml:space="preserve">LAN traffic never travels in plaintext: the host provisions a TLS certificate at setup and clients pin it trust-on-first-use with fingerprint display (FR-LAN-004; CTRL-025, CTRL-026).</w:t>
      </w:r>
    </w:p>
    <w:p>
      <w:pPr>
        <w:pStyle w:val="FirstParagraph"/>
      </w:pPr>
      <w:r>
        <w:t xml:space="preserve">\newpage</w:t>
      </w:r>
    </w:p>
    <w:bookmarkEnd w:id="28"/>
    <w:bookmarkEnd w:id="29"/>
    <w:bookmarkStart w:id="41" w:name="X92af3177fcd7934be9e86f872d9396373c3b0fb"/>
    <w:p>
      <w:pPr>
        <w:pStyle w:val="Heading1"/>
      </w:pPr>
      <w:r>
        <w:rPr>
          <w:rStyle w:val="SectionNumber"/>
          <w:rFonts w:ascii="Spectral" w:hAnsi="Spectral" w:eastAsia="Spectral"/>
          <w:color w:val="132338"/>
        </w:rPr>
        <w:t xml:space="preserve">5</w:t>
      </w:r>
      <w:r>
        <w:rPr>
          <w:rFonts w:ascii="Spectral" w:hAnsi="Spectral" w:eastAsia="Spectral"/>
          <w:color w:val="132338"/>
        </w:rPr>
        <w:tab/>
      </w:r>
      <w:r>
        <w:rPr>
          <w:rFonts w:ascii="Spectral" w:hAnsi="Spectral" w:eastAsia="Spectral"/>
          <w:color w:val="132338"/>
        </w:rPr>
        <w:t xml:space="preserve">4. Functional Requirements</w:t>
      </w:r>
    </w:p>
    <w:p>
      <w:pPr>
        <w:pStyle w:val="FirstParagraph"/>
      </w:pPr>
      <w:r>
        <w:t xml:space="preserve">Each requirement follows the stimulus-response pattern ("When</w:t>
      </w:r>
      <w:r>
        <w:t xml:space="preserve"> </w:t>
      </w:r>
      <w:r>
        <w:t xml:space="preserve">, the system shall</w:t>
      </w:r>
      <w:r>
        <w:t xml:space="preserve"> </w:t>
      </w:r>
      <w:r>
        <w:t xml:space="preserve">"), carries a priority tier (MVP, V1, or V2) and an implementation status (Implemented, Partial, or Not started, per</w:t>
      </w:r>
      <w:r>
        <w:t xml:space="preserve"> </w:t>
      </w:r>
      <w:r>
        <w:rPr>
          <w:rStyle w:val="VerbatimChar"/>
        </w:rPr>
        <w:t xml:space="preserve">_context/build-status.md</w:t>
      </w:r>
      <w:r>
        <w:t xml:space="preserve">, verified 2026-07-06), states a deterministic acceptance oracle, and closes with a trace line naming its business goal(s) and its verifying test class in the codebase (</w:t>
      </w:r>
      <w:r>
        <w:rPr>
          <w:rStyle w:val="VerbatimChar"/>
        </w:rPr>
        <w:t xml:space="preserve">C:\wamp64\www\Ogma-Library\tests\</w:t>
      </w:r>
      <w:r>
        <w:t xml:space="preserve">) or a planned test-case identifier</w:t>
      </w:r>
      <w:r>
        <w:t xml:space="preserve"> </w:t>
      </w:r>
      <w:r>
        <w:rPr>
          <w:rStyle w:val="VerbatimChar"/>
        </w:rPr>
        <w:t xml:space="preserve">TC-&lt;MODULE&gt;-NNN</w:t>
      </w:r>
      <w:r>
        <w:t xml:space="preserve"> </w:t>
      </w:r>
      <w:r>
        <w:t xml:space="preserve">where no test class yet exists. The 101 identifiers below are the closed inventory fixed in</w:t>
      </w:r>
      <w:r>
        <w:t xml:space="preserve"> </w:t>
      </w:r>
      <w:r>
        <w:rPr>
          <w:rStyle w:val="VerbatimChar"/>
        </w:rPr>
        <w:t xml:space="preserve">_context/features.md</w:t>
      </w:r>
      <w:r>
        <w:t xml:space="preserve">. Requirement identifiers are defined here; all mentions elsewhere in this document are references.</w:t>
      </w:r>
    </w:p>
    <w:bookmarkStart w:id="30" w:name="Xbdd119a01ce8f59a81f38b3a831f3f93699d574"/>
    <w:p>
      <w:pPr>
        <w:pStyle w:val="Heading2"/>
      </w:pPr>
      <w:r>
        <w:rPr>
          <w:rStyle w:val="SectionNumber"/>
          <w:rFonts w:ascii="Spectral" w:hAnsi="Spectral" w:eastAsia="Spectral"/>
          <w:color w:val="132338"/>
        </w:rPr>
        <w:t xml:space="preserve">5.1</w:t>
      </w:r>
      <w:r>
        <w:rPr>
          <w:rFonts w:ascii="Spectral" w:hAnsi="Spectral" w:eastAsia="Spectral"/>
          <w:color w:val="132338"/>
        </w:rPr>
        <w:tab/>
      </w:r>
      <w:r>
        <w:rPr>
          <w:rFonts w:ascii="Spectral" w:hAnsi="Spectral" w:eastAsia="Spectral"/>
          <w:color w:val="132338"/>
        </w:rPr>
        <w:t xml:space="preserve">4.1 Library Setup and Scanning (LIB)</w:t>
      </w:r>
    </w:p>
    <w:p>
      <w:pPr>
        <w:pStyle w:val="FirstParagraph"/>
      </w:pPr>
      <w:r>
        <w:rPr>
          <w:b/>
          <w:bCs/>
        </w:rPr>
        <w:t xml:space="preserve">FR-LIB-001</w:t>
      </w:r>
      <w:r>
        <w:t xml:space="preserve"> </w:t>
      </w:r>
      <w:r>
        <w:t xml:space="preserve">(MVP — Code/test evidence): When the user selects a folder as the library root, the system shall store and display the selected root path and shall re-read that exact path on a rescan command.</w:t>
      </w:r>
    </w:p>
    <w:p>
      <w:pPr>
        <w:pStyle w:val="Compact"/>
        <w:numPr>
          <w:ilvl w:val="0"/>
          <w:numId w:val="1013"/>
        </w:numPr>
      </w:pPr>
      <w:r>
        <w:t xml:space="preserve">Oracle: after selection, the stored root equals the selected absolute path, the path is visible in the UI, and rescan enumerates that path.</w:t>
      </w:r>
    </w:p>
    <w:p>
      <w:pPr>
        <w:pStyle w:val="Compact"/>
        <w:numPr>
          <w:ilvl w:val="0"/>
          <w:numId w:val="1013"/>
        </w:numPr>
      </w:pPr>
      <w:r>
        <w:t xml:space="preserve">Traces: BG-001, BG-004; verified by:</w:t>
      </w:r>
      <w:r>
        <w:t xml:space="preserve"> </w:t>
      </w:r>
      <w:r>
        <w:rPr>
          <w:rStyle w:val="VerbatimChar"/>
        </w:rPr>
        <w:t xml:space="preserve">IngestionPipelineTests</w:t>
      </w:r>
      <w:r>
        <w:t xml:space="preserve">,</w:t>
      </w:r>
      <w:r>
        <w:t xml:space="preserve"> </w:t>
      </w:r>
      <w:r>
        <w:rPr>
          <w:rStyle w:val="VerbatimChar"/>
        </w:rPr>
        <w:t xml:space="preserve">ScanProgressTests</w:t>
      </w:r>
      <w:r>
        <w:t xml:space="preserve">.</w:t>
      </w:r>
    </w:p>
    <w:p>
      <w:pPr>
        <w:pStyle w:val="FirstParagraph"/>
      </w:pPr>
      <w:r>
        <w:rPr>
          <w:b/>
          <w:bCs/>
        </w:rPr>
        <w:t xml:space="preserve">FR-LIB-002</w:t>
      </w:r>
      <w:r>
        <w:t xml:space="preserve"> </w:t>
      </w:r>
      <w:r>
        <w:t xml:space="preserve">(MVP — Code/test evidence): When a scan runs, the system shall recursively discover PDF files under the library root and shall skip folders the user has marked excluded.</w:t>
      </w:r>
    </w:p>
    <w:p>
      <w:pPr>
        <w:pStyle w:val="Compact"/>
        <w:numPr>
          <w:ilvl w:val="0"/>
          <w:numId w:val="1014"/>
        </w:numPr>
      </w:pPr>
      <w:r>
        <w:t xml:space="preserve">Oracle: for a fixture tree with PDFs at multiple depths and 1 excluded subfolder, the scan result contains every PDF outside the excluded subfolder and none inside it.</w:t>
      </w:r>
    </w:p>
    <w:p>
      <w:pPr>
        <w:pStyle w:val="Compact"/>
        <w:numPr>
          <w:ilvl w:val="0"/>
          <w:numId w:val="1014"/>
        </w:numPr>
      </w:pPr>
      <w:r>
        <w:t xml:space="preserve">Traces: BG-001; verified by:</w:t>
      </w:r>
      <w:r>
        <w:t xml:space="preserve"> </w:t>
      </w:r>
      <w:r>
        <w:rPr>
          <w:rStyle w:val="VerbatimChar"/>
        </w:rPr>
        <w:t xml:space="preserve">IngestionPipelineTests</w:t>
      </w:r>
      <w:r>
        <w:t xml:space="preserve">.</w:t>
      </w:r>
    </w:p>
    <w:p>
      <w:pPr>
        <w:pStyle w:val="FirstParagraph"/>
      </w:pPr>
      <w:r>
        <w:rPr>
          <w:b/>
          <w:bCs/>
        </w:rPr>
        <w:t xml:space="preserve">FR-LIB-003</w:t>
      </w:r>
      <w:r>
        <w:t xml:space="preserve"> </w:t>
      </w:r>
      <w:r>
        <w:t xml:space="preserve">(MVP — Code/test evidence): When a scanned file's content hash matches an existing catalogue record whose file was renamed or moved within the root, the system shall re-match the file to that record instead of creating a duplicate.</w:t>
      </w:r>
    </w:p>
    <w:p>
      <w:pPr>
        <w:pStyle w:val="Compact"/>
        <w:numPr>
          <w:ilvl w:val="0"/>
          <w:numId w:val="1015"/>
        </w:numPr>
      </w:pPr>
      <w:r>
        <w:t xml:space="preserve">Oracle: after rename/move and rescan, the record retains its identifier, metadata, shelves, progress, and annotations; the catalogue row count is unchanged.</w:t>
      </w:r>
    </w:p>
    <w:p>
      <w:pPr>
        <w:pStyle w:val="Compact"/>
        <w:numPr>
          <w:ilvl w:val="0"/>
          <w:numId w:val="1015"/>
        </w:numPr>
      </w:pPr>
      <w:r>
        <w:t xml:space="preserve">Traces: BG-004; verified by:</w:t>
      </w:r>
      <w:r>
        <w:t xml:space="preserve"> </w:t>
      </w:r>
      <w:r>
        <w:rPr>
          <w:rStyle w:val="VerbatimChar"/>
        </w:rPr>
        <w:t xml:space="preserve">BookIdentityServiceTests</w:t>
      </w:r>
      <w:r>
        <w:t xml:space="preserve">,</w:t>
      </w:r>
      <w:r>
        <w:t xml:space="preserve"> </w:t>
      </w:r>
      <w:r>
        <w:rPr>
          <w:rStyle w:val="VerbatimChar"/>
        </w:rPr>
        <w:t xml:space="preserve">BookFileLocatorTests</w:t>
      </w:r>
      <w:r>
        <w:t xml:space="preserve">.</w:t>
      </w:r>
    </w:p>
    <w:p>
      <w:pPr>
        <w:pStyle w:val="FirstParagraph"/>
      </w:pPr>
      <w:r>
        <w:rPr>
          <w:b/>
          <w:bCs/>
        </w:rPr>
        <w:t xml:space="preserve">FR-LIB-004</w:t>
      </w:r>
      <w:r>
        <w:t xml:space="preserve"> </w:t>
      </w:r>
      <w:r>
        <w:t xml:space="preserve">(MVP — Code/test evidence): When a previously catalogued file is absent at scan time, the system shall mark the record removed or unavailable without deleting the user's metadata, shelves, notes, or reading progress.</w:t>
      </w:r>
    </w:p>
    <w:p>
      <w:pPr>
        <w:pStyle w:val="Compact"/>
        <w:numPr>
          <w:ilvl w:val="0"/>
          <w:numId w:val="1016"/>
        </w:numPr>
      </w:pPr>
      <w:r>
        <w:t xml:space="preserve">Oracle: after deleting a catalogued file from disk and rescanning, the record is flagged unavailable and all user-authored data for it remains retrievable.</w:t>
      </w:r>
    </w:p>
    <w:p>
      <w:pPr>
        <w:pStyle w:val="Compact"/>
        <w:numPr>
          <w:ilvl w:val="0"/>
          <w:numId w:val="1016"/>
        </w:numPr>
      </w:pPr>
      <w:r>
        <w:t xml:space="preserve">Traces: BG-004; verified by:</w:t>
      </w:r>
      <w:r>
        <w:t xml:space="preserve"> </w:t>
      </w:r>
      <w:r>
        <w:rPr>
          <w:rStyle w:val="VerbatimChar"/>
        </w:rPr>
        <w:t xml:space="preserve">UnavailableFileFlagTests</w:t>
      </w:r>
      <w:r>
        <w:t xml:space="preserve">.</w:t>
      </w:r>
    </w:p>
    <w:p>
      <w:pPr>
        <w:pStyle w:val="FirstParagraph"/>
      </w:pPr>
      <w:r>
        <w:rPr>
          <w:b/>
          <w:bCs/>
        </w:rPr>
        <w:t xml:space="preserve">FR-LIB-005</w:t>
      </w:r>
      <w:r>
        <w:t xml:space="preserve"> </w:t>
      </w:r>
      <w:r>
        <w:t xml:space="preserve">(MVP — Code/test evidence): When thumbnail or spine-texture generation is required, the system shall run it in background jobs that keep the UI thread within the NFR-PROD-005 budget, and shall make any generation failure visible and retryable.</w:t>
      </w:r>
    </w:p>
    <w:p>
      <w:pPr>
        <w:pStyle w:val="Compact"/>
        <w:numPr>
          <w:ilvl w:val="0"/>
          <w:numId w:val="1017"/>
        </w:numPr>
      </w:pPr>
      <w:r>
        <w:t xml:space="preserve">Oracle: during a generation run no main-thread stall exceeds 100 ms; an injected failure produces a visible failed-job entry whose retry produces the asset.</w:t>
      </w:r>
    </w:p>
    <w:p>
      <w:pPr>
        <w:pStyle w:val="Compact"/>
        <w:numPr>
          <w:ilvl w:val="0"/>
          <w:numId w:val="1017"/>
        </w:numPr>
      </w:pPr>
      <w:r>
        <w:t xml:space="preserve">Traces: BG-001; verified by:</w:t>
      </w:r>
      <w:r>
        <w:t xml:space="preserve"> </w:t>
      </w:r>
      <w:r>
        <w:rPr>
          <w:rStyle w:val="VerbatimChar"/>
        </w:rPr>
        <w:t xml:space="preserve">SpineTextureGeneratorTests</w:t>
      </w:r>
      <w:r>
        <w:t xml:space="preserve">,</w:t>
      </w:r>
      <w:r>
        <w:t xml:space="preserve"> </w:t>
      </w:r>
      <w:r>
        <w:rPr>
          <w:rStyle w:val="VerbatimChar"/>
        </w:rPr>
        <w:t xml:space="preserve">JobManagementTests</w:t>
      </w:r>
      <w:r>
        <w:t xml:space="preserve">.</w:t>
      </w:r>
    </w:p>
    <w:p>
      <w:pPr>
        <w:pStyle w:val="FirstParagraph"/>
      </w:pPr>
      <w:r>
        <w:rPr>
          <w:b/>
          <w:bCs/>
        </w:rPr>
        <w:t xml:space="preserve">FR-LIB-006</w:t>
      </w:r>
      <w:r>
        <w:t xml:space="preserve"> </w:t>
      </w:r>
      <w:r>
        <w:t xml:space="preserve">(MVP — Code/test evidence): When a rescan runs over unchanged files, the system shall use modification time, size, and the hash cache to skip re-hashing them.</w:t>
      </w:r>
    </w:p>
    <w:p>
      <w:pPr>
        <w:pStyle w:val="Compact"/>
        <w:numPr>
          <w:ilvl w:val="0"/>
          <w:numId w:val="1018"/>
        </w:numPr>
      </w:pPr>
      <w:r>
        <w:t xml:space="preserve">Oracle: on a second rescan with no file changes, the count of full content-hash computations is 0 and the catalogue is unchanged.</w:t>
      </w:r>
    </w:p>
    <w:p>
      <w:pPr>
        <w:pStyle w:val="Compact"/>
        <w:numPr>
          <w:ilvl w:val="0"/>
          <w:numId w:val="1018"/>
        </w:numPr>
      </w:pPr>
      <w:r>
        <w:t xml:space="preserve">Traces: BG-004; verified by:</w:t>
      </w:r>
      <w:r>
        <w:t xml:space="preserve"> </w:t>
      </w:r>
      <w:r>
        <w:rPr>
          <w:rStyle w:val="VerbatimChar"/>
        </w:rPr>
        <w:t xml:space="preserve">IncrementalRescanTests</w:t>
      </w:r>
      <w:r>
        <w:t xml:space="preserve">.</w:t>
      </w:r>
    </w:p>
    <w:p>
      <w:pPr>
        <w:pStyle w:val="FirstParagraph"/>
      </w:pPr>
      <w:r>
        <w:rPr>
          <w:b/>
          <w:bCs/>
        </w:rPr>
        <w:t xml:space="preserve">FR-LIB-007</w:t>
      </w:r>
      <w:r>
        <w:t xml:space="preserve"> </w:t>
      </w:r>
      <w:r>
        <w:t xml:space="preserve">(V1 — Code/test evidence): When the user requests the scan health report, the system shall list failed files, password-protected files, unsupported files, files missing thumbnails, and files with metadata gaps, each under its category.</w:t>
      </w:r>
    </w:p>
    <w:p>
      <w:pPr>
        <w:pStyle w:val="Compact"/>
        <w:numPr>
          <w:ilvl w:val="0"/>
          <w:numId w:val="1019"/>
        </w:numPr>
      </w:pPr>
      <w:r>
        <w:t xml:space="preserve">Oracle: for a fixture containing 1 of each condition, the report lists each affected file under the correct category and counts match the fixture.</w:t>
      </w:r>
    </w:p>
    <w:p>
      <w:pPr>
        <w:pStyle w:val="Compact"/>
        <w:numPr>
          <w:ilvl w:val="0"/>
          <w:numId w:val="1019"/>
        </w:numPr>
      </w:pPr>
      <w:r>
        <w:t xml:space="preserve">Traces: BG-001; verified by:</w:t>
      </w:r>
      <w:r>
        <w:t xml:space="preserve"> </w:t>
      </w:r>
      <w:r>
        <w:rPr>
          <w:rStyle w:val="VerbatimChar"/>
        </w:rPr>
        <w:t xml:space="preserve">ScanHealthTests</w:t>
      </w:r>
      <w:r>
        <w:t xml:space="preserve">.</w:t>
      </w:r>
    </w:p>
    <w:bookmarkEnd w:id="30"/>
    <w:bookmarkStart w:id="31" w:name="X7bea1bda8775470d346a30b4ac3f40f9006131a"/>
    <w:p>
      <w:pPr>
        <w:pStyle w:val="Heading2"/>
      </w:pPr>
      <w:r>
        <w:rPr>
          <w:rStyle w:val="SectionNumber"/>
          <w:rFonts w:ascii="Spectral" w:hAnsi="Spectral" w:eastAsia="Spectral"/>
          <w:color w:val="132338"/>
        </w:rPr>
        <w:t xml:space="preserve">5.2</w:t>
      </w:r>
      <w:r>
        <w:rPr>
          <w:rFonts w:ascii="Spectral" w:hAnsi="Spectral" w:eastAsia="Spectral"/>
          <w:color w:val="132338"/>
        </w:rPr>
        <w:tab/>
      </w:r>
      <w:r>
        <w:rPr>
          <w:rFonts w:ascii="Spectral" w:hAnsi="Spectral" w:eastAsia="Spectral"/>
          <w:color w:val="132338"/>
        </w:rPr>
        <w:t xml:space="preserve">4.2 Catalogue Browsing (CAT)</w:t>
      </w:r>
    </w:p>
    <w:p>
      <w:pPr>
        <w:pStyle w:val="FirstParagraph"/>
      </w:pPr>
      <w:r>
        <w:rPr>
          <w:b/>
          <w:bCs/>
        </w:rPr>
        <w:t xml:space="preserve">FR-CAT-001</w:t>
      </w:r>
      <w:r>
        <w:t xml:space="preserve"> </w:t>
      </w:r>
      <w:r>
        <w:t xml:space="preserve">(MVP — Code/test evidence): When the user selects a book in any of the 4 catalogue views (3D shelf, grid, list, directory), the system shall open the same book-detail surface and the same reader.</w:t>
      </w:r>
    </w:p>
    <w:p>
      <w:pPr>
        <w:pStyle w:val="Compact"/>
        <w:numPr>
          <w:ilvl w:val="0"/>
          <w:numId w:val="1020"/>
        </w:numPr>
      </w:pPr>
      <w:r>
        <w:t xml:space="preserve">Oracle: selecting one fixture book in each view opens an identical book-detail surface and, on open, the identical reader.</w:t>
      </w:r>
    </w:p>
    <w:p>
      <w:pPr>
        <w:pStyle w:val="Compact"/>
        <w:numPr>
          <w:ilvl w:val="0"/>
          <w:numId w:val="1020"/>
        </w:numPr>
      </w:pPr>
      <w:r>
        <w:t xml:space="preserve">Traces: BG-001, BG-002; verified by:</w:t>
      </w:r>
      <w:r>
        <w:t xml:space="preserve"> </w:t>
      </w:r>
      <w:r>
        <w:rPr>
          <w:rStyle w:val="VerbatimChar"/>
        </w:rPr>
        <w:t xml:space="preserve">CatalogueGridTests</w:t>
      </w:r>
      <w:r>
        <w:t xml:space="preserve">,</w:t>
      </w:r>
      <w:r>
        <w:t xml:space="preserve"> </w:t>
      </w:r>
      <w:r>
        <w:rPr>
          <w:rStyle w:val="VerbatimChar"/>
        </w:rPr>
        <w:t xml:space="preserve">Bookshelf3DViewModelTests</w:t>
      </w:r>
      <w:r>
        <w:t xml:space="preserve">,</w:t>
      </w:r>
      <w:r>
        <w:t xml:space="preserve"> </w:t>
      </w:r>
      <w:r>
        <w:rPr>
          <w:rStyle w:val="VerbatimChar"/>
        </w:rPr>
        <w:t xml:space="preserve">ShellReaderNavigationTests</w:t>
      </w:r>
      <w:r>
        <w:t xml:space="preserve">.</w:t>
      </w:r>
    </w:p>
    <w:p>
      <w:pPr>
        <w:pStyle w:val="FirstParagraph"/>
      </w:pPr>
      <w:r>
        <w:rPr>
          <w:b/>
          <w:bCs/>
        </w:rPr>
        <w:t xml:space="preserve">FR-CAT-002</w:t>
      </w:r>
      <w:r>
        <w:t xml:space="preserve"> </w:t>
      </w:r>
      <w:r>
        <w:t xml:space="preserve">(MVP — Code/test evidence): When the user applies sort or filter criteria (title, author, year, status, rating, tag, shelf, availability), the system shall combine active filters conjunctively and shall clear all filters on a single clear action.</w:t>
      </w:r>
    </w:p>
    <w:p>
      <w:pPr>
        <w:pStyle w:val="Compact"/>
        <w:numPr>
          <w:ilvl w:val="0"/>
          <w:numId w:val="1021"/>
        </w:numPr>
      </w:pPr>
      <w:r>
        <w:t xml:space="preserve">Oracle: 2 active filters return only records satisfying both; the displayed count equals the conjunction count; clear restores the unfiltered set.</w:t>
      </w:r>
    </w:p>
    <w:p>
      <w:pPr>
        <w:pStyle w:val="Compact"/>
        <w:numPr>
          <w:ilvl w:val="0"/>
          <w:numId w:val="1021"/>
        </w:numPr>
      </w:pPr>
      <w:r>
        <w:t xml:space="preserve">Traces: BG-001; verified by:</w:t>
      </w:r>
      <w:r>
        <w:t xml:space="preserve"> </w:t>
      </w:r>
      <w:r>
        <w:rPr>
          <w:rStyle w:val="VerbatimChar"/>
        </w:rPr>
        <w:t xml:space="preserve">CatalogueFilterTests</w:t>
      </w:r>
      <w:r>
        <w:t xml:space="preserve">.</w:t>
      </w:r>
    </w:p>
    <w:p>
      <w:pPr>
        <w:pStyle w:val="FirstParagraph"/>
      </w:pPr>
      <w:r>
        <w:rPr>
          <w:b/>
          <w:bCs/>
        </w:rPr>
        <w:t xml:space="preserve">FR-CAT-003</w:t>
      </w:r>
      <w:r>
        <w:t xml:space="preserve"> </w:t>
      </w:r>
      <w:r>
        <w:t xml:space="preserve">(MVP — Code/test evidence): When the user adds a book to a virtual shelf, the system shall record membership independent of file path, and a book shall be able to belong to multiple shelves.</w:t>
      </w:r>
    </w:p>
    <w:p>
      <w:pPr>
        <w:pStyle w:val="Compact"/>
        <w:numPr>
          <w:ilvl w:val="0"/>
          <w:numId w:val="1022"/>
        </w:numPr>
      </w:pPr>
      <w:r>
        <w:t xml:space="preserve">Oracle: a book added to 2 shelves appears in both; its file path is unchanged; removal from one shelf leaves it on the other.</w:t>
      </w:r>
    </w:p>
    <w:p>
      <w:pPr>
        <w:pStyle w:val="Compact"/>
        <w:numPr>
          <w:ilvl w:val="0"/>
          <w:numId w:val="1022"/>
        </w:numPr>
      </w:pPr>
      <w:r>
        <w:t xml:space="preserve">Traces: BG-001, BG-002; verified by:</w:t>
      </w:r>
      <w:r>
        <w:t xml:space="preserve"> </w:t>
      </w:r>
      <w:r>
        <w:rPr>
          <w:rStyle w:val="VerbatimChar"/>
        </w:rPr>
        <w:t xml:space="preserve">ShelfTests</w:t>
      </w:r>
      <w:r>
        <w:t xml:space="preserve">.</w:t>
      </w:r>
    </w:p>
    <w:p>
      <w:pPr>
        <w:pStyle w:val="FirstParagraph"/>
      </w:pPr>
      <w:r>
        <w:rPr>
          <w:b/>
          <w:bCs/>
        </w:rPr>
        <w:t xml:space="preserve">FR-CAT-004</w:t>
      </w:r>
      <w:r>
        <w:t xml:space="preserve"> </w:t>
      </w:r>
      <w:r>
        <w:t xml:space="preserve">(MVP — Code/test evidence): When the user opens book detail, the system shall display the book's metadata across the file, bibliographic, reading, enrichment, and AI field groups.</w:t>
      </w:r>
    </w:p>
    <w:p>
      <w:pPr>
        <w:pStyle w:val="Compact"/>
        <w:numPr>
          <w:ilvl w:val="0"/>
          <w:numId w:val="1023"/>
        </w:numPr>
      </w:pPr>
      <w:r>
        <w:t xml:space="preserve">Oracle: the detail surface shows all 5 groups and each populated field displays its stored value.</w:t>
      </w:r>
    </w:p>
    <w:p>
      <w:pPr>
        <w:pStyle w:val="Compact"/>
        <w:numPr>
          <w:ilvl w:val="0"/>
          <w:numId w:val="1023"/>
        </w:numPr>
      </w:pPr>
      <w:r>
        <w:t xml:space="preserve">Traces: BG-001; verified by:</w:t>
      </w:r>
      <w:r>
        <w:t xml:space="preserve"> </w:t>
      </w:r>
      <w:r>
        <w:rPr>
          <w:rStyle w:val="VerbatimChar"/>
        </w:rPr>
        <w:t xml:space="preserve">BookDetailViewModelTests</w:t>
      </w:r>
      <w:r>
        <w:t xml:space="preserve">.</w:t>
      </w:r>
    </w:p>
    <w:p>
      <w:pPr>
        <w:pStyle w:val="FirstParagraph"/>
      </w:pPr>
      <w:r>
        <w:rPr>
          <w:b/>
          <w:bCs/>
        </w:rPr>
        <w:t xml:space="preserve">FR-CAT-005</w:t>
      </w:r>
      <w:r>
        <w:t xml:space="preserve"> </w:t>
      </w:r>
      <w:r>
        <w:t xml:space="preserve">(V1 — Code/test evidence): When the user confirms a bulk edit over a multi-book selection (tags, shelves, status, metadata confidence), the system shall show the pending change set before commit, apply it to every selected book, and support a single-action undo restoring the pre-edit state.</w:t>
      </w:r>
    </w:p>
    <w:p>
      <w:pPr>
        <w:pStyle w:val="Compact"/>
        <w:numPr>
          <w:ilvl w:val="0"/>
          <w:numId w:val="1024"/>
        </w:numPr>
      </w:pPr>
      <w:r>
        <w:t xml:space="preserve">Oracle: the preview lists the change set; commit changes every selected book; one undo restores every affected book exactly (NFR-PROD-010).</w:t>
      </w:r>
    </w:p>
    <w:p>
      <w:pPr>
        <w:pStyle w:val="Compact"/>
        <w:numPr>
          <w:ilvl w:val="0"/>
          <w:numId w:val="1024"/>
        </w:numPr>
      </w:pPr>
      <w:r>
        <w:t xml:space="preserve">Traces: BG-002; verified by: planned TC-CAT-005 (bulk edit implemented in</w:t>
      </w:r>
      <w:r>
        <w:t xml:space="preserve"> </w:t>
      </w:r>
      <w:r>
        <w:rPr>
          <w:rStyle w:val="VerbatimChar"/>
        </w:rPr>
        <w:t xml:space="preserve">CatalogueWriteService</w:t>
      </w:r>
      <w:r>
        <w:t xml:space="preserve">; no dedicated test class located).</w:t>
      </w:r>
    </w:p>
    <w:p>
      <w:pPr>
        <w:pStyle w:val="FirstParagraph"/>
      </w:pPr>
      <w:r>
        <w:rPr>
          <w:b/>
          <w:bCs/>
        </w:rPr>
        <w:t xml:space="preserve">FR-CAT-006</w:t>
      </w:r>
      <w:r>
        <w:t xml:space="preserve"> </w:t>
      </w:r>
      <w:r>
        <w:t xml:space="preserve">(V1 — Code/test evidence): When the catalogue changes, the system shall re-evaluate each smart shelf's saved filter definition and update its membership automatically.</w:t>
      </w:r>
    </w:p>
    <w:p>
      <w:pPr>
        <w:pStyle w:val="Compact"/>
        <w:numPr>
          <w:ilvl w:val="0"/>
          <w:numId w:val="1025"/>
        </w:numPr>
      </w:pPr>
      <w:r>
        <w:t xml:space="preserve">Oracle: after adding a book matching a smart-shelf condition, the shelf lists it without user action; after the book stops matching, it is removed.</w:t>
      </w:r>
    </w:p>
    <w:p>
      <w:pPr>
        <w:pStyle w:val="Compact"/>
        <w:numPr>
          <w:ilvl w:val="0"/>
          <w:numId w:val="1025"/>
        </w:numPr>
      </w:pPr>
      <w:r>
        <w:t xml:space="preserve">Traces: BG-001, BG-002; verified by:</w:t>
      </w:r>
      <w:r>
        <w:t xml:space="preserve"> </w:t>
      </w:r>
      <w:r>
        <w:rPr>
          <w:rStyle w:val="VerbatimChar"/>
        </w:rPr>
        <w:t xml:space="preserve">SmartShelfEvaluatorTests</w:t>
      </w:r>
      <w:r>
        <w:t xml:space="preserve">,</w:t>
      </w:r>
      <w:r>
        <w:t xml:space="preserve"> </w:t>
      </w:r>
      <w:r>
        <w:rPr>
          <w:rStyle w:val="VerbatimChar"/>
        </w:rPr>
        <w:t xml:space="preserve">Phase15SmartShelfPerformanceTests</w:t>
      </w:r>
      <w:r>
        <w:t xml:space="preserve"> </w:t>
      </w:r>
      <w:r>
        <w:t xml:space="preserve">(implementation:</w:t>
      </w:r>
      <w:r>
        <w:t xml:space="preserve"> </w:t>
      </w:r>
      <w:r>
        <w:rPr>
          <w:rStyle w:val="VerbatimChar"/>
        </w:rPr>
        <w:t xml:space="preserve">SmartShelfCondition</w:t>
      </w:r>
      <w:r>
        <w:t xml:space="preserve"> </w:t>
      </w:r>
      <w:r>
        <w:t xml:space="preserve">and evaluator).</w:t>
      </w:r>
    </w:p>
    <w:p>
      <w:pPr>
        <w:pStyle w:val="FirstParagraph"/>
      </w:pPr>
      <w:r>
        <w:rPr>
          <w:b/>
          <w:bCs/>
        </w:rPr>
        <w:t xml:space="preserve">FR-CAT-007</w:t>
      </w:r>
      <w:r>
        <w:t xml:space="preserve"> </w:t>
      </w:r>
      <w:r>
        <w:t xml:space="preserve">(V2 — Not started): When the user groups duplicate files or editions, the system shall associate them under one intellectual work with merge and split operations that preserve every file's own metadata and reading state.</w:t>
      </w:r>
    </w:p>
    <w:p>
      <w:pPr>
        <w:pStyle w:val="Compact"/>
        <w:numPr>
          <w:ilvl w:val="0"/>
          <w:numId w:val="1026"/>
        </w:numPr>
      </w:pPr>
      <w:r>
        <w:t xml:space="preserve">Oracle: merging 2 Books under a Work leaves both BookFiles readable with their own progress; split restores 2 independent Books with no data loss.</w:t>
      </w:r>
    </w:p>
    <w:p>
      <w:pPr>
        <w:pStyle w:val="Compact"/>
        <w:numPr>
          <w:ilvl w:val="0"/>
          <w:numId w:val="1026"/>
        </w:numPr>
      </w:pPr>
      <w:r>
        <w:t xml:space="preserve">Traces: BG-004; verified by: planned TC-CAT-007.</w:t>
      </w:r>
    </w:p>
    <w:bookmarkEnd w:id="31"/>
    <w:bookmarkStart w:id="32" w:name="X33848b2ed52fb2187fb70288326e2881a0881a2"/>
    <w:p>
      <w:pPr>
        <w:pStyle w:val="Heading2"/>
      </w:pPr>
      <w:r>
        <w:rPr>
          <w:rStyle w:val="SectionNumber"/>
          <w:rFonts w:ascii="Spectral" w:hAnsi="Spectral" w:eastAsia="Spectral"/>
          <w:color w:val="132338"/>
        </w:rPr>
        <w:t xml:space="preserve">5.3</w:t>
      </w:r>
      <w:r>
        <w:rPr>
          <w:rFonts w:ascii="Spectral" w:hAnsi="Spectral" w:eastAsia="Spectral"/>
          <w:color w:val="132338"/>
        </w:rPr>
        <w:tab/>
      </w:r>
      <w:r>
        <w:rPr>
          <w:rFonts w:ascii="Spectral" w:hAnsi="Spectral" w:eastAsia="Spectral"/>
          <w:color w:val="132338"/>
        </w:rPr>
        <w:t xml:space="preserve">4.3 Metadata Enrichment (META)</w:t>
      </w:r>
    </w:p>
    <w:p>
      <w:pPr>
        <w:pStyle w:val="FirstParagraph"/>
      </w:pPr>
      <w:r>
        <w:rPr>
          <w:b/>
          <w:bCs/>
        </w:rPr>
        <w:t xml:space="preserve">FR-META-001</w:t>
      </w:r>
      <w:r>
        <w:t xml:space="preserve"> </w:t>
      </w:r>
      <w:r>
        <w:t xml:space="preserve">(MVP — Code/test evidence): When a file is ingested or the user requests identifier detection, the system shall detect ISBN-10 and ISBN-13 candidates from the filename, XMP/DocInfo metadata, and extracted first pages, and shall normalise, check-digit-validate, and rank them.</w:t>
      </w:r>
    </w:p>
    <w:p>
      <w:pPr>
        <w:pStyle w:val="Compact"/>
        <w:numPr>
          <w:ilvl w:val="0"/>
          <w:numId w:val="1027"/>
        </w:numPr>
      </w:pPr>
      <w:r>
        <w:t xml:space="preserve">Oracle: for a fixture whose ISBN appears in each source, every valid ISBN is detected, check-digit-invalid candidates are rejected, and the list is ordered by the documented ranking.</w:t>
      </w:r>
    </w:p>
    <w:p>
      <w:pPr>
        <w:pStyle w:val="Compact"/>
        <w:numPr>
          <w:ilvl w:val="0"/>
          <w:numId w:val="1027"/>
        </w:numPr>
      </w:pPr>
      <w:r>
        <w:t xml:space="preserve">Traces: BG-001; verified by:</w:t>
      </w:r>
      <w:r>
        <w:t xml:space="preserve"> </w:t>
      </w:r>
      <w:r>
        <w:rPr>
          <w:rStyle w:val="VerbatimChar"/>
        </w:rPr>
        <w:t xml:space="preserve">IsbnDetectionTests</w:t>
      </w:r>
      <w:r>
        <w:t xml:space="preserve">.</w:t>
      </w:r>
    </w:p>
    <w:p>
      <w:pPr>
        <w:pStyle w:val="FirstParagraph"/>
      </w:pPr>
      <w:r>
        <w:rPr>
          <w:b/>
          <w:bCs/>
        </w:rPr>
        <w:t xml:space="preserve">FR-META-002</w:t>
      </w:r>
      <w:r>
        <w:t xml:space="preserve"> </w:t>
      </w:r>
      <w:r>
        <w:t xml:space="preserve">(MVP — Code/test evidence): When candidate ISBNs exist and enrichment runs, the system shall look them up in the Google Books and Open Library APIs and shall store source provider, retrieval timestamp, and confidence per returned value.</w:t>
      </w:r>
    </w:p>
    <w:p>
      <w:pPr>
        <w:pStyle w:val="Compact"/>
        <w:numPr>
          <w:ilvl w:val="0"/>
          <w:numId w:val="1028"/>
        </w:numPr>
      </w:pPr>
      <w:r>
        <w:t xml:space="preserve">Oracle: a lookup against a known ISBN stores at least 1 candidate record carrying non-null source, timestamp, and confidence.</w:t>
      </w:r>
    </w:p>
    <w:p>
      <w:pPr>
        <w:pStyle w:val="Compact"/>
        <w:numPr>
          <w:ilvl w:val="0"/>
          <w:numId w:val="1028"/>
        </w:numPr>
      </w:pPr>
      <w:r>
        <w:t xml:space="preserve">Traces: BG-001; verified by:</w:t>
      </w:r>
      <w:r>
        <w:t xml:space="preserve"> </w:t>
      </w:r>
      <w:r>
        <w:rPr>
          <w:rStyle w:val="VerbatimChar"/>
        </w:rPr>
        <w:t xml:space="preserve">ProviderClientTests</w:t>
      </w:r>
      <w:r>
        <w:t xml:space="preserve">,</w:t>
      </w:r>
      <w:r>
        <w:t xml:space="preserve"> </w:t>
      </w:r>
      <w:r>
        <w:rPr>
          <w:rStyle w:val="VerbatimChar"/>
        </w:rPr>
        <w:t xml:space="preserve">RateLimitedHttpClientTests</w:t>
      </w:r>
      <w:r>
        <w:t xml:space="preserve">.</w:t>
      </w:r>
    </w:p>
    <w:p>
      <w:pPr>
        <w:pStyle w:val="FirstParagraph"/>
      </w:pPr>
      <w:r>
        <w:rPr>
          <w:b/>
          <w:bCs/>
        </w:rPr>
        <w:t xml:space="preserve">FR-META-003</w:t>
      </w:r>
      <w:r>
        <w:t xml:space="preserve"> </w:t>
      </w:r>
      <w:r>
        <w:t xml:space="preserve">(MVP — Code/test evidence): When candidate metadata conflicts, the system shall merge through the confidence policy of Section 8.3 and shall let the user accept, reject, or manually edit each merged field.</w:t>
      </w:r>
    </w:p>
    <w:p>
      <w:pPr>
        <w:pStyle w:val="Compact"/>
        <w:numPr>
          <w:ilvl w:val="0"/>
          <w:numId w:val="1029"/>
        </w:numPr>
      </w:pPr>
      <w:r>
        <w:t xml:space="preserve">Oracle: a merge over conflicting candidates presents the resolved value and source; a user override persists as the field value with a user-decision provenance entry.</w:t>
      </w:r>
    </w:p>
    <w:p>
      <w:pPr>
        <w:pStyle w:val="Compact"/>
        <w:numPr>
          <w:ilvl w:val="0"/>
          <w:numId w:val="1029"/>
        </w:numPr>
      </w:pPr>
      <w:r>
        <w:t xml:space="preserve">Traces: BG-001, BG-004; verified by:</w:t>
      </w:r>
      <w:r>
        <w:t xml:space="preserve"> </w:t>
      </w:r>
      <w:r>
        <w:rPr>
          <w:rStyle w:val="VerbatimChar"/>
        </w:rPr>
        <w:t xml:space="preserve">ConfidenceMergeTests</w:t>
      </w:r>
      <w:r>
        <w:t xml:space="preserve">.</w:t>
      </w:r>
    </w:p>
    <w:p>
      <w:pPr>
        <w:pStyle w:val="FirstParagraph"/>
      </w:pPr>
      <w:r>
        <w:rPr>
          <w:b/>
          <w:bCs/>
        </w:rPr>
        <w:t xml:space="preserve">FR-META-004</w:t>
      </w:r>
      <w:r>
        <w:t xml:space="preserve"> </w:t>
      </w:r>
      <w:r>
        <w:t xml:space="preserve">(V1 — Code/test evidence): When a metadata field (title, author, cover, ISBN, publisher, description, categories) is set, the system shall record field-level provenance: source provider, confidence, retrieval date, and user decision.</w:t>
      </w:r>
    </w:p>
    <w:p>
      <w:pPr>
        <w:pStyle w:val="Compact"/>
        <w:numPr>
          <w:ilvl w:val="0"/>
          <w:numId w:val="1030"/>
        </w:numPr>
      </w:pPr>
      <w:r>
        <w:t xml:space="preserve">Oracle: for each listed field, stored provenance carries all 4 attributes.</w:t>
      </w:r>
    </w:p>
    <w:p>
      <w:pPr>
        <w:pStyle w:val="Compact"/>
        <w:numPr>
          <w:ilvl w:val="0"/>
          <w:numId w:val="1030"/>
        </w:numPr>
      </w:pPr>
      <w:r>
        <w:t xml:space="preserve">Traces: BG-004; verified by:</w:t>
      </w:r>
      <w:r>
        <w:t xml:space="preserve"> </w:t>
      </w:r>
      <w:r>
        <w:rPr>
          <w:rStyle w:val="VerbatimChar"/>
        </w:rPr>
        <w:t xml:space="preserve">ConfidenceMergeTests</w:t>
      </w:r>
      <w:r>
        <w:t xml:space="preserve">,</w:t>
      </w:r>
      <w:r>
        <w:t xml:space="preserve"> </w:t>
      </w:r>
      <w:r>
        <w:rPr>
          <w:rStyle w:val="VerbatimChar"/>
        </w:rPr>
        <w:t xml:space="preserve">MetadataApplyTests</w:t>
      </w:r>
      <w:r>
        <w:t xml:space="preserve">.</w:t>
      </w:r>
    </w:p>
    <w:p>
      <w:pPr>
        <w:pStyle w:val="FirstParagraph"/>
      </w:pPr>
      <w:r>
        <w:rPr>
          <w:b/>
          <w:bCs/>
        </w:rPr>
        <w:t xml:space="preserve">FR-META-005</w:t>
      </w:r>
      <w:r>
        <w:t xml:space="preserve"> </w:t>
      </w:r>
      <w:r>
        <w:t xml:space="preserve">(V1 — Code/test evidence): When the user confirms a metadata write-back, the system shall back up the original file first, show a field-level diff before commit, write the metadata, and leave the original intact on failure.</w:t>
      </w:r>
    </w:p>
    <w:p>
      <w:pPr>
        <w:pStyle w:val="Compact"/>
        <w:numPr>
          <w:ilvl w:val="0"/>
          <w:numId w:val="1031"/>
        </w:numPr>
      </w:pPr>
      <w:r>
        <w:t xml:space="preserve">Oracle: a confirmed write-back produces a backup and updates the file; an injected write failure leaves the original byte-identical to its pre-operation state (NFR-PROD-010).</w:t>
      </w:r>
    </w:p>
    <w:p>
      <w:pPr>
        <w:pStyle w:val="Compact"/>
        <w:numPr>
          <w:ilvl w:val="0"/>
          <w:numId w:val="1031"/>
        </w:numPr>
      </w:pPr>
      <w:r>
        <w:t xml:space="preserve">Traces: BG-004; verified by:</w:t>
      </w:r>
      <w:r>
        <w:t xml:space="preserve"> </w:t>
      </w:r>
      <w:r>
        <w:rPr>
          <w:rStyle w:val="VerbatimChar"/>
        </w:rPr>
        <w:t xml:space="preserve">PdfWriteBackTests</w:t>
      </w:r>
      <w:r>
        <w:t xml:space="preserve"> </w:t>
      </w:r>
      <w:r>
        <w:t xml:space="preserve">(implementation:</w:t>
      </w:r>
      <w:r>
        <w:t xml:space="preserve"> </w:t>
      </w:r>
      <w:r>
        <w:rPr>
          <w:rStyle w:val="VerbatimChar"/>
        </w:rPr>
        <w:t xml:space="preserve">PdfWriteBackService</w:t>
      </w:r>
      <w:r>
        <w:t xml:space="preserve">).</w:t>
      </w:r>
    </w:p>
    <w:p>
      <w:pPr>
        <w:pStyle w:val="FirstParagraph"/>
      </w:pPr>
      <w:r>
        <w:rPr>
          <w:b/>
          <w:bCs/>
        </w:rPr>
        <w:t xml:space="preserve">FR-META-006</w:t>
      </w:r>
      <w:r>
        <w:t xml:space="preserve"> </w:t>
      </w:r>
      <w:r>
        <w:t xml:space="preserve">(V1 — Code/test evidence): When batch enrichment runs, the system shall respect configured provider rate limits, retry transient failures up to the configured count, and keep paused and failed jobs visible.</w:t>
      </w:r>
    </w:p>
    <w:p>
      <w:pPr>
        <w:pStyle w:val="Compact"/>
        <w:numPr>
          <w:ilvl w:val="0"/>
          <w:numId w:val="1032"/>
        </w:numPr>
      </w:pPr>
      <w:r>
        <w:t xml:space="preserve">Oracle: no call exceeds the configured limit window; a transient failure is retried the configured number of times; paused and failed jobs appear in the job region.</w:t>
      </w:r>
    </w:p>
    <w:p>
      <w:pPr>
        <w:pStyle w:val="Compact"/>
        <w:numPr>
          <w:ilvl w:val="0"/>
          <w:numId w:val="1032"/>
        </w:numPr>
      </w:pPr>
      <w:r>
        <w:t xml:space="preserve">Traces: BG-001; verified by:</w:t>
      </w:r>
      <w:r>
        <w:t xml:space="preserve"> </w:t>
      </w:r>
      <w:r>
        <w:rPr>
          <w:rStyle w:val="VerbatimChar"/>
        </w:rPr>
        <w:t xml:space="preserve">RateLimitedHttpClientTests</w:t>
      </w:r>
      <w:r>
        <w:t xml:space="preserve">,</w:t>
      </w:r>
      <w:r>
        <w:t xml:space="preserve"> </w:t>
      </w:r>
      <w:r>
        <w:rPr>
          <w:rStyle w:val="VerbatimChar"/>
        </w:rPr>
        <w:t xml:space="preserve">JobManagementTests</w:t>
      </w:r>
      <w:r>
        <w:t xml:space="preserve">.</w:t>
      </w:r>
    </w:p>
    <w:p>
      <w:pPr>
        <w:pStyle w:val="FirstParagraph"/>
      </w:pPr>
      <w:r>
        <w:rPr>
          <w:b/>
          <w:bCs/>
        </w:rPr>
        <w:t xml:space="preserve">FR-META-007</w:t>
      </w:r>
      <w:r>
        <w:t xml:space="preserve"> </w:t>
      </w:r>
      <w:r>
        <w:t xml:space="preserve">(V1 — Code/test evidence): When a book's metadata changes, the system shall recompute its metadata quality score, and the catalogue shall filter to books missing cover, ISBN, author, year, description, or categories.</w:t>
      </w:r>
    </w:p>
    <w:p>
      <w:pPr>
        <w:pStyle w:val="Compact"/>
        <w:numPr>
          <w:ilvl w:val="0"/>
          <w:numId w:val="1033"/>
        </w:numPr>
      </w:pPr>
      <w:r>
        <w:t xml:space="preserve">Oracle: each book exposes a numeric score (schema: migration</w:t>
      </w:r>
      <w:r>
        <w:t xml:space="preserve"> </w:t>
      </w:r>
      <w:r>
        <w:rPr>
          <w:rStyle w:val="VerbatimChar"/>
        </w:rPr>
        <w:t xml:space="preserve">AddQualityScoreToBooks</w:t>
      </w:r>
      <w:r>
        <w:t xml:space="preserve">); filtering by a missing field returns exactly the books lacking it.</w:t>
      </w:r>
    </w:p>
    <w:p>
      <w:pPr>
        <w:pStyle w:val="Compact"/>
        <w:numPr>
          <w:ilvl w:val="0"/>
          <w:numId w:val="1033"/>
        </w:numPr>
      </w:pPr>
      <w:r>
        <w:t xml:space="preserve">Traces: BG-001; verified by:</w:t>
      </w:r>
      <w:r>
        <w:t xml:space="preserve"> </w:t>
      </w:r>
      <w:r>
        <w:rPr>
          <w:rStyle w:val="VerbatimChar"/>
        </w:rPr>
        <w:t xml:space="preserve">HealthDashboardTests</w:t>
      </w:r>
      <w:r>
        <w:t xml:space="preserve">.</w:t>
      </w:r>
    </w:p>
    <w:p>
      <w:pPr>
        <w:pStyle w:val="FirstParagraph"/>
      </w:pPr>
      <w:r>
        <w:rPr>
          <w:b/>
          <w:bCs/>
        </w:rPr>
        <w:t xml:space="preserve">FR-META-008</w:t>
      </w:r>
      <w:r>
        <w:t xml:space="preserve"> </w:t>
      </w:r>
      <w:r>
        <w:t xml:space="preserve">(V1 — Code/test evidence): When the user opens the library health dashboard, the system shall report duplicates, missing metadata, unavailable files, broken covers, and index gaps, each with a per-finding remediation action.</w:t>
      </w:r>
    </w:p>
    <w:p>
      <w:pPr>
        <w:pStyle w:val="Compact"/>
        <w:numPr>
          <w:ilvl w:val="0"/>
          <w:numId w:val="1034"/>
        </w:numPr>
      </w:pPr>
      <w:r>
        <w:t xml:space="preserve">Oracle: for a fixture containing 1 of each finding class, the dashboard lists each finding with an invocable remediation whose execution clears the finding.</w:t>
      </w:r>
    </w:p>
    <w:p>
      <w:pPr>
        <w:pStyle w:val="Compact"/>
        <w:numPr>
          <w:ilvl w:val="0"/>
          <w:numId w:val="1034"/>
        </w:numPr>
      </w:pPr>
      <w:r>
        <w:t xml:space="preserve">Traces: BG-001, BG-004; verified by:</w:t>
      </w:r>
      <w:r>
        <w:t xml:space="preserve"> </w:t>
      </w:r>
      <w:r>
        <w:rPr>
          <w:rStyle w:val="VerbatimChar"/>
        </w:rPr>
        <w:t xml:space="preserve">HealthDashboardTests</w:t>
      </w:r>
      <w:r>
        <w:t xml:space="preserve">,</w:t>
      </w:r>
      <w:r>
        <w:t xml:space="preserve"> </w:t>
      </w:r>
      <w:r>
        <w:rPr>
          <w:rStyle w:val="VerbatimChar"/>
        </w:rPr>
        <w:t xml:space="preserve">HealthDashboardRenderTests</w:t>
      </w:r>
      <w:r>
        <w:t xml:space="preserve"> </w:t>
      </w:r>
      <w:r>
        <w:t xml:space="preserve">(implementation:</w:t>
      </w:r>
      <w:r>
        <w:t xml:space="preserve"> </w:t>
      </w:r>
      <w:r>
        <w:rPr>
          <w:rStyle w:val="VerbatimChar"/>
        </w:rPr>
        <w:t xml:space="preserve">LibraryHealthService</w:t>
      </w:r>
      <w:r>
        <w:t xml:space="preserve">).</w:t>
      </w:r>
    </w:p>
    <w:bookmarkEnd w:id="32"/>
    <w:bookmarkStart w:id="33" w:name="X4506feff90aa4a74a927424210f267813274cf6"/>
    <w:p>
      <w:pPr>
        <w:pStyle w:val="Heading2"/>
      </w:pPr>
      <w:r>
        <w:rPr>
          <w:rStyle w:val="SectionNumber"/>
          <w:rFonts w:ascii="Spectral" w:hAnsi="Spectral" w:eastAsia="Spectral"/>
          <w:color w:val="132338"/>
        </w:rPr>
        <w:t xml:space="preserve">5.4</w:t>
      </w:r>
      <w:r>
        <w:rPr>
          <w:rFonts w:ascii="Spectral" w:hAnsi="Spectral" w:eastAsia="Spectral"/>
          <w:color w:val="132338"/>
        </w:rPr>
        <w:tab/>
      </w:r>
      <w:r>
        <w:rPr>
          <w:rFonts w:ascii="Spectral" w:hAnsi="Spectral" w:eastAsia="Spectral"/>
          <w:color w:val="132338"/>
        </w:rPr>
        <w:t xml:space="preserve">4.4 PDF Reader (READ)</w:t>
      </w:r>
    </w:p>
    <w:p>
      <w:pPr>
        <w:pStyle w:val="FirstParagraph"/>
      </w:pPr>
      <w:r>
        <w:rPr>
          <w:b/>
          <w:bCs/>
        </w:rPr>
        <w:t xml:space="preserve">FR-READ-001</w:t>
      </w:r>
      <w:r>
        <w:t xml:space="preserve"> </w:t>
      </w:r>
      <w:r>
        <w:t xml:space="preserve">(MVP — Code/test evidence): When the user opens a previously read book from the catalogue, the system shall resume at the last reading position (page and scroll offset).</w:t>
      </w:r>
    </w:p>
    <w:p>
      <w:pPr>
        <w:pStyle w:val="Compact"/>
        <w:numPr>
          <w:ilvl w:val="0"/>
          <w:numId w:val="1035"/>
        </w:numPr>
      </w:pPr>
      <w:r>
        <w:t xml:space="preserve">Oracle: closing at a known page and offset and reopening restores that exact page and offset.</w:t>
      </w:r>
    </w:p>
    <w:p>
      <w:pPr>
        <w:pStyle w:val="Compact"/>
        <w:numPr>
          <w:ilvl w:val="0"/>
          <w:numId w:val="1035"/>
        </w:numPr>
      </w:pPr>
      <w:r>
        <w:t xml:space="preserve">Traces: BG-002; verified by:</w:t>
      </w:r>
      <w:r>
        <w:t xml:space="preserve"> </w:t>
      </w:r>
      <w:r>
        <w:rPr>
          <w:rStyle w:val="VerbatimChar"/>
        </w:rPr>
        <w:t xml:space="preserve">ReadingProgressServiceTests</w:t>
      </w:r>
      <w:r>
        <w:t xml:space="preserve">,</w:t>
      </w:r>
      <w:r>
        <w:t xml:space="preserve"> </w:t>
      </w:r>
      <w:r>
        <w:rPr>
          <w:rStyle w:val="VerbatimChar"/>
        </w:rPr>
        <w:t xml:space="preserve">ReaderSessionServiceTests</w:t>
      </w:r>
      <w:r>
        <w:t xml:space="preserve">.</w:t>
      </w:r>
    </w:p>
    <w:p>
      <w:pPr>
        <w:pStyle w:val="FirstParagraph"/>
      </w:pPr>
      <w:r>
        <w:rPr>
          <w:b/>
          <w:bCs/>
        </w:rPr>
        <w:t xml:space="preserve">FR-READ-002</w:t>
      </w:r>
      <w:r>
        <w:t xml:space="preserve"> </w:t>
      </w:r>
      <w:r>
        <w:t xml:space="preserve">(MVP — Code/test evidence): When the user invokes a navigation command (first, previous, next, last, jump-to-page, history back, history forward) by keyboard or UI, the system shall move to the corresponding page.</w:t>
      </w:r>
    </w:p>
    <w:p>
      <w:pPr>
        <w:pStyle w:val="Compact"/>
        <w:numPr>
          <w:ilvl w:val="0"/>
          <w:numId w:val="1036"/>
        </w:numPr>
      </w:pPr>
      <w:r>
        <w:t xml:space="preserve">Oracle: each command, invoked both ways, lands on the specified page; history back and forward replay the visit order.</w:t>
      </w:r>
    </w:p>
    <w:p>
      <w:pPr>
        <w:pStyle w:val="Compact"/>
        <w:numPr>
          <w:ilvl w:val="0"/>
          <w:numId w:val="1036"/>
        </w:numPr>
      </w:pPr>
      <w:r>
        <w:t xml:space="preserve">Traces: BG-002; verified by:</w:t>
      </w:r>
      <w:r>
        <w:t xml:space="preserve"> </w:t>
      </w:r>
      <w:r>
        <w:rPr>
          <w:rStyle w:val="VerbatimChar"/>
        </w:rPr>
        <w:t xml:space="preserve">NavigationHistoryTests</w:t>
      </w:r>
      <w:r>
        <w:t xml:space="preserve">,</w:t>
      </w:r>
      <w:r>
        <w:t xml:space="preserve"> </w:t>
      </w:r>
      <w:r>
        <w:rPr>
          <w:rStyle w:val="VerbatimChar"/>
        </w:rPr>
        <w:t xml:space="preserve">ShellReaderNavigationTests</w:t>
      </w:r>
      <w:r>
        <w:t xml:space="preserve">.</w:t>
      </w:r>
    </w:p>
    <w:p>
      <w:pPr>
        <w:pStyle w:val="FirstParagraph"/>
      </w:pPr>
      <w:r>
        <w:rPr>
          <w:b/>
          <w:bCs/>
        </w:rPr>
        <w:t xml:space="preserve">FR-READ-003</w:t>
      </w:r>
      <w:r>
        <w:t xml:space="preserve"> </w:t>
      </w:r>
      <w:r>
        <w:t xml:space="preserve">(MVP — Code/test evidence): When the user selects a zoom mode (fit width, fit page, fixed percentage) by control or shortcut, the system shall render at that scale and shall persist the zoom state per book or per user preference.</w:t>
      </w:r>
    </w:p>
    <w:p>
      <w:pPr>
        <w:pStyle w:val="Compact"/>
        <w:numPr>
          <w:ilvl w:val="0"/>
          <w:numId w:val="1037"/>
        </w:numPr>
      </w:pPr>
      <w:r>
        <w:t xml:space="preserve">Oracle: each mode renders at the corresponding scale; reopening restores the persisted zoom per the configured scope.</w:t>
      </w:r>
    </w:p>
    <w:p>
      <w:pPr>
        <w:pStyle w:val="Compact"/>
        <w:numPr>
          <w:ilvl w:val="0"/>
          <w:numId w:val="1037"/>
        </w:numPr>
      </w:pPr>
      <w:r>
        <w:t xml:space="preserve">Traces: BG-002; verified by:</w:t>
      </w:r>
      <w:r>
        <w:t xml:space="preserve"> </w:t>
      </w:r>
      <w:r>
        <w:rPr>
          <w:rStyle w:val="VerbatimChar"/>
        </w:rPr>
        <w:t xml:space="preserve">ReaderSessionServiceTests</w:t>
      </w:r>
      <w:r>
        <w:t xml:space="preserve">.</w:t>
      </w:r>
    </w:p>
    <w:p>
      <w:pPr>
        <w:pStyle w:val="FirstParagraph"/>
      </w:pPr>
      <w:r>
        <w:rPr>
          <w:b/>
          <w:bCs/>
        </w:rPr>
        <w:t xml:space="preserve">FR-READ-004</w:t>
      </w:r>
      <w:r>
        <w:t xml:space="preserve"> </w:t>
      </w:r>
      <w:r>
        <w:t xml:space="preserve">(MVP — Code/test evidence): When the user selects a display mode (single page, two-page spread, continuous scroll), the system shall render that layout and persist the mode per book.</w:t>
      </w:r>
    </w:p>
    <w:p>
      <w:pPr>
        <w:pStyle w:val="Compact"/>
        <w:numPr>
          <w:ilvl w:val="0"/>
          <w:numId w:val="1038"/>
        </w:numPr>
      </w:pPr>
      <w:r>
        <w:t xml:space="preserve">Oracle: each mode renders the expected layout; reopening restores the last-used mode.</w:t>
      </w:r>
    </w:p>
    <w:p>
      <w:pPr>
        <w:pStyle w:val="Compact"/>
        <w:numPr>
          <w:ilvl w:val="0"/>
          <w:numId w:val="1038"/>
        </w:numPr>
      </w:pPr>
      <w:r>
        <w:t xml:space="preserve">Traces: BG-002; verified by:</w:t>
      </w:r>
      <w:r>
        <w:t xml:space="preserve"> </w:t>
      </w:r>
      <w:r>
        <w:rPr>
          <w:rStyle w:val="VerbatimChar"/>
        </w:rPr>
        <w:t xml:space="preserve">ReaderViewRenderTests</w:t>
      </w:r>
      <w:r>
        <w:t xml:space="preserve">,</w:t>
      </w:r>
      <w:r>
        <w:t xml:space="preserve"> </w:t>
      </w:r>
      <w:r>
        <w:rPr>
          <w:rStyle w:val="VerbatimChar"/>
        </w:rPr>
        <w:t xml:space="preserve">ReaderSessionServiceTests</w:t>
      </w:r>
      <w:r>
        <w:t xml:space="preserve">.</w:t>
      </w:r>
    </w:p>
    <w:p>
      <w:pPr>
        <w:pStyle w:val="FirstParagraph"/>
      </w:pPr>
      <w:r>
        <w:rPr>
          <w:b/>
          <w:bCs/>
        </w:rPr>
        <w:t xml:space="preserve">FR-READ-005</w:t>
      </w:r>
      <w:r>
        <w:t xml:space="preserve"> </w:t>
      </w:r>
      <w:r>
        <w:t xml:space="preserve">(MVP — Code/test evidence): When the user enters full-screen reading mode, the system shall hide non-essential UI; when the user presses Escape, the system shall exit full-screen.</w:t>
      </w:r>
    </w:p>
    <w:p>
      <w:pPr>
        <w:pStyle w:val="Compact"/>
        <w:numPr>
          <w:ilvl w:val="0"/>
          <w:numId w:val="1039"/>
        </w:numPr>
      </w:pPr>
      <w:r>
        <w:t xml:space="preserve">Oracle: full-screen hides the navigation and shelf regions; Escape restores the standard layout.</w:t>
      </w:r>
    </w:p>
    <w:p>
      <w:pPr>
        <w:pStyle w:val="Compact"/>
        <w:numPr>
          <w:ilvl w:val="0"/>
          <w:numId w:val="1039"/>
        </w:numPr>
      </w:pPr>
      <w:r>
        <w:t xml:space="preserve">Traces: BG-002; verified by:</w:t>
      </w:r>
      <w:r>
        <w:t xml:space="preserve"> </w:t>
      </w:r>
      <w:r>
        <w:rPr>
          <w:rStyle w:val="VerbatimChar"/>
        </w:rPr>
        <w:t xml:space="preserve">ReaderViewRenderTests</w:t>
      </w:r>
      <w:r>
        <w:t xml:space="preserve">.</w:t>
      </w:r>
    </w:p>
    <w:p>
      <w:pPr>
        <w:pStyle w:val="FirstParagraph"/>
      </w:pPr>
      <w:r>
        <w:rPr>
          <w:b/>
          <w:bCs/>
        </w:rPr>
        <w:t xml:space="preserve">FR-READ-006</w:t>
      </w:r>
      <w:r>
        <w:t xml:space="preserve"> </w:t>
      </w:r>
      <w:r>
        <w:t xml:space="preserve">(MVP — Code/test evidence): When the user searches text within a document, the system shall highlight matches and list matching pages, using the PDF text layer where available.</w:t>
      </w:r>
    </w:p>
    <w:p>
      <w:pPr>
        <w:pStyle w:val="Compact"/>
        <w:numPr>
          <w:ilvl w:val="0"/>
          <w:numId w:val="1040"/>
        </w:numPr>
      </w:pPr>
      <w:r>
        <w:t xml:space="preserve">Oracle: a search for a term in the text layer highlights each occurrence and lists every page containing it.</w:t>
      </w:r>
    </w:p>
    <w:p>
      <w:pPr>
        <w:pStyle w:val="Compact"/>
        <w:numPr>
          <w:ilvl w:val="0"/>
          <w:numId w:val="1040"/>
        </w:numPr>
      </w:pPr>
      <w:r>
        <w:t xml:space="preserve">Traces: BG-002; verified by:</w:t>
      </w:r>
      <w:r>
        <w:t xml:space="preserve"> </w:t>
      </w:r>
      <w:r>
        <w:rPr>
          <w:rStyle w:val="VerbatimChar"/>
        </w:rPr>
        <w:t xml:space="preserve">InDocumentSearchTests</w:t>
      </w:r>
      <w:r>
        <w:t xml:space="preserve"> </w:t>
      </w:r>
      <w:r>
        <w:t xml:space="preserve">(implementation:</w:t>
      </w:r>
      <w:r>
        <w:t xml:space="preserve"> </w:t>
      </w:r>
      <w:r>
        <w:rPr>
          <w:rStyle w:val="VerbatimChar"/>
        </w:rPr>
        <w:t xml:space="preserve">InDocumentSearchService</w:t>
      </w:r>
      <w:r>
        <w:t xml:space="preserve">,</w:t>
      </w:r>
      <w:r>
        <w:t xml:space="preserve"> </w:t>
      </w:r>
      <w:r>
        <w:rPr>
          <w:rStyle w:val="VerbatimChar"/>
        </w:rPr>
        <w:t xml:space="preserve">TextLayerService</w:t>
      </w:r>
      <w:r>
        <w:t xml:space="preserve">).</w:t>
      </w:r>
    </w:p>
    <w:p>
      <w:pPr>
        <w:pStyle w:val="FirstParagraph"/>
      </w:pPr>
      <w:r>
        <w:rPr>
          <w:b/>
          <w:bCs/>
        </w:rPr>
        <w:t xml:space="preserve">FR-READ-007</w:t>
      </w:r>
      <w:r>
        <w:t xml:space="preserve"> </w:t>
      </w:r>
      <w:r>
        <w:t xml:space="preserve">(MVP — Code/test evidence): When the user creates a labelled bookmark, the system shall persist it across close and reopen and jump to its page on activation.</w:t>
      </w:r>
    </w:p>
    <w:p>
      <w:pPr>
        <w:pStyle w:val="Compact"/>
        <w:numPr>
          <w:ilvl w:val="0"/>
          <w:numId w:val="1041"/>
        </w:numPr>
      </w:pPr>
      <w:r>
        <w:t xml:space="preserve">Oracle: a labelled bookmark survives close/reopen, retains its label, and activation lands on its page.</w:t>
      </w:r>
    </w:p>
    <w:p>
      <w:pPr>
        <w:pStyle w:val="Compact"/>
        <w:numPr>
          <w:ilvl w:val="0"/>
          <w:numId w:val="1041"/>
        </w:numPr>
      </w:pPr>
      <w:r>
        <w:t xml:space="preserve">Traces: BG-002; verified by:</w:t>
      </w:r>
      <w:r>
        <w:t xml:space="preserve"> </w:t>
      </w:r>
      <w:r>
        <w:rPr>
          <w:rStyle w:val="VerbatimChar"/>
        </w:rPr>
        <w:t xml:space="preserve">Phase09AnnotationTests</w:t>
      </w:r>
      <w:r>
        <w:t xml:space="preserve"> </w:t>
      </w:r>
      <w:r>
        <w:t xml:space="preserve">(implementation:</w:t>
      </w:r>
      <w:r>
        <w:t xml:space="preserve"> </w:t>
      </w:r>
      <w:r>
        <w:rPr>
          <w:rStyle w:val="VerbatimChar"/>
        </w:rPr>
        <w:t xml:space="preserve">BookmarkService</w:t>
      </w:r>
      <w:r>
        <w:t xml:space="preserve">).</w:t>
      </w:r>
    </w:p>
    <w:p>
      <w:pPr>
        <w:pStyle w:val="FirstParagraph"/>
      </w:pPr>
      <w:r>
        <w:rPr>
          <w:b/>
          <w:bCs/>
        </w:rPr>
        <w:t xml:space="preserve">FR-READ-008</w:t>
      </w:r>
      <w:r>
        <w:t xml:space="preserve"> </w:t>
      </w:r>
      <w:r>
        <w:t xml:space="preserve">(MVP — Code/test evidence): When the user creates a highlight or note, the system shall persist it in the catalogue of record and reload the annotation overlay at its accurate position after reopen.</w:t>
      </w:r>
    </w:p>
    <w:p>
      <w:pPr>
        <w:pStyle w:val="Compact"/>
        <w:numPr>
          <w:ilvl w:val="0"/>
          <w:numId w:val="1042"/>
        </w:numPr>
      </w:pPr>
      <w:r>
        <w:t xml:space="preserve">Oracle: a highlight over a known text region reopens at the same coordinates; the note text is unchanged.</w:t>
      </w:r>
    </w:p>
    <w:p>
      <w:pPr>
        <w:pStyle w:val="Compact"/>
        <w:numPr>
          <w:ilvl w:val="0"/>
          <w:numId w:val="1042"/>
        </w:numPr>
      </w:pPr>
      <w:r>
        <w:t xml:space="preserve">Traces: BG-002, BG-004; verified by:</w:t>
      </w:r>
      <w:r>
        <w:t xml:space="preserve"> </w:t>
      </w:r>
      <w:r>
        <w:rPr>
          <w:rStyle w:val="VerbatimChar"/>
        </w:rPr>
        <w:t xml:space="preserve">Phase09AnnotationTests</w:t>
      </w:r>
      <w:r>
        <w:t xml:space="preserve"> </w:t>
      </w:r>
      <w:r>
        <w:t xml:space="preserve">(implementation:</w:t>
      </w:r>
      <w:r>
        <w:t xml:space="preserve"> </w:t>
      </w:r>
      <w:r>
        <w:rPr>
          <w:rStyle w:val="VerbatimChar"/>
        </w:rPr>
        <w:t xml:space="preserve">AnnotationService</w:t>
      </w:r>
      <w:r>
        <w:t xml:space="preserve">).</w:t>
      </w:r>
    </w:p>
    <w:p>
      <w:pPr>
        <w:pStyle w:val="FirstParagraph"/>
      </w:pPr>
      <w:r>
        <w:rPr>
          <w:b/>
          <w:bCs/>
        </w:rPr>
        <w:t xml:space="preserve">FR-READ-009</w:t>
      </w:r>
      <w:r>
        <w:t xml:space="preserve"> </w:t>
      </w:r>
      <w:r>
        <w:t xml:space="preserve">(V1 — Code/test evidence): When the user opens a password-protected PDF, the system shall detect the protection and open the document through the OS credential flow only after the user consents.</w:t>
      </w:r>
    </w:p>
    <w:p>
      <w:pPr>
        <w:pStyle w:val="Compact"/>
        <w:numPr>
          <w:ilvl w:val="0"/>
          <w:numId w:val="1043"/>
        </w:numPr>
      </w:pPr>
      <w:r>
        <w:t xml:space="preserve">Oracle: a protected fixture prompts for consent, retrieves the credential from the OS store, and renders; declining consent leaves it unopened.</w:t>
      </w:r>
    </w:p>
    <w:p>
      <w:pPr>
        <w:pStyle w:val="Compact"/>
        <w:numPr>
          <w:ilvl w:val="0"/>
          <w:numId w:val="1043"/>
        </w:numPr>
      </w:pPr>
      <w:r>
        <w:t xml:space="preserve">Traces: BG-002; verified by:</w:t>
      </w:r>
      <w:r>
        <w:t xml:space="preserve"> </w:t>
      </w:r>
      <w:r>
        <w:rPr>
          <w:rStyle w:val="VerbatimChar"/>
        </w:rPr>
        <w:t xml:space="preserve">PdfiumAdapterPasswordTests</w:t>
      </w:r>
      <w:r>
        <w:t xml:space="preserve">,</w:t>
      </w:r>
      <w:r>
        <w:t xml:space="preserve"> </w:t>
      </w:r>
      <w:r>
        <w:rPr>
          <w:rStyle w:val="VerbatimChar"/>
        </w:rPr>
        <w:t xml:space="preserve">PasswordProviderTests</w:t>
      </w:r>
      <w:r>
        <w:t xml:space="preserve">.</w:t>
      </w:r>
    </w:p>
    <w:p>
      <w:pPr>
        <w:pStyle w:val="FirstParagraph"/>
      </w:pPr>
      <w:r>
        <w:rPr>
          <w:b/>
          <w:bCs/>
        </w:rPr>
        <w:t xml:space="preserve">FR-READ-010</w:t>
      </w:r>
      <w:r>
        <w:t xml:space="preserve"> </w:t>
      </w:r>
      <w:r>
        <w:t xml:space="preserve">(V1 — Code/test evidence): When the user enables OCR for a scanned PDF, the system shall index it as an optional background job and mark the resulting text OCR-derived and searchable.</w:t>
      </w:r>
    </w:p>
    <w:p>
      <w:pPr>
        <w:pStyle w:val="Compact"/>
        <w:numPr>
          <w:ilvl w:val="0"/>
          <w:numId w:val="1044"/>
        </w:numPr>
      </w:pPr>
      <w:r>
        <w:t xml:space="preserve">Oracle: an OCR job over a scanned fixture produces searchable text flagged OCR-derived; a search for a known phrase returns the page.</w:t>
      </w:r>
    </w:p>
    <w:p>
      <w:pPr>
        <w:pStyle w:val="Compact"/>
        <w:numPr>
          <w:ilvl w:val="0"/>
          <w:numId w:val="1044"/>
        </w:numPr>
      </w:pPr>
      <w:r>
        <w:t xml:space="preserve">Traces: BG-002; verified by:</w:t>
      </w:r>
      <w:r>
        <w:t xml:space="preserve"> </w:t>
      </w:r>
      <w:r>
        <w:rPr>
          <w:rStyle w:val="VerbatimChar"/>
        </w:rPr>
        <w:t xml:space="preserve">OcrJobProcessorTests</w:t>
      </w:r>
      <w:r>
        <w:t xml:space="preserve">,</w:t>
      </w:r>
      <w:r>
        <w:t xml:space="preserve"> </w:t>
      </w:r>
      <w:r>
        <w:rPr>
          <w:rStyle w:val="VerbatimChar"/>
        </w:rPr>
        <w:t xml:space="preserve">OcrGoldenCorpusTests</w:t>
      </w:r>
      <w:r>
        <w:t xml:space="preserve">.</w:t>
      </w:r>
    </w:p>
    <w:p>
      <w:pPr>
        <w:pStyle w:val="FirstParagraph"/>
      </w:pPr>
      <w:r>
        <w:rPr>
          <w:b/>
          <w:bCs/>
        </w:rPr>
        <w:t xml:space="preserve">FR-READ-011</w:t>
      </w:r>
      <w:r>
        <w:t xml:space="preserve"> </w:t>
      </w:r>
      <w:r>
        <w:t xml:space="preserve">(V1 — Code/test evidence): When the user invokes citation capture on a text selection, the system shall place a citation card carrying title, author, page, and the selected text on the clipboard.</w:t>
      </w:r>
    </w:p>
    <w:p>
      <w:pPr>
        <w:pStyle w:val="Compact"/>
        <w:numPr>
          <w:ilvl w:val="0"/>
          <w:numId w:val="1045"/>
        </w:numPr>
      </w:pPr>
      <w:r>
        <w:t xml:space="preserve">Oracle: the clipboard card carries all 4 fields with the correct page and selection.</w:t>
      </w:r>
    </w:p>
    <w:p>
      <w:pPr>
        <w:pStyle w:val="Compact"/>
        <w:numPr>
          <w:ilvl w:val="0"/>
          <w:numId w:val="1045"/>
        </w:numPr>
      </w:pPr>
      <w:r>
        <w:t xml:space="preserve">Traces: BG-002; verified by:</w:t>
      </w:r>
      <w:r>
        <w:t xml:space="preserve"> </w:t>
      </w:r>
      <w:r>
        <w:rPr>
          <w:rStyle w:val="VerbatimChar"/>
        </w:rPr>
        <w:t xml:space="preserve">Phase09AnnotationTests</w:t>
      </w:r>
      <w:r>
        <w:t xml:space="preserve"> </w:t>
      </w:r>
      <w:r>
        <w:t xml:space="preserve">(implementation:</w:t>
      </w:r>
      <w:r>
        <w:t xml:space="preserve"> </w:t>
      </w:r>
      <w:r>
        <w:rPr>
          <w:rStyle w:val="VerbatimChar"/>
        </w:rPr>
        <w:t xml:space="preserve">CitationService</w:t>
      </w:r>
      <w:r>
        <w:t xml:space="preserve">).</w:t>
      </w:r>
    </w:p>
    <w:p>
      <w:pPr>
        <w:pStyle w:val="FirstParagraph"/>
      </w:pPr>
      <w:r>
        <w:rPr>
          <w:b/>
          <w:bCs/>
        </w:rPr>
        <w:t xml:space="preserve">FR-READ-012</w:t>
      </w:r>
      <w:r>
        <w:t xml:space="preserve"> </w:t>
      </w:r>
      <w:r>
        <w:t xml:space="preserve">(V2 — Not started): When the user opens split view, the system shall render two PDFs, or two locations in one PDF, side by side with independent navigation per pane.</w:t>
      </w:r>
    </w:p>
    <w:p>
      <w:pPr>
        <w:pStyle w:val="Compact"/>
        <w:numPr>
          <w:ilvl w:val="0"/>
          <w:numId w:val="1046"/>
        </w:numPr>
      </w:pPr>
      <w:r>
        <w:t xml:space="preserve">Oracle: split view renders 2 independent panes; navigation in one does not move the other.</w:t>
      </w:r>
    </w:p>
    <w:p>
      <w:pPr>
        <w:pStyle w:val="Compact"/>
        <w:numPr>
          <w:ilvl w:val="0"/>
          <w:numId w:val="1046"/>
        </w:numPr>
      </w:pPr>
      <w:r>
        <w:t xml:space="preserve">Traces: BG-002; verified by: planned TC-READ-012.</w:t>
      </w:r>
    </w:p>
    <w:p>
      <w:pPr>
        <w:pStyle w:val="FirstParagraph"/>
      </w:pPr>
      <w:r>
        <w:rPr>
          <w:b/>
          <w:bCs/>
        </w:rPr>
        <w:t xml:space="preserve">FR-READ-013</w:t>
      </w:r>
      <w:r>
        <w:t xml:space="preserve"> </w:t>
      </w:r>
      <w:r>
        <w:t xml:space="preserve">(V1 — Code/test evidence): When the user exports selected books, annotations, or citation cards, the system shall produce BibTeX, RIS, CSL JSON, and Markdown digest outputs.</w:t>
      </w:r>
    </w:p>
    <w:p>
      <w:pPr>
        <w:pStyle w:val="Compact"/>
        <w:numPr>
          <w:ilvl w:val="0"/>
          <w:numId w:val="1047"/>
        </w:numPr>
      </w:pPr>
      <w:r>
        <w:t xml:space="preserve">Oracle: an export over a fixture selection yields all 4 formats, each parseable by its format's reference parser and carrying every selected item.</w:t>
      </w:r>
    </w:p>
    <w:p>
      <w:pPr>
        <w:pStyle w:val="Compact"/>
        <w:numPr>
          <w:ilvl w:val="0"/>
          <w:numId w:val="1047"/>
        </w:numPr>
      </w:pPr>
      <w:r>
        <w:t xml:space="preserve">Traces: BG-002, BG-004; verified by: planned TC-READ-013 (export implemented in</w:t>
      </w:r>
      <w:r>
        <w:t xml:space="preserve"> </w:t>
      </w:r>
      <w:r>
        <w:rPr>
          <w:rStyle w:val="VerbatimChar"/>
        </w:rPr>
        <w:t xml:space="preserve">OgmaLibrary.Reader</w:t>
      </w:r>
      <w:r>
        <w:t xml:space="preserve">; no dedicated test class located).</w:t>
      </w:r>
    </w:p>
    <w:p>
      <w:pPr>
        <w:pStyle w:val="FirstParagraph"/>
      </w:pPr>
      <w:r>
        <w:rPr>
          <w:b/>
          <w:bCs/>
        </w:rPr>
        <w:t xml:space="preserve">FR-READ-014</w:t>
      </w:r>
      <w:r>
        <w:t xml:space="preserve"> </w:t>
      </w:r>
      <w:r>
        <w:t xml:space="preserve">(V1 — Code/test evidence): When the user records reading memory for a book, the system shall persist why the book was opened, its highlights, questions, and a finished/abandoned/saved outcome, per book.</w:t>
      </w:r>
    </w:p>
    <w:p>
      <w:pPr>
        <w:pStyle w:val="Compact"/>
        <w:numPr>
          <w:ilvl w:val="0"/>
          <w:numId w:val="1048"/>
        </w:numPr>
      </w:pPr>
      <w:r>
        <w:t xml:space="preserve">Oracle: each recorded element survives close/reopen and is retrievable from the book's reading-memory record.</w:t>
      </w:r>
    </w:p>
    <w:p>
      <w:pPr>
        <w:pStyle w:val="Compact"/>
        <w:numPr>
          <w:ilvl w:val="0"/>
          <w:numId w:val="1048"/>
        </w:numPr>
      </w:pPr>
      <w:r>
        <w:t xml:space="preserve">Traces: BG-002; verified by:</w:t>
      </w:r>
      <w:r>
        <w:t xml:space="preserve"> </w:t>
      </w:r>
      <w:r>
        <w:rPr>
          <w:rStyle w:val="VerbatimChar"/>
        </w:rPr>
        <w:t xml:space="preserve">Phase09AnnotationTests</w:t>
      </w:r>
      <w:r>
        <w:t xml:space="preserve"> </w:t>
      </w:r>
      <w:r>
        <w:t xml:space="preserve">(implementation:</w:t>
      </w:r>
      <w:r>
        <w:t xml:space="preserve"> </w:t>
      </w:r>
      <w:r>
        <w:rPr>
          <w:rStyle w:val="VerbatimChar"/>
        </w:rPr>
        <w:t xml:space="preserve">ReadingMemoryService</w:t>
      </w:r>
      <w:r>
        <w:t xml:space="preserve">).</w:t>
      </w:r>
    </w:p>
    <w:p>
      <w:pPr>
        <w:pStyle w:val="FirstParagraph"/>
      </w:pPr>
      <w:r>
        <w:rPr>
          <w:b/>
          <w:bCs/>
        </w:rPr>
        <w:t xml:space="preserve">FR-READ-015</w:t>
      </w:r>
      <w:r>
        <w:t xml:space="preserve"> </w:t>
      </w:r>
      <w:r>
        <w:t xml:space="preserve">(V1 — Code/test evidence): When the user assigns annotations to a named layer (for example thesis, quotes, to-verify, teaching), the system shall show or hide annotations per layer and export per layer.</w:t>
      </w:r>
    </w:p>
    <w:p>
      <w:pPr>
        <w:pStyle w:val="Compact"/>
        <w:numPr>
          <w:ilvl w:val="0"/>
          <w:numId w:val="1049"/>
        </w:numPr>
      </w:pPr>
      <w:r>
        <w:t xml:space="preserve">Oracle: hiding a layer removes exactly its annotations from the overlay; a per-layer export contains only that layer's annotations.</w:t>
      </w:r>
    </w:p>
    <w:p>
      <w:pPr>
        <w:pStyle w:val="Compact"/>
        <w:numPr>
          <w:ilvl w:val="0"/>
          <w:numId w:val="1049"/>
        </w:numPr>
      </w:pPr>
      <w:r>
        <w:t xml:space="preserve">Traces: BG-002; verified by:</w:t>
      </w:r>
      <w:r>
        <w:t xml:space="preserve"> </w:t>
      </w:r>
      <w:r>
        <w:rPr>
          <w:rStyle w:val="VerbatimChar"/>
        </w:rPr>
        <w:t xml:space="preserve">Phase09AnnotationTests</w:t>
      </w:r>
      <w:r>
        <w:t xml:space="preserve"> </w:t>
      </w:r>
      <w:r>
        <w:t xml:space="preserve">(implementation:</w:t>
      </w:r>
      <w:r>
        <w:t xml:space="preserve"> </w:t>
      </w:r>
      <w:r>
        <w:rPr>
          <w:rStyle w:val="VerbatimChar"/>
        </w:rPr>
        <w:t xml:space="preserve">AnnotationLayerService</w:t>
      </w:r>
      <w:r>
        <w:t xml:space="preserve">).</w:t>
      </w:r>
    </w:p>
    <w:bookmarkEnd w:id="33"/>
    <w:bookmarkStart w:id="34" w:name="Xf5e668fe950ed4a089297e6d0b2e3f50f2b0541"/>
    <w:p>
      <w:pPr>
        <w:pStyle w:val="Heading2"/>
      </w:pPr>
      <w:r>
        <w:rPr>
          <w:rStyle w:val="SectionNumber"/>
          <w:rFonts w:ascii="Spectral" w:hAnsi="Spectral" w:eastAsia="Spectral"/>
          <w:color w:val="132338"/>
        </w:rPr>
        <w:t xml:space="preserve">5.5</w:t>
      </w:r>
      <w:r>
        <w:rPr>
          <w:rFonts w:ascii="Spectral" w:hAnsi="Spectral" w:eastAsia="Spectral"/>
          <w:color w:val="132338"/>
        </w:rPr>
        <w:tab/>
      </w:r>
      <w:r>
        <w:rPr>
          <w:rFonts w:ascii="Spectral" w:hAnsi="Spectral" w:eastAsia="Spectral"/>
          <w:color w:val="132338"/>
        </w:rPr>
        <w:t xml:space="preserve">4.5 Search and Indexing (SEARCH)</w:t>
      </w:r>
    </w:p>
    <w:p>
      <w:pPr>
        <w:pStyle w:val="FirstParagraph"/>
      </w:pPr>
      <w:r>
        <w:rPr>
          <w:b/>
          <w:bCs/>
        </w:rPr>
        <w:t xml:space="preserve">FR-SEARCH-001</w:t>
      </w:r>
      <w:r>
        <w:t xml:space="preserve"> </w:t>
      </w:r>
      <w:r>
        <w:t xml:space="preserve">(MVP — Code/test evidence): When the user types a metadata query, the system shall return results while typing within the NFR-OGMA-003 budget (150 ms at P95) on a 2,000-book corpus.</w:t>
      </w:r>
    </w:p>
    <w:p>
      <w:pPr>
        <w:pStyle w:val="Compact"/>
        <w:numPr>
          <w:ilvl w:val="0"/>
          <w:numId w:val="1050"/>
        </w:numPr>
      </w:pPr>
      <w:r>
        <w:t xml:space="preserve">Oracle: a query-replay benchmark over the</w:t>
      </w:r>
      <w:r>
        <w:t xml:space="preserve"> </w:t>
      </w:r>
      <w:r>
        <w:rPr>
          <w:rStyle w:val="VerbatimChar"/>
        </w:rPr>
        <w:t xml:space="preserve">gc-perf-2000</w:t>
      </w:r>
      <w:r>
        <w:t xml:space="preserve"> </w:t>
      </w:r>
      <w:r>
        <w:t xml:space="preserve">corpus reports P95 at or below 150 ms on W-REF-01 (formal acceptance at Phase 20; pre-Phase 20 measurements are trend-only).</w:t>
      </w:r>
    </w:p>
    <w:p>
      <w:pPr>
        <w:pStyle w:val="Compact"/>
        <w:numPr>
          <w:ilvl w:val="0"/>
          <w:numId w:val="1050"/>
        </w:numPr>
      </w:pPr>
      <w:r>
        <w:t xml:space="preserve">Traces: BG-002; verified by:</w:t>
      </w:r>
      <w:r>
        <w:t xml:space="preserve"> </w:t>
      </w:r>
      <w:r>
        <w:rPr>
          <w:rStyle w:val="VerbatimChar"/>
        </w:rPr>
        <w:t xml:space="preserve">MetadataSearchServiceTests</w:t>
      </w:r>
      <w:r>
        <w:t xml:space="preserve">.</w:t>
      </w:r>
    </w:p>
    <w:p>
      <w:pPr>
        <w:pStyle w:val="FirstParagraph"/>
      </w:pPr>
      <w:r>
        <w:rPr>
          <w:b/>
          <w:bCs/>
        </w:rPr>
        <w:t xml:space="preserve">FR-SEARCH-002</w:t>
      </w:r>
      <w:r>
        <w:t xml:space="preserve"> </w:t>
      </w:r>
      <w:r>
        <w:t xml:space="preserve">(V1 — Code/test evidence): When indexing runs, the system shall maintain an FTS5 index covering extracted text, notes, tags, descriptions, and tables of contents.</w:t>
      </w:r>
    </w:p>
    <w:p>
      <w:pPr>
        <w:pStyle w:val="Compact"/>
        <w:numPr>
          <w:ilvl w:val="0"/>
          <w:numId w:val="1051"/>
        </w:numPr>
      </w:pPr>
      <w:r>
        <w:t xml:space="preserve">Oracle: a term present only in each listed source is found by full-text search after indexing; the index manager reports source coverage.</w:t>
      </w:r>
    </w:p>
    <w:p>
      <w:pPr>
        <w:pStyle w:val="Compact"/>
        <w:numPr>
          <w:ilvl w:val="0"/>
          <w:numId w:val="1051"/>
        </w:numPr>
      </w:pPr>
      <w:r>
        <w:t xml:space="preserve">Traces: BG-002; verified by:</w:t>
      </w:r>
      <w:r>
        <w:t xml:space="preserve"> </w:t>
      </w:r>
      <w:r>
        <w:rPr>
          <w:rStyle w:val="VerbatimChar"/>
        </w:rPr>
        <w:t xml:space="preserve">FtsIndexServiceTests</w:t>
      </w:r>
      <w:r>
        <w:t xml:space="preserve"> </w:t>
      </w:r>
      <w:r>
        <w:t xml:space="preserve">(implementation:</w:t>
      </w:r>
      <w:r>
        <w:t xml:space="preserve"> </w:t>
      </w:r>
      <w:r>
        <w:rPr>
          <w:rStyle w:val="VerbatimChar"/>
        </w:rPr>
        <w:t xml:space="preserve">FtsIndexService</w:t>
      </w:r>
      <w:r>
        <w:t xml:space="preserve">).</w:t>
      </w:r>
    </w:p>
    <w:p>
      <w:pPr>
        <w:pStyle w:val="FirstParagraph"/>
      </w:pPr>
      <w:r>
        <w:rPr>
          <w:b/>
          <w:bCs/>
        </w:rPr>
        <w:t xml:space="preserve">FR-SEARCH-003</w:t>
      </w:r>
      <w:r>
        <w:t xml:space="preserve"> </w:t>
      </w:r>
      <w:r>
        <w:t xml:space="preserve">(V1 — Code/test evidence): When search returns a result, the system shall state its match location as one of title, author, note, text-page, or semantic hit.</w:t>
      </w:r>
    </w:p>
    <w:p>
      <w:pPr>
        <w:pStyle w:val="Compact"/>
        <w:numPr>
          <w:ilvl w:val="0"/>
          <w:numId w:val="1052"/>
        </w:numPr>
      </w:pPr>
      <w:r>
        <w:t xml:space="preserve">Oracle: for a query matching in each location type, every result row displays the correct label.</w:t>
      </w:r>
    </w:p>
    <w:p>
      <w:pPr>
        <w:pStyle w:val="Compact"/>
        <w:numPr>
          <w:ilvl w:val="0"/>
          <w:numId w:val="1052"/>
        </w:numPr>
      </w:pPr>
      <w:r>
        <w:t xml:space="preserve">Traces: BG-002; verified by:</w:t>
      </w:r>
      <w:r>
        <w:t xml:space="preserve"> </w:t>
      </w:r>
      <w:r>
        <w:rPr>
          <w:rStyle w:val="VerbatimChar"/>
        </w:rPr>
        <w:t xml:space="preserve">MatchLocationServiceTests</w:t>
      </w:r>
      <w:r>
        <w:t xml:space="preserve">.</w:t>
      </w:r>
    </w:p>
    <w:p>
      <w:pPr>
        <w:pStyle w:val="FirstParagraph"/>
      </w:pPr>
      <w:r>
        <w:rPr>
          <w:b/>
          <w:bCs/>
        </w:rPr>
        <w:t xml:space="preserve">FR-SEARCH-004</w:t>
      </w:r>
      <w:r>
        <w:t xml:space="preserve"> </w:t>
      </w:r>
      <w:r>
        <w:t xml:space="preserve">(V1 — Code/test evidence): When the user submits a natural-language query, the system shall return semantically matching books through embedding search.</w:t>
      </w:r>
    </w:p>
    <w:p>
      <w:pPr>
        <w:pStyle w:val="Compact"/>
        <w:numPr>
          <w:ilvl w:val="0"/>
          <w:numId w:val="1053"/>
        </w:numPr>
      </w:pPr>
      <w:r>
        <w:t xml:space="preserve">Oracle: a fixed natural-language query whose intent matches a fixture book lacking the literal terms returns that book among the ranked semantic results, reproducibly for a fixed corpus and embedding model.</w:t>
      </w:r>
    </w:p>
    <w:p>
      <w:pPr>
        <w:pStyle w:val="Compact"/>
        <w:numPr>
          <w:ilvl w:val="0"/>
          <w:numId w:val="1053"/>
        </w:numPr>
      </w:pPr>
      <w:r>
        <w:t xml:space="preserve">Traces: BG-002, BG-003; verified by:</w:t>
      </w:r>
      <w:r>
        <w:t xml:space="preserve"> </w:t>
      </w:r>
      <w:r>
        <w:rPr>
          <w:rStyle w:val="VerbatimChar"/>
        </w:rPr>
        <w:t xml:space="preserve">SemanticSearchServiceTests</w:t>
      </w:r>
      <w:r>
        <w:t xml:space="preserve">,</w:t>
      </w:r>
      <w:r>
        <w:t xml:space="preserve"> </w:t>
      </w:r>
      <w:r>
        <w:rPr>
          <w:rStyle w:val="VerbatimChar"/>
        </w:rPr>
        <w:t xml:space="preserve">CosineSimilarityServiceTests</w:t>
      </w:r>
      <w:r>
        <w:t xml:space="preserve"> </w:t>
      </w:r>
      <w:r>
        <w:t xml:space="preserve">(implementation:</w:t>
      </w:r>
      <w:r>
        <w:t xml:space="preserve"> </w:t>
      </w:r>
      <w:r>
        <w:rPr>
          <w:rStyle w:val="VerbatimChar"/>
        </w:rPr>
        <w:t xml:space="preserve">SemanticSearchService</w:t>
      </w:r>
      <w:r>
        <w:t xml:space="preserve">).</w:t>
      </w:r>
    </w:p>
    <w:p>
      <w:pPr>
        <w:pStyle w:val="FirstParagraph"/>
      </w:pPr>
      <w:r>
        <w:rPr>
          <w:b/>
          <w:bCs/>
        </w:rPr>
        <w:t xml:space="preserve">FR-SEARCH-005</w:t>
      </w:r>
      <w:r>
        <w:t xml:space="preserve"> </w:t>
      </w:r>
      <w:r>
        <w:t xml:space="preserve">(V1 — Code/test evidence): When hybrid search runs, the system shall produce a ranking that blends exact match, recency, reading status, rating, and semantic similarity per the documented weighting.</w:t>
      </w:r>
    </w:p>
    <w:p>
      <w:pPr>
        <w:pStyle w:val="Compact"/>
        <w:numPr>
          <w:ilvl w:val="0"/>
          <w:numId w:val="1054"/>
        </w:numPr>
      </w:pPr>
      <w:r>
        <w:t xml:space="preserve">Oracle: a fixed query against a fixed corpus produces a deterministic ranked order reflecting each signal; the order is reproducible across runs.</w:t>
      </w:r>
    </w:p>
    <w:p>
      <w:pPr>
        <w:pStyle w:val="Compact"/>
        <w:numPr>
          <w:ilvl w:val="0"/>
          <w:numId w:val="1054"/>
        </w:numPr>
      </w:pPr>
      <w:r>
        <w:t xml:space="preserve">Traces: BG-002, BG-003; verified by:</w:t>
      </w:r>
      <w:r>
        <w:t xml:space="preserve"> </w:t>
      </w:r>
      <w:r>
        <w:rPr>
          <w:rStyle w:val="VerbatimChar"/>
        </w:rPr>
        <w:t xml:space="preserve">HybridRankingServiceTests</w:t>
      </w:r>
      <w:r>
        <w:t xml:space="preserve"> </w:t>
      </w:r>
      <w:r>
        <w:t xml:space="preserve">(implementation:</w:t>
      </w:r>
      <w:r>
        <w:t xml:space="preserve"> </w:t>
      </w:r>
      <w:r>
        <w:rPr>
          <w:rStyle w:val="VerbatimChar"/>
        </w:rPr>
        <w:t xml:space="preserve">HybridRankingService</w:t>
      </w:r>
      <w:r>
        <w:t xml:space="preserve">).</w:t>
      </w:r>
    </w:p>
    <w:p>
      <w:pPr>
        <w:pStyle w:val="FirstParagraph"/>
      </w:pPr>
      <w:r>
        <w:rPr>
          <w:b/>
          <w:bCs/>
        </w:rPr>
        <w:t xml:space="preserve">FR-SEARCH-006</w:t>
      </w:r>
      <w:r>
        <w:t xml:space="preserve"> </w:t>
      </w:r>
      <w:r>
        <w:t xml:space="preserve">(V1 — Code/test evidence): When the user opens the index manager, the system shall display indexing progress, indexed-book count, pending OCR, failed extractions, and index size.</w:t>
      </w:r>
    </w:p>
    <w:p>
      <w:pPr>
        <w:pStyle w:val="Compact"/>
        <w:numPr>
          <w:ilvl w:val="0"/>
          <w:numId w:val="1055"/>
        </w:numPr>
      </w:pPr>
      <w:r>
        <w:t xml:space="preserve">Oracle: each figure is displayed and reconciles with the underlying index state for a known fixture.</w:t>
      </w:r>
    </w:p>
    <w:p>
      <w:pPr>
        <w:pStyle w:val="Compact"/>
        <w:numPr>
          <w:ilvl w:val="0"/>
          <w:numId w:val="1055"/>
        </w:numPr>
      </w:pPr>
      <w:r>
        <w:t xml:space="preserve">Traces: BG-002; verified by:</w:t>
      </w:r>
      <w:r>
        <w:t xml:space="preserve"> </w:t>
      </w:r>
      <w:r>
        <w:rPr>
          <w:rStyle w:val="VerbatimChar"/>
        </w:rPr>
        <w:t xml:space="preserve">IndexManagerServiceTests</w:t>
      </w:r>
      <w:r>
        <w:t xml:space="preserve"> </w:t>
      </w:r>
      <w:r>
        <w:t xml:space="preserve">(implementation:</w:t>
      </w:r>
      <w:r>
        <w:t xml:space="preserve"> </w:t>
      </w:r>
      <w:r>
        <w:rPr>
          <w:rStyle w:val="VerbatimChar"/>
        </w:rPr>
        <w:t xml:space="preserve">IndexManagerService</w:t>
      </w:r>
      <w:r>
        <w:t xml:space="preserve">).</w:t>
      </w:r>
    </w:p>
    <w:bookmarkEnd w:id="34"/>
    <w:bookmarkStart w:id="35" w:name="X6b4bb56a8e3dc03c9f783966863cf150d489a61"/>
    <w:p>
      <w:pPr>
        <w:pStyle w:val="Heading2"/>
      </w:pPr>
      <w:r>
        <w:rPr>
          <w:rStyle w:val="SectionNumber"/>
          <w:rFonts w:ascii="Spectral" w:hAnsi="Spectral" w:eastAsia="Spectral"/>
          <w:color w:val="132338"/>
        </w:rPr>
        <w:t xml:space="preserve">5.6</w:t>
      </w:r>
      <w:r>
        <w:rPr>
          <w:rFonts w:ascii="Spectral" w:hAnsi="Spectral" w:eastAsia="Spectral"/>
          <w:color w:val="132338"/>
        </w:rPr>
        <w:tab/>
      </w:r>
      <w:r>
        <w:rPr>
          <w:rFonts w:ascii="Spectral" w:hAnsi="Spectral" w:eastAsia="Spectral"/>
          <w:color w:val="132338"/>
        </w:rPr>
        <w:t xml:space="preserve">4.6 AI Advisor (AI)</w:t>
      </w:r>
    </w:p>
    <w:p>
      <w:pPr>
        <w:pStyle w:val="FirstParagraph"/>
      </w:pPr>
      <w:r>
        <w:rPr>
          <w:b/>
          <w:bCs/>
        </w:rPr>
        <w:t xml:space="preserve">FR-AI-001</w:t>
      </w:r>
      <w:r>
        <w:t xml:space="preserve"> </w:t>
      </w:r>
      <w:r>
        <w:t xml:space="preserve">(MVP — Code/test evidence): When the user disables AI, the system shall require no provider key and shall block no core reading function; the default provider is the disabled provider.</w:t>
      </w:r>
    </w:p>
    <w:p>
      <w:pPr>
        <w:pStyle w:val="Compact"/>
        <w:numPr>
          <w:ilvl w:val="0"/>
          <w:numId w:val="1056"/>
        </w:numPr>
      </w:pPr>
      <w:r>
        <w:t xml:space="preserve">Oracle: with AI disabled and no key configured, every LIB, CAT, META, READ, and SEARCH MVP function operates;</w:t>
      </w:r>
      <w:r>
        <w:t xml:space="preserve"> </w:t>
      </w:r>
      <w:r>
        <w:rPr>
          <w:rStyle w:val="VerbatimChar"/>
        </w:rPr>
        <w:t xml:space="preserve">AiDisabledProvider</w:t>
      </w:r>
      <w:r>
        <w:t xml:space="preserve"> </w:t>
      </w:r>
      <w:r>
        <w:t xml:space="preserve">is the resolved provider.</w:t>
      </w:r>
    </w:p>
    <w:p>
      <w:pPr>
        <w:pStyle w:val="Compact"/>
        <w:numPr>
          <w:ilvl w:val="0"/>
          <w:numId w:val="1056"/>
        </w:numPr>
      </w:pPr>
      <w:r>
        <w:t xml:space="preserve">Traces: BG-005; verified by:</w:t>
      </w:r>
      <w:r>
        <w:t xml:space="preserve"> </w:t>
      </w:r>
      <w:r>
        <w:rPr>
          <w:rStyle w:val="VerbatimChar"/>
        </w:rPr>
        <w:t xml:space="preserve">AiGatewayTests</w:t>
      </w:r>
      <w:r>
        <w:t xml:space="preserve">.</w:t>
      </w:r>
    </w:p>
    <w:p>
      <w:pPr>
        <w:pStyle w:val="FirstParagraph"/>
      </w:pPr>
      <w:r>
        <w:rPr>
          <w:b/>
          <w:bCs/>
        </w:rPr>
        <w:t xml:space="preserve">FR-AI-002</w:t>
      </w:r>
      <w:r>
        <w:t xml:space="preserve"> </w:t>
      </w:r>
      <w:r>
        <w:t xml:space="preserve">(MVP — Code/test evidence): When the user selects an AI provider (OpenAI-compatible, Anthropic-compatible, DeepSeek-compatible, or Ollama local), the system shall route all calls through the single</w:t>
      </w:r>
      <w:r>
        <w:t xml:space="preserve"> </w:t>
      </w:r>
      <w:r>
        <w:rPr>
          <w:rStyle w:val="VerbatimChar"/>
        </w:rPr>
        <w:t xml:space="preserve">IAiProvider</w:t>
      </w:r>
      <w:r>
        <w:t xml:space="preserve"> </w:t>
      </w:r>
      <w:r>
        <w:t xml:space="preserve">contract.</w:t>
      </w:r>
    </w:p>
    <w:p>
      <w:pPr>
        <w:pStyle w:val="Compact"/>
        <w:numPr>
          <w:ilvl w:val="0"/>
          <w:numId w:val="1057"/>
        </w:numPr>
      </w:pPr>
      <w:r>
        <w:t xml:space="preserve">Oracle: each provider selection routes through the gateway; switching providers requires no change outside provider configuration.</w:t>
      </w:r>
    </w:p>
    <w:p>
      <w:pPr>
        <w:pStyle w:val="Compact"/>
        <w:numPr>
          <w:ilvl w:val="0"/>
          <w:numId w:val="1057"/>
        </w:numPr>
      </w:pPr>
      <w:r>
        <w:t xml:space="preserve">Traces: BG-003; verified by:</w:t>
      </w:r>
      <w:r>
        <w:t xml:space="preserve"> </w:t>
      </w:r>
      <w:r>
        <w:rPr>
          <w:rStyle w:val="VerbatimChar"/>
        </w:rPr>
        <w:t xml:space="preserve">AiProviderAdapterTests</w:t>
      </w:r>
      <w:r>
        <w:t xml:space="preserve">,</w:t>
      </w:r>
      <w:r>
        <w:t xml:space="preserve"> </w:t>
      </w:r>
      <w:r>
        <w:rPr>
          <w:rStyle w:val="VerbatimChar"/>
        </w:rPr>
        <w:t xml:space="preserve">AiContractTests</w:t>
      </w:r>
      <w:r>
        <w:t xml:space="preserve">.</w:t>
      </w:r>
    </w:p>
    <w:p>
      <w:pPr>
        <w:pStyle w:val="FirstParagraph"/>
      </w:pPr>
      <w:r>
        <w:rPr>
          <w:b/>
          <w:bCs/>
        </w:rPr>
        <w:t xml:space="preserve">FR-AI-003</w:t>
      </w:r>
      <w:r>
        <w:t xml:space="preserve"> </w:t>
      </w:r>
      <w:r>
        <w:t xml:space="preserve">(MVP — Code/test evidence): When the user states an intent, the system shall recommend books drawn only from the catalogued collection, as ranked cards each carrying an explanation and a confidence value.</w:t>
      </w:r>
    </w:p>
    <w:p>
      <w:pPr>
        <w:pStyle w:val="Compact"/>
        <w:numPr>
          <w:ilvl w:val="0"/>
          <w:numId w:val="1058"/>
        </w:numPr>
      </w:pPr>
      <w:r>
        <w:t xml:space="preserve">Oracle (structural, deterministic): every returned card references a catalogued book, carries a non-empty explanation naming the matching field or content, and a confidence value within [0, 1]. Recommendation relevance quality is assessed separately by the Phase 13 AI evaluation harness, not by this oracle.</w:t>
      </w:r>
    </w:p>
    <w:p>
      <w:pPr>
        <w:pStyle w:val="Compact"/>
        <w:numPr>
          <w:ilvl w:val="0"/>
          <w:numId w:val="1058"/>
        </w:numPr>
      </w:pPr>
      <w:r>
        <w:t xml:space="preserve">Traces: BG-003; verified by:</w:t>
      </w:r>
      <w:r>
        <w:t xml:space="preserve"> </w:t>
      </w:r>
      <w:r>
        <w:rPr>
          <w:rStyle w:val="VerbatimChar"/>
        </w:rPr>
        <w:t xml:space="preserve">AdvisorServiceTests</w:t>
      </w:r>
      <w:r>
        <w:t xml:space="preserve">,</w:t>
      </w:r>
      <w:r>
        <w:t xml:space="preserve"> </w:t>
      </w:r>
      <w:r>
        <w:rPr>
          <w:rStyle w:val="VerbatimChar"/>
        </w:rPr>
        <w:t xml:space="preserve">RecommendationPipelineTests</w:t>
      </w:r>
      <w:r>
        <w:t xml:space="preserve">,</w:t>
      </w:r>
      <w:r>
        <w:t xml:space="preserve"> </w:t>
      </w:r>
      <w:r>
        <w:rPr>
          <w:rStyle w:val="VerbatimChar"/>
        </w:rPr>
        <w:t xml:space="preserve">Phase13EvaluationHarnessTests</w:t>
      </w:r>
      <w:r>
        <w:t xml:space="preserve">.</w:t>
      </w:r>
    </w:p>
    <w:p>
      <w:pPr>
        <w:pStyle w:val="FirstParagraph"/>
      </w:pPr>
      <w:r>
        <w:rPr>
          <w:b/>
          <w:bCs/>
        </w:rPr>
        <w:t xml:space="preserve">FR-AI-004</w:t>
      </w:r>
      <w:r>
        <w:t xml:space="preserve"> </w:t>
      </w:r>
      <w:r>
        <w:t xml:space="preserve">(MVP — Code/test evidence): When cloud AI is enabled in the default metadata-only mode, the system shall send only title, author, tags, categories, descriptions, and notes off-device.</w:t>
      </w:r>
    </w:p>
    <w:p>
      <w:pPr>
        <w:pStyle w:val="Compact"/>
        <w:numPr>
          <w:ilvl w:val="0"/>
          <w:numId w:val="1059"/>
        </w:numPr>
      </w:pPr>
      <w:r>
        <w:t xml:space="preserve">Oracle: a captured outbound payload in metadata-only mode contains only the listed fields and no document content (NFR-PROD-011).</w:t>
      </w:r>
    </w:p>
    <w:p>
      <w:pPr>
        <w:pStyle w:val="Compact"/>
        <w:numPr>
          <w:ilvl w:val="0"/>
          <w:numId w:val="1059"/>
        </w:numPr>
      </w:pPr>
      <w:r>
        <w:t xml:space="preserve">Traces: BG-005; verified by:</w:t>
      </w:r>
      <w:r>
        <w:t xml:space="preserve"> </w:t>
      </w:r>
      <w:r>
        <w:rPr>
          <w:rStyle w:val="VerbatimChar"/>
        </w:rPr>
        <w:t xml:space="preserve">AiGatewayIntegrationTests</w:t>
      </w:r>
      <w:r>
        <w:t xml:space="preserve">,</w:t>
      </w:r>
      <w:r>
        <w:t xml:space="preserve"> </w:t>
      </w:r>
      <w:r>
        <w:rPr>
          <w:rStyle w:val="VerbatimChar"/>
        </w:rPr>
        <w:t xml:space="preserve">PayloadPreviewViewModelTests</w:t>
      </w:r>
      <w:r>
        <w:t xml:space="preserve">.</w:t>
      </w:r>
    </w:p>
    <w:p>
      <w:pPr>
        <w:pStyle w:val="FirstParagraph"/>
      </w:pPr>
      <w:r>
        <w:rPr>
          <w:b/>
          <w:bCs/>
        </w:rPr>
        <w:t xml:space="preserve">FR-AI-005</w:t>
      </w:r>
      <w:r>
        <w:t xml:space="preserve"> </w:t>
      </w:r>
      <w:r>
        <w:t xml:space="preserve">(V1 — Code/test evidence): When content-aware mode is requested, the system shall require explicit opt-in per library or per query and shall show a privacy label and previewed payload before any content chunk is sent.</w:t>
      </w:r>
    </w:p>
    <w:p>
      <w:pPr>
        <w:pStyle w:val="Compact"/>
        <w:numPr>
          <w:ilvl w:val="0"/>
          <w:numId w:val="1060"/>
        </w:numPr>
      </w:pPr>
      <w:r>
        <w:t xml:space="preserve">Oracle: a content-aware request is blocked until opt-in is recorded; absent opt-in, no content chunk leaves the device.</w:t>
      </w:r>
    </w:p>
    <w:p>
      <w:pPr>
        <w:pStyle w:val="Compact"/>
        <w:numPr>
          <w:ilvl w:val="0"/>
          <w:numId w:val="1060"/>
        </w:numPr>
      </w:pPr>
      <w:r>
        <w:t xml:space="preserve">Traces: BG-005; verified by:</w:t>
      </w:r>
      <w:r>
        <w:t xml:space="preserve"> </w:t>
      </w:r>
      <w:r>
        <w:rPr>
          <w:rStyle w:val="VerbatimChar"/>
        </w:rPr>
        <w:t xml:space="preserve">PayloadPreviewViewModelTests</w:t>
      </w:r>
      <w:r>
        <w:t xml:space="preserve">,</w:t>
      </w:r>
      <w:r>
        <w:t xml:space="preserve"> </w:t>
      </w:r>
      <w:r>
        <w:rPr>
          <w:rStyle w:val="VerbatimChar"/>
        </w:rPr>
        <w:t xml:space="preserve">AiGatewayIntegrationTests</w:t>
      </w:r>
      <w:r>
        <w:t xml:space="preserve">.</w:t>
      </w:r>
    </w:p>
    <w:p>
      <w:pPr>
        <w:pStyle w:val="FirstParagraph"/>
      </w:pPr>
      <w:r>
        <w:rPr>
          <w:b/>
          <w:bCs/>
        </w:rPr>
        <w:t xml:space="preserve">FR-AI-006</w:t>
      </w:r>
      <w:r>
        <w:t xml:space="preserve"> </w:t>
      </w:r>
      <w:r>
        <w:t xml:space="preserve">(V1 — Code/test evidence): When the local embedding path (Ollama) is active, the system shall generate embeddings and serve semantic search without any off-device request.</w:t>
      </w:r>
    </w:p>
    <w:p>
      <w:pPr>
        <w:pStyle w:val="Compact"/>
        <w:numPr>
          <w:ilvl w:val="0"/>
          <w:numId w:val="1061"/>
        </w:numPr>
      </w:pPr>
      <w:r>
        <w:t xml:space="preserve">Oracle: with the network interface disabled, embedding generation and semantic search complete and the egress monitor records 0 off-device requests.</w:t>
      </w:r>
    </w:p>
    <w:p>
      <w:pPr>
        <w:pStyle w:val="Compact"/>
        <w:numPr>
          <w:ilvl w:val="0"/>
          <w:numId w:val="1061"/>
        </w:numPr>
      </w:pPr>
      <w:r>
        <w:t xml:space="preserve">Traces: BG-003, BG-005; verified by:</w:t>
      </w:r>
      <w:r>
        <w:t xml:space="preserve"> </w:t>
      </w:r>
      <w:r>
        <w:rPr>
          <w:rStyle w:val="VerbatimChar"/>
        </w:rPr>
        <w:t xml:space="preserve">EmbeddingGenerationServiceTests</w:t>
      </w:r>
      <w:r>
        <w:t xml:space="preserve">,</w:t>
      </w:r>
      <w:r>
        <w:t xml:space="preserve"> </w:t>
      </w:r>
      <w:r>
        <w:rPr>
          <w:rStyle w:val="VerbatimChar"/>
        </w:rPr>
        <w:t xml:space="preserve">EmbeddingGenerationWorkerTests</w:t>
      </w:r>
      <w:r>
        <w:t xml:space="preserve">.</w:t>
      </w:r>
    </w:p>
    <w:p>
      <w:pPr>
        <w:pStyle w:val="FirstParagraph"/>
      </w:pPr>
      <w:r>
        <w:rPr>
          <w:b/>
          <w:bCs/>
        </w:rPr>
        <w:t xml:space="preserve">FR-AI-007</w:t>
      </w:r>
      <w:r>
        <w:t xml:space="preserve"> </w:t>
      </w:r>
      <w:r>
        <w:t xml:space="preserve">(V1 — Code/test evidence): When the user requests a reading plan, the system shall return an ordered sequence of catalogued books with a rationale per step, an estimated difficulty, and checkpoints.</w:t>
      </w:r>
    </w:p>
    <w:p>
      <w:pPr>
        <w:pStyle w:val="Compact"/>
        <w:numPr>
          <w:ilvl w:val="0"/>
          <w:numId w:val="1062"/>
        </w:numPr>
      </w:pPr>
      <w:r>
        <w:t xml:space="preserve">Oracle (structural, deterministic): the response contains all 4 named elements and every sequenced book is catalogued. Pedagogical quality is assessed by the Phase 13 AI evaluation harness, not by this oracle.</w:t>
      </w:r>
    </w:p>
    <w:p>
      <w:pPr>
        <w:pStyle w:val="Compact"/>
        <w:numPr>
          <w:ilvl w:val="0"/>
          <w:numId w:val="1062"/>
        </w:numPr>
      </w:pPr>
      <w:r>
        <w:t xml:space="preserve">Traces: BG-003; verified by:</w:t>
      </w:r>
      <w:r>
        <w:t xml:space="preserve"> </w:t>
      </w:r>
      <w:r>
        <w:rPr>
          <w:rStyle w:val="VerbatimChar"/>
        </w:rPr>
        <w:t xml:space="preserve">ReadingPlanPipelineTests</w:t>
      </w:r>
      <w:r>
        <w:t xml:space="preserve">.</w:t>
      </w:r>
    </w:p>
    <w:p>
      <w:pPr>
        <w:pStyle w:val="FirstParagraph"/>
      </w:pPr>
      <w:r>
        <w:rPr>
          <w:b/>
          <w:bCs/>
        </w:rPr>
        <w:t xml:space="preserve">FR-AI-008</w:t>
      </w:r>
      <w:r>
        <w:t xml:space="preserve"> </w:t>
      </w:r>
      <w:r>
        <w:t xml:space="preserve">(V2 — Not started): When AI answer mode is used, the system shall cite local evidence — book title, page or chunk reference, and confidence — for each answer.</w:t>
      </w:r>
    </w:p>
    <w:p>
      <w:pPr>
        <w:pStyle w:val="Compact"/>
        <w:numPr>
          <w:ilvl w:val="0"/>
          <w:numId w:val="1063"/>
        </w:numPr>
      </w:pPr>
      <w:r>
        <w:t xml:space="preserve">Oracle: an answer-mode response carries at least 1 citation naming a catalogued book, a page or chunk reference, and a confidence value.</w:t>
      </w:r>
    </w:p>
    <w:p>
      <w:pPr>
        <w:pStyle w:val="Compact"/>
        <w:numPr>
          <w:ilvl w:val="0"/>
          <w:numId w:val="1063"/>
        </w:numPr>
      </w:pPr>
      <w:r>
        <w:t xml:space="preserve">Traces: BG-003; verified by: planned TC-AI-008 (deliberate</w:t>
      </w:r>
      <w:r>
        <w:t xml:space="preserve"> </w:t>
      </w:r>
      <w:r>
        <w:rPr>
          <w:rStyle w:val="VerbatimChar"/>
        </w:rPr>
        <w:t xml:space="preserve">NotImplementedException</w:t>
      </w:r>
      <w:r>
        <w:t xml:space="preserve"> </w:t>
      </w:r>
      <w:r>
        <w:t xml:space="preserve">stub in</w:t>
      </w:r>
      <w:r>
        <w:t xml:space="preserve"> </w:t>
      </w:r>
      <w:r>
        <w:rPr>
          <w:rStyle w:val="VerbatimChar"/>
        </w:rPr>
        <w:t xml:space="preserve">AdvisorService</w:t>
      </w:r>
      <w:r>
        <w:t xml:space="preserve">; the classroom variant is FR-ADMIN-011).</w:t>
      </w:r>
    </w:p>
    <w:p>
      <w:pPr>
        <w:pStyle w:val="FirstParagraph"/>
      </w:pPr>
      <w:r>
        <w:rPr>
          <w:b/>
          <w:bCs/>
        </w:rPr>
        <w:t xml:space="preserve">FR-AI-009</w:t>
      </w:r>
      <w:r>
        <w:t xml:space="preserve"> </w:t>
      </w:r>
      <w:r>
        <w:t xml:space="preserve">(V1 — Code/test evidence): When the user deletes AI query history or disables retention, the system shall remove the history for the chosen scope and stop further recording.</w:t>
      </w:r>
    </w:p>
    <w:p>
      <w:pPr>
        <w:pStyle w:val="Compact"/>
        <w:numPr>
          <w:ilvl w:val="0"/>
          <w:numId w:val="1064"/>
        </w:numPr>
      </w:pPr>
      <w:r>
        <w:t xml:space="preserve">Oracle: a delete removes the scope's history rows; with retention disabled, subsequent queries record nothing (NFR-PROD-014).</w:t>
      </w:r>
    </w:p>
    <w:p>
      <w:pPr>
        <w:pStyle w:val="Compact"/>
        <w:numPr>
          <w:ilvl w:val="0"/>
          <w:numId w:val="1064"/>
        </w:numPr>
      </w:pPr>
      <w:r>
        <w:t xml:space="preserve">Traces: BG-005; verified by:</w:t>
      </w:r>
      <w:r>
        <w:t xml:space="preserve"> </w:t>
      </w:r>
      <w:r>
        <w:rPr>
          <w:rStyle w:val="VerbatimChar"/>
        </w:rPr>
        <w:t xml:space="preserve">AiPersistenceTests</w:t>
      </w:r>
      <w:r>
        <w:t xml:space="preserve">,</w:t>
      </w:r>
      <w:r>
        <w:t xml:space="preserve"> </w:t>
      </w:r>
      <w:r>
        <w:rPr>
          <w:rStyle w:val="VerbatimChar"/>
        </w:rPr>
        <w:t xml:space="preserve">EmbeddingErasureTests</w:t>
      </w:r>
      <w:r>
        <w:t xml:space="preserve">.</w:t>
      </w:r>
    </w:p>
    <w:p>
      <w:pPr>
        <w:pStyle w:val="FirstParagraph"/>
      </w:pPr>
      <w:r>
        <w:rPr>
          <w:b/>
          <w:bCs/>
        </w:rPr>
        <w:t xml:space="preserve">FR-AI-010</w:t>
      </w:r>
      <w:r>
        <w:t xml:space="preserve"> </w:t>
      </w:r>
      <w:r>
        <w:t xml:space="preserve">(V1 — Code/test evidence): When a cloud call completes, the system shall record and display the model identifier, token or unit usage, and an estimated cost that reconciles with the provider response.</w:t>
      </w:r>
    </w:p>
    <w:p>
      <w:pPr>
        <w:pStyle w:val="Compact"/>
        <w:numPr>
          <w:ilvl w:val="0"/>
          <w:numId w:val="1065"/>
        </w:numPr>
      </w:pPr>
      <w:r>
        <w:t xml:space="preserve">Oracle: each cloud call's displayed usage equals the provider-reported usage; the cost estimate applies the configured price table to that usage.</w:t>
      </w:r>
    </w:p>
    <w:p>
      <w:pPr>
        <w:pStyle w:val="Compact"/>
        <w:numPr>
          <w:ilvl w:val="0"/>
          <w:numId w:val="1065"/>
        </w:numPr>
      </w:pPr>
      <w:r>
        <w:t xml:space="preserve">Traces: BG-003, BG-005; verified by:</w:t>
      </w:r>
      <w:r>
        <w:t xml:space="preserve"> </w:t>
      </w:r>
      <w:r>
        <w:rPr>
          <w:rStyle w:val="VerbatimChar"/>
        </w:rPr>
        <w:t xml:space="preserve">AiGatewayTests</w:t>
      </w:r>
      <w:r>
        <w:t xml:space="preserve">.</w:t>
      </w:r>
    </w:p>
    <w:p>
      <w:pPr>
        <w:pStyle w:val="FirstParagraph"/>
      </w:pPr>
      <w:r>
        <w:rPr>
          <w:b/>
          <w:bCs/>
        </w:rPr>
        <w:t xml:space="preserve">FR-AI-011</w:t>
      </w:r>
      <w:r>
        <w:t xml:space="preserve"> </w:t>
      </w:r>
      <w:r>
        <w:t xml:space="preserve">(V1 — Code/test evidence): When the user opens the Privacy Center, the system shall list provider keys, recent AI calls with exact payloads and per-call privacy tier, delete controls for history and embeddings, and an audit-log export.</w:t>
      </w:r>
    </w:p>
    <w:p>
      <w:pPr>
        <w:pStyle w:val="Compact"/>
        <w:numPr>
          <w:ilvl w:val="0"/>
          <w:numId w:val="1066"/>
        </w:numPr>
      </w:pPr>
      <w:r>
        <w:t xml:space="preserve">Oracle: after 1 metadata-only call, the Privacy Center shows that call with its exact payload and tier; the delete control removes it; the export contains the matching audit entries.</w:t>
      </w:r>
    </w:p>
    <w:p>
      <w:pPr>
        <w:pStyle w:val="Compact"/>
        <w:numPr>
          <w:ilvl w:val="0"/>
          <w:numId w:val="1066"/>
        </w:numPr>
      </w:pPr>
      <w:r>
        <w:t xml:space="preserve">Traces: BG-005; verified by:</w:t>
      </w:r>
      <w:r>
        <w:t xml:space="preserve"> </w:t>
      </w:r>
      <w:r>
        <w:rPr>
          <w:rStyle w:val="VerbatimChar"/>
        </w:rPr>
        <w:t xml:space="preserve">PrivacyCenterViewModelTests</w:t>
      </w:r>
      <w:r>
        <w:t xml:space="preserve">.</w:t>
      </w:r>
    </w:p>
    <w:bookmarkEnd w:id="35"/>
    <w:bookmarkStart w:id="36" w:name="X0a6d3ba9190c251e9aa6afa1af1e2737c327a89"/>
    <w:p>
      <w:pPr>
        <w:pStyle w:val="Heading2"/>
      </w:pPr>
      <w:r>
        <w:rPr>
          <w:rStyle w:val="SectionNumber"/>
          <w:rFonts w:ascii="Spectral" w:hAnsi="Spectral" w:eastAsia="Spectral"/>
          <w:color w:val="132338"/>
        </w:rPr>
        <w:t xml:space="preserve">5.7</w:t>
      </w:r>
      <w:r>
        <w:rPr>
          <w:rFonts w:ascii="Spectral" w:hAnsi="Spectral" w:eastAsia="Spectral"/>
          <w:color w:val="132338"/>
        </w:rPr>
        <w:tab/>
      </w:r>
      <w:r>
        <w:rPr>
          <w:rFonts w:ascii="Spectral" w:hAnsi="Spectral" w:eastAsia="Spectral"/>
          <w:color w:val="132338"/>
        </w:rPr>
        <w:t xml:space="preserve">4.7 LAN Library Host Mode (LAN)</w:t>
      </w:r>
    </w:p>
    <w:p>
      <w:pPr>
        <w:pStyle w:val="FirstParagraph"/>
      </w:pPr>
      <w:r>
        <w:t xml:space="preserve">The LAN module is V2 classroom scope, implemented in grand-plan Phase 16 (</w:t>
      </w:r>
      <w:r>
        <w:rPr>
          <w:rStyle w:val="VerbatimChar"/>
        </w:rPr>
        <w:t xml:space="preserve">KestrelHostModeListener</w:t>
      </w:r>
      <w:r>
        <w:t xml:space="preserve">; schema: migration</w:t>
      </w:r>
      <w:r>
        <w:t xml:space="preserve"> </w:t>
      </w:r>
      <w:r>
        <w:rPr>
          <w:rStyle w:val="VerbatimChar"/>
        </w:rPr>
        <w:t xml:space="preserve">Phase16LanHostTables</w:t>
      </w:r>
      <w:r>
        <w:t xml:space="preserve"> </w:t>
      </w:r>
      <w:r>
        <w:t xml:space="preserve">adding</w:t>
      </w:r>
      <w:r>
        <w:t xml:space="preserve"> </w:t>
      </w:r>
      <w:r>
        <w:rPr>
          <w:rStyle w:val="VerbatimChar"/>
        </w:rPr>
        <w:t xml:space="preserve">HostModeSettings</w:t>
      </w:r>
      <w:r>
        <w:t xml:space="preserve"> </w:t>
      </w:r>
      <w:r>
        <w:t xml:space="preserve">and</w:t>
      </w:r>
      <w:r>
        <w:t xml:space="preserve"> </w:t>
      </w:r>
      <w:r>
        <w:rPr>
          <w:rStyle w:val="VerbatimChar"/>
        </w:rPr>
        <w:t xml:space="preserve">HostClientSessions</w:t>
      </w:r>
      <w:r>
        <w:t xml:space="preserve">). Requirement wording follows</w:t>
      </w:r>
      <w:r>
        <w:t xml:space="preserve"> </w:t>
      </w:r>
      <w:r>
        <w:rPr>
          <w:rStyle w:val="VerbatimChar"/>
        </w:rPr>
        <w:t xml:space="preserve">_context/features.md</w:t>
      </w:r>
      <w:r>
        <w:t xml:space="preserve">; per-requirement verification detail is in</w:t>
      </w:r>
      <w:r>
        <w:t xml:space="preserve"> </w:t>
      </w:r>
      <w:r>
        <w:rPr>
          <w:rStyle w:val="VerbatimChar"/>
        </w:rPr>
        <w:t xml:space="preserve">docs/plans/grand-plan/phase-16/README.md</w:t>
      </w:r>
      <w:r>
        <w:t xml:space="preserve">.</w:t>
      </w:r>
    </w:p>
    <w:p>
      <w:pPr>
        <w:pStyle w:val="BodyText"/>
      </w:pPr>
      <w:r>
        <w:rPr>
          <w:b/>
          <w:bCs/>
        </w:rPr>
        <w:t xml:space="preserve">FR-LAN-001</w:t>
      </w:r>
      <w:r>
        <w:t xml:space="preserve"> </w:t>
      </w:r>
      <w:r>
        <w:t xml:space="preserve">(V2 — Code/test evidence): When an administrator enables host mode, the system shall start the inbound listener explicitly, reversibly, and with an audit entry; the default install shall run no inbound listener.</w:t>
      </w:r>
    </w:p>
    <w:p>
      <w:pPr>
        <w:pStyle w:val="Compact"/>
        <w:numPr>
          <w:ilvl w:val="0"/>
          <w:numId w:val="1067"/>
        </w:numPr>
      </w:pPr>
      <w:r>
        <w:t xml:space="preserve">Oracle: toggle on binds the listener; toggle off releases the port; each toggle writes an audit record; a default install binds no port.</w:t>
      </w:r>
    </w:p>
    <w:p>
      <w:pPr>
        <w:pStyle w:val="Compact"/>
        <w:numPr>
          <w:ilvl w:val="0"/>
          <w:numId w:val="1067"/>
        </w:numPr>
      </w:pPr>
      <w:r>
        <w:t xml:space="preserve">Traces: BG-002, BG-005; verified by:</w:t>
      </w:r>
      <w:r>
        <w:t xml:space="preserve"> </w:t>
      </w:r>
      <w:r>
        <w:rPr>
          <w:rStyle w:val="VerbatimChar"/>
        </w:rPr>
        <w:t xml:space="preserve">LanHostScaffoldTests</w:t>
      </w:r>
      <w:r>
        <w:t xml:space="preserve">,</w:t>
      </w:r>
      <w:r>
        <w:t xml:space="preserve"> </w:t>
      </w:r>
      <w:r>
        <w:rPr>
          <w:rStyle w:val="VerbatimChar"/>
        </w:rPr>
        <w:t xml:space="preserve">LanBindAddressSelectorTests</w:t>
      </w:r>
      <w:r>
        <w:t xml:space="preserve">.</w:t>
      </w:r>
    </w:p>
    <w:p>
      <w:pPr>
        <w:pStyle w:val="FirstParagraph"/>
      </w:pPr>
      <w:r>
        <w:rPr>
          <w:b/>
          <w:bCs/>
        </w:rPr>
        <w:t xml:space="preserve">FR-LAN-002</w:t>
      </w:r>
      <w:r>
        <w:t xml:space="preserve"> </w:t>
      </w:r>
      <w:r>
        <w:t xml:space="preserve">(V2 — Code/test evidence): When host mode is active, the system shall serve catalogue metadata and PDF content streams over TLS on the local network only.</w:t>
      </w:r>
    </w:p>
    <w:p>
      <w:pPr>
        <w:pStyle w:val="Compact"/>
        <w:numPr>
          <w:ilvl w:val="0"/>
          <w:numId w:val="1068"/>
        </w:numPr>
      </w:pPr>
      <w:r>
        <w:t xml:space="preserve">Oracle: catalogue and stream endpoints respond only over TLS on LAN-scoped bind addresses; a plaintext request is refused.</w:t>
      </w:r>
    </w:p>
    <w:p>
      <w:pPr>
        <w:pStyle w:val="Compact"/>
        <w:numPr>
          <w:ilvl w:val="0"/>
          <w:numId w:val="1068"/>
        </w:numPr>
      </w:pPr>
      <w:r>
        <w:t xml:space="preserve">Traces: BG-002, BG-005; verified by:</w:t>
      </w:r>
      <w:r>
        <w:t xml:space="preserve"> </w:t>
      </w:r>
      <w:r>
        <w:rPr>
          <w:rStyle w:val="VerbatimChar"/>
        </w:rPr>
        <w:t xml:space="preserve">LanHostEndpointTests</w:t>
      </w:r>
      <w:r>
        <w:t xml:space="preserve">,</w:t>
      </w:r>
      <w:r>
        <w:t xml:space="preserve"> </w:t>
      </w:r>
      <w:r>
        <w:rPr>
          <w:rStyle w:val="VerbatimChar"/>
        </w:rPr>
        <w:t xml:space="preserve">LanClientAddressPolicyTests</w:t>
      </w:r>
      <w:r>
        <w:t xml:space="preserve">.</w:t>
      </w:r>
    </w:p>
    <w:p>
      <w:pPr>
        <w:pStyle w:val="FirstParagraph"/>
      </w:pPr>
      <w:r>
        <w:rPr>
          <w:b/>
          <w:bCs/>
        </w:rPr>
        <w:t xml:space="preserve">FR-LAN-003</w:t>
      </w:r>
      <w:r>
        <w:t xml:space="preserve"> </w:t>
      </w:r>
      <w:r>
        <w:t xml:space="preserve">(V2 — Code/test evidence): When host mode is active, the system shall advertise the host via mDNS (</w:t>
      </w:r>
      <w:r>
        <w:rPr>
          <w:rStyle w:val="VerbatimChar"/>
        </w:rPr>
        <w:t xml:space="preserve">_ogma-library._tcp.local</w:t>
      </w:r>
      <w:r>
        <w:t xml:space="preserve">) so clients can discover it on the LAN.</w:t>
      </w:r>
    </w:p>
    <w:p>
      <w:pPr>
        <w:pStyle w:val="Compact"/>
        <w:numPr>
          <w:ilvl w:val="0"/>
          <w:numId w:val="1069"/>
        </w:numPr>
      </w:pPr>
      <w:r>
        <w:t xml:space="preserve">Oracle: the advertised service resolves on a test client; discovery lists the host by name.</w:t>
      </w:r>
    </w:p>
    <w:p>
      <w:pPr>
        <w:pStyle w:val="Compact"/>
        <w:numPr>
          <w:ilvl w:val="0"/>
          <w:numId w:val="1069"/>
        </w:numPr>
      </w:pPr>
      <w:r>
        <w:t xml:space="preserve">Traces: BG-002; verified by:</w:t>
      </w:r>
      <w:r>
        <w:t xml:space="preserve"> </w:t>
      </w:r>
      <w:r>
        <w:rPr>
          <w:rStyle w:val="VerbatimChar"/>
        </w:rPr>
        <w:t xml:space="preserve">MdnsAdvertiserTests</w:t>
      </w:r>
      <w:r>
        <w:t xml:space="preserve">,</w:t>
      </w:r>
      <w:r>
        <w:t xml:space="preserve"> </w:t>
      </w:r>
      <w:r>
        <w:rPr>
          <w:rStyle w:val="VerbatimChar"/>
        </w:rPr>
        <w:t xml:space="preserve">MdnsResolverTests</w:t>
      </w:r>
      <w:r>
        <w:t xml:space="preserve">,</w:t>
      </w:r>
      <w:r>
        <w:t xml:space="preserve"> </w:t>
      </w:r>
      <w:r>
        <w:rPr>
          <w:rStyle w:val="VerbatimChar"/>
        </w:rPr>
        <w:t xml:space="preserve">DiscoveryServiceTests</w:t>
      </w:r>
      <w:r>
        <w:t xml:space="preserve">.</w:t>
      </w:r>
    </w:p>
    <w:p>
      <w:pPr>
        <w:pStyle w:val="FirstParagraph"/>
      </w:pPr>
      <w:r>
        <w:rPr>
          <w:b/>
          <w:bCs/>
        </w:rPr>
        <w:t xml:space="preserve">FR-LAN-004</w:t>
      </w:r>
      <w:r>
        <w:t xml:space="preserve"> </w:t>
      </w:r>
      <w:r>
        <w:t xml:space="preserve">(V2 — Code/test evidence): When host mode first starts, the system shall provision a TLS certificate, and clients shall record it in a host trust store using trust-on-first-use with fingerprint display.</w:t>
      </w:r>
    </w:p>
    <w:p>
      <w:pPr>
        <w:pStyle w:val="Compact"/>
        <w:numPr>
          <w:ilvl w:val="0"/>
          <w:numId w:val="1070"/>
        </w:numPr>
      </w:pPr>
      <w:r>
        <w:t xml:space="preserve">Oracle: first start creates a valid certificate whose fingerprint matches the stored value; a client accepting it pins it; a subsequent different certificate is rejected with a warning.</w:t>
      </w:r>
    </w:p>
    <w:p>
      <w:pPr>
        <w:pStyle w:val="Compact"/>
        <w:numPr>
          <w:ilvl w:val="0"/>
          <w:numId w:val="1070"/>
        </w:numPr>
      </w:pPr>
      <w:r>
        <w:t xml:space="preserve">Traces: BG-005; verified by:</w:t>
      </w:r>
      <w:r>
        <w:t xml:space="preserve"> </w:t>
      </w:r>
      <w:r>
        <w:rPr>
          <w:rStyle w:val="VerbatimChar"/>
        </w:rPr>
        <w:t xml:space="preserve">LanHostCertificateProvisionerTests</w:t>
      </w:r>
      <w:r>
        <w:t xml:space="preserve">,</w:t>
      </w:r>
      <w:r>
        <w:t xml:space="preserve"> </w:t>
      </w:r>
      <w:r>
        <w:rPr>
          <w:rStyle w:val="VerbatimChar"/>
        </w:rPr>
        <w:t xml:space="preserve">HostTrustServiceTests</w:t>
      </w:r>
      <w:r>
        <w:t xml:space="preserve">.</w:t>
      </w:r>
    </w:p>
    <w:p>
      <w:pPr>
        <w:pStyle w:val="FirstParagraph"/>
      </w:pPr>
      <w:r>
        <w:rPr>
          <w:b/>
          <w:bCs/>
        </w:rPr>
        <w:t xml:space="preserve">FR-LAN-005</w:t>
      </w:r>
      <w:r>
        <w:t xml:space="preserve"> </w:t>
      </w:r>
      <w:r>
        <w:t xml:space="preserve">(V2 — Code/test evidence): When a client enrolls, the system shall authenticate it with per-profile credentials issued through join codes (QR).</w:t>
      </w:r>
    </w:p>
    <w:p>
      <w:pPr>
        <w:pStyle w:val="Compact"/>
        <w:numPr>
          <w:ilvl w:val="0"/>
          <w:numId w:val="1071"/>
        </w:numPr>
      </w:pPr>
      <w:r>
        <w:t xml:space="preserve">Oracle: a valid join code enrolls a profile whose token authenticates subsequent requests; an invalid or consumed code is refused.</w:t>
      </w:r>
    </w:p>
    <w:p>
      <w:pPr>
        <w:pStyle w:val="Compact"/>
        <w:numPr>
          <w:ilvl w:val="0"/>
          <w:numId w:val="1071"/>
        </w:numPr>
      </w:pPr>
      <w:r>
        <w:t xml:space="preserve">Traces: BG-005; verified by:</w:t>
      </w:r>
      <w:r>
        <w:t xml:space="preserve"> </w:t>
      </w:r>
      <w:r>
        <w:rPr>
          <w:rStyle w:val="VerbatimChar"/>
        </w:rPr>
        <w:t xml:space="preserve">ClassroomJoinParserTests</w:t>
      </w:r>
      <w:r>
        <w:t xml:space="preserve">,</w:t>
      </w:r>
      <w:r>
        <w:t xml:space="preserve"> </w:t>
      </w:r>
      <w:r>
        <w:rPr>
          <w:rStyle w:val="VerbatimChar"/>
        </w:rPr>
        <w:t xml:space="preserve">ClassroomCredentialStoreTests</w:t>
      </w:r>
      <w:r>
        <w:t xml:space="preserve">.</w:t>
      </w:r>
    </w:p>
    <w:p>
      <w:pPr>
        <w:pStyle w:val="FirstParagraph"/>
      </w:pPr>
      <w:r>
        <w:rPr>
          <w:b/>
          <w:bCs/>
        </w:rPr>
        <w:t xml:space="preserve">FR-LAN-006</w:t>
      </w:r>
      <w:r>
        <w:t xml:space="preserve"> </w:t>
      </w:r>
      <w:r>
        <w:t xml:space="preserve">(V2 — Code/test evidence): When a client requests PDF content, the system shall serve range-request streams and shall validate every resolved path server-side against the published library root.</w:t>
      </w:r>
    </w:p>
    <w:p>
      <w:pPr>
        <w:pStyle w:val="Compact"/>
        <w:numPr>
          <w:ilvl w:val="0"/>
          <w:numId w:val="1072"/>
        </w:numPr>
      </w:pPr>
      <w:r>
        <w:t xml:space="preserve">Oracle: a range request returns the requested byte range of a published file; a request resolving outside the published root is refused and logged.</w:t>
      </w:r>
    </w:p>
    <w:p>
      <w:pPr>
        <w:pStyle w:val="Compact"/>
        <w:numPr>
          <w:ilvl w:val="0"/>
          <w:numId w:val="1072"/>
        </w:numPr>
      </w:pPr>
      <w:r>
        <w:t xml:space="preserve">Traces: BG-002, BG-005; verified by:</w:t>
      </w:r>
      <w:r>
        <w:t xml:space="preserve"> </w:t>
      </w:r>
      <w:r>
        <w:rPr>
          <w:rStyle w:val="VerbatimChar"/>
        </w:rPr>
        <w:t xml:space="preserve">LanBookFileResolverTests</w:t>
      </w:r>
      <w:r>
        <w:t xml:space="preserve">,</w:t>
      </w:r>
      <w:r>
        <w:t xml:space="preserve"> </w:t>
      </w:r>
      <w:r>
        <w:rPr>
          <w:rStyle w:val="VerbatimChar"/>
        </w:rPr>
        <w:t xml:space="preserve">LanPageRenderLimiterTests</w:t>
      </w:r>
      <w:r>
        <w:t xml:space="preserve">.</w:t>
      </w:r>
    </w:p>
    <w:p>
      <w:pPr>
        <w:pStyle w:val="FirstParagraph"/>
      </w:pPr>
      <w:r>
        <w:rPr>
          <w:b/>
          <w:bCs/>
        </w:rPr>
        <w:t xml:space="preserve">FR-LAN-007</w:t>
      </w:r>
      <w:r>
        <w:t xml:space="preserve"> </w:t>
      </w:r>
      <w:r>
        <w:t xml:space="preserve">(V2 — Code/test evidence): When the administrator opens session management, the system shall list active client sessions, enforce the configured session limit, and revoke a selected session.</w:t>
      </w:r>
    </w:p>
    <w:p>
      <w:pPr>
        <w:pStyle w:val="Compact"/>
        <w:numPr>
          <w:ilvl w:val="0"/>
          <w:numId w:val="1073"/>
        </w:numPr>
      </w:pPr>
      <w:r>
        <w:t xml:space="preserve">Oracle: active sessions are listed from</w:t>
      </w:r>
      <w:r>
        <w:t xml:space="preserve"> </w:t>
      </w:r>
      <w:r>
        <w:rPr>
          <w:rStyle w:val="VerbatimChar"/>
        </w:rPr>
        <w:t xml:space="preserve">HostClientSessions</w:t>
      </w:r>
      <w:r>
        <w:t xml:space="preserve">; a session beyond the limit is refused; a revoked session's next request is rejected.</w:t>
      </w:r>
    </w:p>
    <w:p>
      <w:pPr>
        <w:pStyle w:val="Compact"/>
        <w:numPr>
          <w:ilvl w:val="0"/>
          <w:numId w:val="1073"/>
        </w:numPr>
      </w:pPr>
      <w:r>
        <w:t xml:space="preserve">Traces: BG-005; verified by:</w:t>
      </w:r>
      <w:r>
        <w:t xml:space="preserve"> </w:t>
      </w:r>
      <w:r>
        <w:rPr>
          <w:rStyle w:val="VerbatimChar"/>
        </w:rPr>
        <w:t xml:space="preserve">LanHostPersistenceTests</w:t>
      </w:r>
      <w:r>
        <w:t xml:space="preserve">,</w:t>
      </w:r>
      <w:r>
        <w:t xml:space="preserve"> </w:t>
      </w:r>
      <w:r>
        <w:rPr>
          <w:rStyle w:val="VerbatimChar"/>
        </w:rPr>
        <w:t xml:space="preserve">HostSharingViewModelTests</w:t>
      </w:r>
      <w:r>
        <w:t xml:space="preserve">.</w:t>
      </w:r>
    </w:p>
    <w:p>
      <w:pPr>
        <w:pStyle w:val="FirstParagraph"/>
      </w:pPr>
      <w:r>
        <w:rPr>
          <w:b/>
          <w:bCs/>
        </w:rPr>
        <w:t xml:space="preserve">FR-LAN-008</w:t>
      </w:r>
      <w:r>
        <w:t xml:space="preserve"> </w:t>
      </w:r>
      <w:r>
        <w:t xml:space="preserve">(V2 — Code/test evidence): When the host becomes unavailable, the system shall degrade non-destructively: clients keep local reading state and re-sync on reconnect.</w:t>
      </w:r>
    </w:p>
    <w:p>
      <w:pPr>
        <w:pStyle w:val="Compact"/>
        <w:numPr>
          <w:ilvl w:val="0"/>
          <w:numId w:val="1074"/>
        </w:numPr>
      </w:pPr>
      <w:r>
        <w:t xml:space="preserve">Oracle: dropping the host mid-session leaves client-side progress, bookmarks, and notes intact; reconnect syncs them without loss.</w:t>
      </w:r>
    </w:p>
    <w:p>
      <w:pPr>
        <w:pStyle w:val="Compact"/>
        <w:numPr>
          <w:ilvl w:val="0"/>
          <w:numId w:val="1074"/>
        </w:numPr>
      </w:pPr>
      <w:r>
        <w:t xml:space="preserve">Traces: BG-002, BG-004; verified by:</w:t>
      </w:r>
      <w:r>
        <w:t xml:space="preserve"> </w:t>
      </w:r>
      <w:r>
        <w:rPr>
          <w:rStyle w:val="VerbatimChar"/>
        </w:rPr>
        <w:t xml:space="preserve">ClassroomConnectionServiceTests</w:t>
      </w:r>
      <w:r>
        <w:t xml:space="preserve">,</w:t>
      </w:r>
      <w:r>
        <w:t xml:space="preserve"> </w:t>
      </w:r>
      <w:r>
        <w:rPr>
          <w:rStyle w:val="VerbatimChar"/>
        </w:rPr>
        <w:t xml:space="preserve">OfflineCacheServiceTests</w:t>
      </w:r>
      <w:r>
        <w:t xml:space="preserve">.</w:t>
      </w:r>
    </w:p>
    <w:p>
      <w:pPr>
        <w:pStyle w:val="FirstParagraph"/>
      </w:pPr>
      <w:r>
        <w:rPr>
          <w:b/>
          <w:bCs/>
        </w:rPr>
        <w:t xml:space="preserve">FR-LAN-009</w:t>
      </w:r>
      <w:r>
        <w:t xml:space="preserve"> </w:t>
      </w:r>
      <w:r>
        <w:t xml:space="preserve">(V2 — Code/test evidence): When a client enumerates the shared library, the system shall expose only admin-published folders and shelves; unpublished content shall never be enumerable.</w:t>
      </w:r>
    </w:p>
    <w:p>
      <w:pPr>
        <w:pStyle w:val="Compact"/>
        <w:numPr>
          <w:ilvl w:val="0"/>
          <w:numId w:val="1075"/>
        </w:numPr>
      </w:pPr>
      <w:r>
        <w:t xml:space="preserve">Oracle: a book in an unpublished folder appears in no client catalogue response and no asset or stream endpoint serves it.</w:t>
      </w:r>
    </w:p>
    <w:p>
      <w:pPr>
        <w:pStyle w:val="Compact"/>
        <w:numPr>
          <w:ilvl w:val="0"/>
          <w:numId w:val="1075"/>
        </w:numPr>
      </w:pPr>
      <w:r>
        <w:t xml:space="preserve">Traces: BG-005; verified by:</w:t>
      </w:r>
      <w:r>
        <w:t xml:space="preserve"> </w:t>
      </w:r>
      <w:r>
        <w:rPr>
          <w:rStyle w:val="VerbatimChar"/>
        </w:rPr>
        <w:t xml:space="preserve">SchoolAdminCatalogueServiceTests</w:t>
      </w:r>
      <w:r>
        <w:t xml:space="preserve">,</w:t>
      </w:r>
      <w:r>
        <w:t xml:space="preserve"> </w:t>
      </w:r>
      <w:r>
        <w:rPr>
          <w:rStyle w:val="VerbatimChar"/>
        </w:rPr>
        <w:t xml:space="preserve">LanBookFileResolverTests</w:t>
      </w:r>
      <w:r>
        <w:t xml:space="preserve">.</w:t>
      </w:r>
    </w:p>
    <w:p>
      <w:pPr>
        <w:pStyle w:val="FirstParagraph"/>
      </w:pPr>
      <w:r>
        <w:rPr>
          <w:b/>
          <w:bCs/>
        </w:rPr>
        <w:t xml:space="preserve">FR-LAN-010</w:t>
      </w:r>
      <w:r>
        <w:t xml:space="preserve"> </w:t>
      </w:r>
      <w:r>
        <w:t xml:space="preserve">(V2 — Code/test evidence): When any LAN request (connection, stream, denial) is processed, the system shall append a host activity audit record exportable by the administrator.</w:t>
      </w:r>
    </w:p>
    <w:p>
      <w:pPr>
        <w:pStyle w:val="Compact"/>
        <w:numPr>
          <w:ilvl w:val="0"/>
          <w:numId w:val="1076"/>
        </w:numPr>
      </w:pPr>
      <w:r>
        <w:t xml:space="preserve">Oracle: n requests produce n</w:t>
      </w:r>
      <w:r>
        <w:t xml:space="preserve"> </w:t>
      </w:r>
      <w:r>
        <w:rPr>
          <w:rStyle w:val="VerbatimChar"/>
        </w:rPr>
        <w:t xml:space="preserve">AuditEvents</w:t>
      </w:r>
      <w:r>
        <w:t xml:space="preserve"> </w:t>
      </w:r>
      <w:r>
        <w:t xml:space="preserve">rows carrying client identity and resource; the export contains them.</w:t>
      </w:r>
    </w:p>
    <w:p>
      <w:pPr>
        <w:pStyle w:val="Compact"/>
        <w:numPr>
          <w:ilvl w:val="0"/>
          <w:numId w:val="1076"/>
        </w:numPr>
      </w:pPr>
      <w:r>
        <w:t xml:space="preserve">Traces: BG-005; verified by:</w:t>
      </w:r>
      <w:r>
        <w:t xml:space="preserve"> </w:t>
      </w:r>
      <w:r>
        <w:rPr>
          <w:rStyle w:val="VerbatimChar"/>
        </w:rPr>
        <w:t xml:space="preserve">AuditRepositoryTests</w:t>
      </w:r>
      <w:r>
        <w:t xml:space="preserve">,</w:t>
      </w:r>
      <w:r>
        <w:t xml:space="preserve"> </w:t>
      </w:r>
      <w:r>
        <w:rPr>
          <w:rStyle w:val="VerbatimChar"/>
        </w:rPr>
        <w:t xml:space="preserve">LanHostEndpointTests</w:t>
      </w:r>
      <w:r>
        <w:t xml:space="preserve">.</w:t>
      </w:r>
    </w:p>
    <w:bookmarkEnd w:id="36"/>
    <w:bookmarkStart w:id="37" w:name="X68fdcfbffcc26c547dd31171ef7501c8c86fe46"/>
    <w:p>
      <w:pPr>
        <w:pStyle w:val="Heading2"/>
      </w:pPr>
      <w:r>
        <w:rPr>
          <w:rStyle w:val="SectionNumber"/>
          <w:rFonts w:ascii="Spectral" w:hAnsi="Spectral" w:eastAsia="Spectral"/>
          <w:color w:val="132338"/>
        </w:rPr>
        <w:t xml:space="preserve">5.8</w:t>
      </w:r>
      <w:r>
        <w:rPr>
          <w:rFonts w:ascii="Spectral" w:hAnsi="Spectral" w:eastAsia="Spectral"/>
          <w:color w:val="132338"/>
        </w:rPr>
        <w:tab/>
      </w:r>
      <w:r>
        <w:rPr>
          <w:rFonts w:ascii="Spectral" w:hAnsi="Spectral" w:eastAsia="Spectral"/>
          <w:color w:val="132338"/>
        </w:rPr>
        <w:t xml:space="preserve">4.8 Classroom Client Mode (CLIENT)</w:t>
      </w:r>
    </w:p>
    <w:p>
      <w:pPr>
        <w:pStyle w:val="FirstParagraph"/>
      </w:pPr>
      <w:r>
        <w:t xml:space="preserve">The CLIENT module is V2 classroom scope, implemented in grand-plan Phase 17 (</w:t>
      </w:r>
      <w:r>
        <w:rPr>
          <w:rStyle w:val="VerbatimChar"/>
        </w:rPr>
        <w:t xml:space="preserve">ClassroomClient</w:t>
      </w:r>
      <w:r>
        <w:t xml:space="preserve">). Requirement wording follows</w:t>
      </w:r>
      <w:r>
        <w:t xml:space="preserve"> </w:t>
      </w:r>
      <w:r>
        <w:rPr>
          <w:rStyle w:val="VerbatimChar"/>
        </w:rPr>
        <w:t xml:space="preserve">_context/features.md</w:t>
      </w:r>
      <w:r>
        <w:t xml:space="preserve">; verification detail is in</w:t>
      </w:r>
      <w:r>
        <w:t xml:space="preserve"> </w:t>
      </w:r>
      <w:r>
        <w:rPr>
          <w:rStyle w:val="VerbatimChar"/>
        </w:rPr>
        <w:t xml:space="preserve">docs/plans/grand-plan/phase-17/README.md</w:t>
      </w:r>
      <w:r>
        <w:t xml:space="preserve">.</w:t>
      </w:r>
    </w:p>
    <w:p>
      <w:pPr>
        <w:pStyle w:val="BodyText"/>
      </w:pPr>
      <w:r>
        <w:rPr>
          <w:b/>
          <w:bCs/>
        </w:rPr>
        <w:t xml:space="preserve">FR-CLIENT-001</w:t>
      </w:r>
      <w:r>
        <w:t xml:space="preserve"> </w:t>
      </w:r>
      <w:r>
        <w:t xml:space="preserve">(V2 — Code/test evidence): When the user selects a discovered host or enters a host address, the system shall connect and browse the shared catalogue.</w:t>
      </w:r>
    </w:p>
    <w:p>
      <w:pPr>
        <w:pStyle w:val="Compact"/>
        <w:numPr>
          <w:ilvl w:val="0"/>
          <w:numId w:val="1077"/>
        </w:numPr>
      </w:pPr>
      <w:r>
        <w:t xml:space="preserve">Oracle: a discovered or manually entered host connects, authenticates, and populates the catalogue grid from the host projection; the mode persists across restart.</w:t>
      </w:r>
    </w:p>
    <w:p>
      <w:pPr>
        <w:pStyle w:val="Compact"/>
        <w:numPr>
          <w:ilvl w:val="0"/>
          <w:numId w:val="1077"/>
        </w:numPr>
      </w:pPr>
      <w:r>
        <w:t xml:space="preserve">Traces: BG-001, BG-002; verified by:</w:t>
      </w:r>
      <w:r>
        <w:t xml:space="preserve"> </w:t>
      </w:r>
      <w:r>
        <w:rPr>
          <w:rStyle w:val="VerbatimChar"/>
        </w:rPr>
        <w:t xml:space="preserve">ClassroomConnectionServiceTests</w:t>
      </w:r>
      <w:r>
        <w:t xml:space="preserve">,</w:t>
      </w:r>
      <w:r>
        <w:t xml:space="preserve"> </w:t>
      </w:r>
      <w:r>
        <w:rPr>
          <w:rStyle w:val="VerbatimChar"/>
        </w:rPr>
        <w:t xml:space="preserve">ClassroomCatalogueReadModelTests</w:t>
      </w:r>
      <w:r>
        <w:t xml:space="preserve">.</w:t>
      </w:r>
    </w:p>
    <w:p>
      <w:pPr>
        <w:pStyle w:val="FirstParagraph"/>
      </w:pPr>
      <w:r>
        <w:rPr>
          <w:b/>
          <w:bCs/>
        </w:rPr>
        <w:t xml:space="preserve">FR-CLIENT-002</w:t>
      </w:r>
      <w:r>
        <w:t xml:space="preserve"> </w:t>
      </w:r>
      <w:r>
        <w:t xml:space="preserve">(V2 — Code/test evidence): When a student profile is active, the system shall store reading state (progress, bookmarks, notes) privately per profile.</w:t>
      </w:r>
    </w:p>
    <w:p>
      <w:pPr>
        <w:pStyle w:val="Compact"/>
        <w:numPr>
          <w:ilvl w:val="0"/>
          <w:numId w:val="1078"/>
        </w:numPr>
      </w:pPr>
      <w:r>
        <w:t xml:space="preserve">Oracle: state written under profile A is absent from profile B's store on the same machine; the private store path is keyed by profile.</w:t>
      </w:r>
    </w:p>
    <w:p>
      <w:pPr>
        <w:pStyle w:val="Compact"/>
        <w:numPr>
          <w:ilvl w:val="0"/>
          <w:numId w:val="1078"/>
        </w:numPr>
      </w:pPr>
      <w:r>
        <w:t xml:space="preserve">Traces: BG-002, BG-005; verified by:</w:t>
      </w:r>
      <w:r>
        <w:t xml:space="preserve"> </w:t>
      </w:r>
      <w:r>
        <w:rPr>
          <w:rStyle w:val="VerbatimChar"/>
        </w:rPr>
        <w:t xml:space="preserve">ProfileServiceTests</w:t>
      </w:r>
      <w:r>
        <w:t xml:space="preserve">,</w:t>
      </w:r>
      <w:r>
        <w:t xml:space="preserve"> </w:t>
      </w:r>
      <w:r>
        <w:rPr>
          <w:rStyle w:val="VerbatimChar"/>
        </w:rPr>
        <w:t xml:space="preserve">StudentPrivateRepositoryTests</w:t>
      </w:r>
      <w:r>
        <w:t xml:space="preserve">.</w:t>
      </w:r>
    </w:p>
    <w:p>
      <w:pPr>
        <w:pStyle w:val="FirstParagraph"/>
      </w:pPr>
      <w:r>
        <w:rPr>
          <w:b/>
          <w:bCs/>
        </w:rPr>
        <w:t xml:space="preserve">FR-CLIENT-003</w:t>
      </w:r>
      <w:r>
        <w:t xml:space="preserve"> </w:t>
      </w:r>
      <w:r>
        <w:t xml:space="preserve">(V2 — Code/test evidence): When a profile is created or selected, the system shall assign one of the roles student, teacher, or administrator and shall scope capabilities to that role.</w:t>
      </w:r>
    </w:p>
    <w:p>
      <w:pPr>
        <w:pStyle w:val="Compact"/>
        <w:numPr>
          <w:ilvl w:val="0"/>
          <w:numId w:val="1079"/>
        </w:numPr>
      </w:pPr>
      <w:r>
        <w:t xml:space="preserve">Oracle: a student profile cannot invoke admin actions; a teacher profile reaches the class dashboard; the role travels in the session token.</w:t>
      </w:r>
    </w:p>
    <w:p>
      <w:pPr>
        <w:pStyle w:val="Compact"/>
        <w:numPr>
          <w:ilvl w:val="0"/>
          <w:numId w:val="1079"/>
        </w:numPr>
      </w:pPr>
      <w:r>
        <w:t xml:space="preserve">Traces: BG-005; verified by:</w:t>
      </w:r>
      <w:r>
        <w:t xml:space="preserve"> </w:t>
      </w:r>
      <w:r>
        <w:rPr>
          <w:rStyle w:val="VerbatimChar"/>
        </w:rPr>
        <w:t xml:space="preserve">ProfileServiceTests</w:t>
      </w:r>
      <w:r>
        <w:t xml:space="preserve">.</w:t>
      </w:r>
    </w:p>
    <w:p>
      <w:pPr>
        <w:pStyle w:val="FirstParagraph"/>
      </w:pPr>
      <w:r>
        <w:rPr>
          <w:b/>
          <w:bCs/>
        </w:rPr>
        <w:t xml:space="preserve">FR-CLIENT-004</w:t>
      </w:r>
      <w:r>
        <w:t xml:space="preserve"> </w:t>
      </w:r>
      <w:r>
        <w:t xml:space="preserve">(V2 — Code/test evidence): When a client reads a shared book, the system shall stream content and shall never require a full-file copy for reading.</w:t>
      </w:r>
    </w:p>
    <w:p>
      <w:pPr>
        <w:pStyle w:val="Compact"/>
        <w:numPr>
          <w:ilvl w:val="0"/>
          <w:numId w:val="1080"/>
        </w:numPr>
      </w:pPr>
      <w:r>
        <w:t xml:space="preserve">Oracle: opening a shared book renders pages from streamed ranges; no complete source file is materialised on the client for reading.</w:t>
      </w:r>
    </w:p>
    <w:p>
      <w:pPr>
        <w:pStyle w:val="Compact"/>
        <w:numPr>
          <w:ilvl w:val="0"/>
          <w:numId w:val="1080"/>
        </w:numPr>
      </w:pPr>
      <w:r>
        <w:t xml:space="preserve">Traces: BG-002, BG-004; verified by:</w:t>
      </w:r>
      <w:r>
        <w:t xml:space="preserve"> </w:t>
      </w:r>
      <w:r>
        <w:rPr>
          <w:rStyle w:val="VerbatimChar"/>
        </w:rPr>
        <w:t xml:space="preserve">ClassroomBookFileLocatorTests</w:t>
      </w:r>
      <w:r>
        <w:t xml:space="preserve">,</w:t>
      </w:r>
      <w:r>
        <w:t xml:space="preserve"> </w:t>
      </w:r>
      <w:r>
        <w:rPr>
          <w:rStyle w:val="VerbatimChar"/>
        </w:rPr>
        <w:t xml:space="preserve">ClassroomBookFileMaterializerTests</w:t>
      </w:r>
      <w:r>
        <w:t xml:space="preserve">.</w:t>
      </w:r>
    </w:p>
    <w:p>
      <w:pPr>
        <w:pStyle w:val="FirstParagraph"/>
      </w:pPr>
      <w:r>
        <w:rPr>
          <w:b/>
          <w:bCs/>
        </w:rPr>
        <w:t xml:space="preserve">FR-CLIENT-005</w:t>
      </w:r>
      <w:r>
        <w:t xml:space="preserve"> </w:t>
      </w:r>
      <w:r>
        <w:t xml:space="preserve">(V2 — Code/test evidence): When recently read books are cached offline, the system shall enforce an explicit cache size limit and provide a purge control.</w:t>
      </w:r>
    </w:p>
    <w:p>
      <w:pPr>
        <w:pStyle w:val="Compact"/>
        <w:numPr>
          <w:ilvl w:val="0"/>
          <w:numId w:val="1081"/>
        </w:numPr>
      </w:pPr>
      <w:r>
        <w:t xml:space="preserve">Oracle: cache growth stops at the configured limit with eviction of the oldest entries; purge empties the cache.</w:t>
      </w:r>
    </w:p>
    <w:p>
      <w:pPr>
        <w:pStyle w:val="Compact"/>
        <w:numPr>
          <w:ilvl w:val="0"/>
          <w:numId w:val="1081"/>
        </w:numPr>
      </w:pPr>
      <w:r>
        <w:t xml:space="preserve">Traces: BG-002; verified by:</w:t>
      </w:r>
      <w:r>
        <w:t xml:space="preserve"> </w:t>
      </w:r>
      <w:r>
        <w:rPr>
          <w:rStyle w:val="VerbatimChar"/>
        </w:rPr>
        <w:t xml:space="preserve">OfflineCacheServiceTests</w:t>
      </w:r>
      <w:r>
        <w:t xml:space="preserve">,</w:t>
      </w:r>
      <w:r>
        <w:t xml:space="preserve"> </w:t>
      </w:r>
      <w:r>
        <w:rPr>
          <w:rStyle w:val="VerbatimChar"/>
        </w:rPr>
        <w:t xml:space="preserve">CachingLibraryHostClientTests</w:t>
      </w:r>
      <w:r>
        <w:t xml:space="preserve">.</w:t>
      </w:r>
    </w:p>
    <w:p>
      <w:pPr>
        <w:pStyle w:val="FirstParagraph"/>
      </w:pPr>
      <w:r>
        <w:rPr>
          <w:b/>
          <w:bCs/>
        </w:rPr>
        <w:t xml:space="preserve">FR-CLIENT-006</w:t>
      </w:r>
      <w:r>
        <w:t xml:space="preserve"> </w:t>
      </w:r>
      <w:r>
        <w:t xml:space="preserve">(V2 — Code/test evidence): When reading state syncs to the host, the system shall resolve conflicts latest-writer-wins per field with no silent data loss.</w:t>
      </w:r>
    </w:p>
    <w:p>
      <w:pPr>
        <w:pStyle w:val="Compact"/>
        <w:numPr>
          <w:ilvl w:val="0"/>
          <w:numId w:val="1082"/>
        </w:numPr>
      </w:pPr>
      <w:r>
        <w:t xml:space="preserve">Oracle: 2 conflicting field writes resolve to the later timestamp; the losing value is surfaced, not silently discarded.</w:t>
      </w:r>
    </w:p>
    <w:p>
      <w:pPr>
        <w:pStyle w:val="Compact"/>
        <w:numPr>
          <w:ilvl w:val="0"/>
          <w:numId w:val="1082"/>
        </w:numPr>
      </w:pPr>
      <w:r>
        <w:t xml:space="preserve">Traces: BG-002, BG-004; verified by:</w:t>
      </w:r>
      <w:r>
        <w:t xml:space="preserve"> </w:t>
      </w:r>
      <w:r>
        <w:rPr>
          <w:rStyle w:val="VerbatimChar"/>
        </w:rPr>
        <w:t xml:space="preserve">ClassroomSyncServiceTests</w:t>
      </w:r>
      <w:r>
        <w:t xml:space="preserve">,</w:t>
      </w:r>
      <w:r>
        <w:t xml:space="preserve"> </w:t>
      </w:r>
      <w:r>
        <w:rPr>
          <w:rStyle w:val="VerbatimChar"/>
        </w:rPr>
        <w:t xml:space="preserve">ClassroomSyncBlobCodecTests</w:t>
      </w:r>
      <w:r>
        <w:t xml:space="preserve">.</w:t>
      </w:r>
    </w:p>
    <w:p>
      <w:pPr>
        <w:pStyle w:val="FirstParagraph"/>
      </w:pPr>
      <w:r>
        <w:rPr>
          <w:b/>
          <w:bCs/>
        </w:rPr>
        <w:t xml:space="preserve">FR-CLIENT-007</w:t>
      </w:r>
      <w:r>
        <w:t xml:space="preserve"> </w:t>
      </w:r>
      <w:r>
        <w:t xml:space="preserve">(V2 — Code/test evidence): When a client searches, the system shall execute the query against the host index and shall return results carrying the same match-location explanations as local search (FR-SEARCH-003).</w:t>
      </w:r>
    </w:p>
    <w:p>
      <w:pPr>
        <w:pStyle w:val="Compact"/>
        <w:numPr>
          <w:ilvl w:val="0"/>
          <w:numId w:val="1083"/>
        </w:numPr>
      </w:pPr>
      <w:r>
        <w:t xml:space="preserve">Oracle: a client query returns host-index results and each row displays a match-location label from the same label set.</w:t>
      </w:r>
    </w:p>
    <w:p>
      <w:pPr>
        <w:pStyle w:val="Compact"/>
        <w:numPr>
          <w:ilvl w:val="0"/>
          <w:numId w:val="1083"/>
        </w:numPr>
      </w:pPr>
      <w:r>
        <w:t xml:space="preserve">Traces: BG-002, BG-003; verified by:</w:t>
      </w:r>
      <w:r>
        <w:t xml:space="preserve"> </w:t>
      </w:r>
      <w:r>
        <w:rPr>
          <w:rStyle w:val="VerbatimChar"/>
        </w:rPr>
        <w:t xml:space="preserve">StudentSmartSearchViewModelTests</w:t>
      </w:r>
      <w:r>
        <w:t xml:space="preserve">,</w:t>
      </w:r>
      <w:r>
        <w:t xml:space="preserve"> </w:t>
      </w:r>
      <w:r>
        <w:rPr>
          <w:rStyle w:val="VerbatimChar"/>
        </w:rPr>
        <w:t xml:space="preserve">ClassroomCatalogueReadModelTests</w:t>
      </w:r>
      <w:r>
        <w:t xml:space="preserve">.</w:t>
      </w:r>
    </w:p>
    <w:p>
      <w:pPr>
        <w:pStyle w:val="FirstParagraph"/>
      </w:pPr>
      <w:r>
        <w:rPr>
          <w:b/>
          <w:bCs/>
        </w:rPr>
        <w:t xml:space="preserve">FR-CLIENT-008</w:t>
      </w:r>
      <w:r>
        <w:t xml:space="preserve"> </w:t>
      </w:r>
      <w:r>
        <w:t xml:space="preserve">(V2 — Code/test evidence): When multiple students use the same host, the system shall keep each student's reading state and AI history invisible to other students.</w:t>
      </w:r>
    </w:p>
    <w:p>
      <w:pPr>
        <w:pStyle w:val="Compact"/>
        <w:numPr>
          <w:ilvl w:val="0"/>
          <w:numId w:val="1084"/>
        </w:numPr>
      </w:pPr>
      <w:r>
        <w:t xml:space="preserve">Oracle: student A's state and AI history are unreachable from student B's session by any client or host endpoint.</w:t>
      </w:r>
    </w:p>
    <w:p>
      <w:pPr>
        <w:pStyle w:val="Compact"/>
        <w:numPr>
          <w:ilvl w:val="0"/>
          <w:numId w:val="1084"/>
        </w:numPr>
      </w:pPr>
      <w:r>
        <w:t xml:space="preserve">Traces: BG-005; verified by:</w:t>
      </w:r>
      <w:r>
        <w:t xml:space="preserve"> </w:t>
      </w:r>
      <w:r>
        <w:rPr>
          <w:rStyle w:val="VerbatimChar"/>
        </w:rPr>
        <w:t xml:space="preserve">StudentPrivateRepositoryTests</w:t>
      </w:r>
      <w:r>
        <w:t xml:space="preserve">.</w:t>
      </w:r>
    </w:p>
    <w:p>
      <w:pPr>
        <w:pStyle w:val="FirstParagraph"/>
      </w:pPr>
      <w:r>
        <w:rPr>
          <w:b/>
          <w:bCs/>
        </w:rPr>
        <w:t xml:space="preserve">FR-CLIENT-009</w:t>
      </w:r>
      <w:r>
        <w:t xml:space="preserve"> </w:t>
      </w:r>
      <w:r>
        <w:t xml:space="preserve">(V2 — Code/test evidence): When a profile is enrolled or revoked, the system shall apply the change at the profile's next connection; a revoked client shall lose host access but keep its local notes.</w:t>
      </w:r>
    </w:p>
    <w:p>
      <w:pPr>
        <w:pStyle w:val="Compact"/>
        <w:numPr>
          <w:ilvl w:val="0"/>
          <w:numId w:val="1085"/>
        </w:numPr>
      </w:pPr>
      <w:r>
        <w:t xml:space="preserve">Oracle: a revoked profile's next connection is refused; its locally stored notes remain readable in local mode.</w:t>
      </w:r>
    </w:p>
    <w:p>
      <w:pPr>
        <w:pStyle w:val="Compact"/>
        <w:numPr>
          <w:ilvl w:val="0"/>
          <w:numId w:val="1085"/>
        </w:numPr>
      </w:pPr>
      <w:r>
        <w:t xml:space="preserve">Traces: BG-004, BG-005; verified by:</w:t>
      </w:r>
      <w:r>
        <w:t xml:space="preserve"> </w:t>
      </w:r>
      <w:r>
        <w:rPr>
          <w:rStyle w:val="VerbatimChar"/>
        </w:rPr>
        <w:t xml:space="preserve">SchoolProfileEnrollmentServiceTests</w:t>
      </w:r>
      <w:r>
        <w:t xml:space="preserve">.</w:t>
      </w:r>
    </w:p>
    <w:p>
      <w:pPr>
        <w:pStyle w:val="FirstParagraph"/>
      </w:pPr>
      <w:r>
        <w:rPr>
          <w:b/>
          <w:bCs/>
        </w:rPr>
        <w:t xml:space="preserve">FR-CLIENT-010</w:t>
      </w:r>
      <w:r>
        <w:t xml:space="preserve"> </w:t>
      </w:r>
      <w:r>
        <w:t xml:space="preserve">(V2 — Code/test evidence): When a client operates against the shared library, the system shall permit no client mutation of host files or host metadata.</w:t>
      </w:r>
    </w:p>
    <w:p>
      <w:pPr>
        <w:pStyle w:val="Compact"/>
        <w:numPr>
          <w:ilvl w:val="0"/>
          <w:numId w:val="1086"/>
        </w:numPr>
      </w:pPr>
      <w:r>
        <w:t xml:space="preserve">Oracle: no client endpoint accepts a write to host catalogue metadata or files; attempted writes are refused and audited.</w:t>
      </w:r>
    </w:p>
    <w:p>
      <w:pPr>
        <w:pStyle w:val="Compact"/>
        <w:numPr>
          <w:ilvl w:val="0"/>
          <w:numId w:val="1086"/>
        </w:numPr>
      </w:pPr>
      <w:r>
        <w:t xml:space="preserve">Traces: BG-004; verified by:</w:t>
      </w:r>
      <w:r>
        <w:t xml:space="preserve"> </w:t>
      </w:r>
      <w:r>
        <w:rPr>
          <w:rStyle w:val="VerbatimChar"/>
        </w:rPr>
        <w:t xml:space="preserve">ClassroomModeServiceTests</w:t>
      </w:r>
      <w:r>
        <w:t xml:space="preserve">,</w:t>
      </w:r>
      <w:r>
        <w:t xml:space="preserve"> </w:t>
      </w:r>
      <w:r>
        <w:rPr>
          <w:rStyle w:val="VerbatimChar"/>
        </w:rPr>
        <w:t xml:space="preserve">LibraryHostHttpClientTests</w:t>
      </w:r>
      <w:r>
        <w:t xml:space="preserve">.</w:t>
      </w:r>
    </w:p>
    <w:p>
      <w:pPr>
        <w:pStyle w:val="FirstParagraph"/>
      </w:pPr>
      <w:r>
        <w:rPr>
          <w:b/>
          <w:bCs/>
        </w:rPr>
        <w:t xml:space="preserve">FR-CLIENT-011</w:t>
      </w:r>
      <w:r>
        <w:t xml:space="preserve"> </w:t>
      </w:r>
      <w:r>
        <w:t xml:space="preserve">(V2 — Code/test evidence): When the host is unreachable, the system shall show the connection state and degrade to the client's own local library.</w:t>
      </w:r>
    </w:p>
    <w:p>
      <w:pPr>
        <w:pStyle w:val="Compact"/>
        <w:numPr>
          <w:ilvl w:val="0"/>
          <w:numId w:val="1087"/>
        </w:numPr>
      </w:pPr>
      <w:r>
        <w:t xml:space="preserve">Oracle: dropping the LAN mid-session updates the connection indicator and the local library remains browsable and readable.</w:t>
      </w:r>
    </w:p>
    <w:p>
      <w:pPr>
        <w:pStyle w:val="Compact"/>
        <w:numPr>
          <w:ilvl w:val="0"/>
          <w:numId w:val="1087"/>
        </w:numPr>
      </w:pPr>
      <w:r>
        <w:t xml:space="preserve">Traces: BG-002; verified by:</w:t>
      </w:r>
      <w:r>
        <w:t xml:space="preserve"> </w:t>
      </w:r>
      <w:r>
        <w:rPr>
          <w:rStyle w:val="VerbatimChar"/>
        </w:rPr>
        <w:t xml:space="preserve">ClassroomConnectionServiceTests</w:t>
      </w:r>
      <w:r>
        <w:t xml:space="preserve">,</w:t>
      </w:r>
      <w:r>
        <w:t xml:space="preserve"> </w:t>
      </w:r>
      <w:r>
        <w:rPr>
          <w:rStyle w:val="VerbatimChar"/>
        </w:rPr>
        <w:t xml:space="preserve">CachingLibraryHostClientTests</w:t>
      </w:r>
      <w:r>
        <w:t xml:space="preserve">.</w:t>
      </w:r>
    </w:p>
    <w:p>
      <w:pPr>
        <w:pStyle w:val="FirstParagraph"/>
      </w:pPr>
      <w:r>
        <w:rPr>
          <w:b/>
          <w:bCs/>
        </w:rPr>
        <w:t xml:space="preserve">FR-CLIENT-012</w:t>
      </w:r>
      <w:r>
        <w:t xml:space="preserve"> </w:t>
      </w:r>
      <w:r>
        <w:t xml:space="preserve">(V2 — Code/test evidence): When a teacher opens the class dashboard, the system shall show class-level aggregate reading data, and any per-student visibility shall be disclosed to the affected students.</w:t>
      </w:r>
    </w:p>
    <w:p>
      <w:pPr>
        <w:pStyle w:val="Compact"/>
        <w:numPr>
          <w:ilvl w:val="0"/>
          <w:numId w:val="1088"/>
        </w:numPr>
      </w:pPr>
      <w:r>
        <w:t xml:space="preserve">Oracle: the dashboard renders aggregates for the enrolled class; where a per-student figure is shown, the student's client displays the disclosure notice.</w:t>
      </w:r>
    </w:p>
    <w:p>
      <w:pPr>
        <w:pStyle w:val="Compact"/>
        <w:numPr>
          <w:ilvl w:val="0"/>
          <w:numId w:val="1088"/>
        </w:numPr>
      </w:pPr>
      <w:r>
        <w:t xml:space="preserve">Traces: BG-002, BG-005; verified by: planned TC-CLIENT-012.</w:t>
      </w:r>
    </w:p>
    <w:p>
      <w:pPr>
        <w:pStyle w:val="FirstParagraph"/>
      </w:pPr>
      <w:r>
        <w:rPr>
          <w:b/>
          <w:bCs/>
        </w:rPr>
        <w:t xml:space="preserve">FR-CLIENT-013</w:t>
      </w:r>
      <w:r>
        <w:t xml:space="preserve"> </w:t>
      </w:r>
      <w:r>
        <w:t xml:space="preserve">(V2 — Code/test evidence): When a profile opens a shelf or book, the system shall honour host entitlements defining which shelves and books that profile may open.</w:t>
      </w:r>
    </w:p>
    <w:p>
      <w:pPr>
        <w:pStyle w:val="Compact"/>
        <w:numPr>
          <w:ilvl w:val="0"/>
          <w:numId w:val="1089"/>
        </w:numPr>
      </w:pPr>
      <w:r>
        <w:t xml:space="preserve">Oracle: a book outside the profile's entitlement is not openable and its stream request is refused; an entitled book opens.</w:t>
      </w:r>
    </w:p>
    <w:p>
      <w:pPr>
        <w:pStyle w:val="Compact"/>
        <w:numPr>
          <w:ilvl w:val="0"/>
          <w:numId w:val="1089"/>
        </w:numPr>
      </w:pPr>
      <w:r>
        <w:t xml:space="preserve">Traces: BG-005; verified by: planned TC-CLIENT-013 (entitlement checks implemented host-side; no dedicated client test class located).</w:t>
      </w:r>
    </w:p>
    <w:bookmarkEnd w:id="37"/>
    <w:bookmarkStart w:id="38" w:name="X8261d974077cc9f12af7ae1cce92380ff6eb1cd"/>
    <w:p>
      <w:pPr>
        <w:pStyle w:val="Heading2"/>
      </w:pPr>
      <w:r>
        <w:rPr>
          <w:rStyle w:val="SectionNumber"/>
          <w:rFonts w:ascii="Spectral" w:hAnsi="Spectral" w:eastAsia="Spectral"/>
          <w:color w:val="132338"/>
        </w:rPr>
        <w:t xml:space="preserve">5.9</w:t>
      </w:r>
      <w:r>
        <w:rPr>
          <w:rFonts w:ascii="Spectral" w:hAnsi="Spectral" w:eastAsia="Spectral"/>
          <w:color w:val="132338"/>
        </w:rPr>
        <w:tab/>
      </w:r>
      <w:r>
        <w:rPr>
          <w:rFonts w:ascii="Spectral" w:hAnsi="Spectral" w:eastAsia="Spectral"/>
          <w:color w:val="132338"/>
        </w:rPr>
        <w:t xml:space="preserve">4.9 School Administration and Managed AI (ADMIN)</w:t>
      </w:r>
    </w:p>
    <w:p>
      <w:pPr>
        <w:pStyle w:val="FirstParagraph"/>
      </w:pPr>
      <w:r>
        <w:t xml:space="preserve">The ADMIN module is V2 classroom scope, implemented in grand-plan Phase 18 (</w:t>
      </w:r>
      <w:r>
        <w:rPr>
          <w:rStyle w:val="VerbatimChar"/>
        </w:rPr>
        <w:t xml:space="preserve">SchoolAdmin</w:t>
      </w:r>
      <w:r>
        <w:t xml:space="preserve">; schema: migration</w:t>
      </w:r>
      <w:r>
        <w:t xml:space="preserve"> </w:t>
      </w:r>
      <w:r>
        <w:rPr>
          <w:rStyle w:val="VerbatimChar"/>
        </w:rPr>
        <w:t xml:space="preserve">Phase18SchoolAdminTables</w:t>
      </w:r>
      <w:r>
        <w:t xml:space="preserve"> </w:t>
      </w:r>
      <w:r>
        <w:t xml:space="preserve">adding</w:t>
      </w:r>
      <w:r>
        <w:t xml:space="preserve"> </w:t>
      </w:r>
      <w:r>
        <w:rPr>
          <w:rStyle w:val="VerbatimChar"/>
        </w:rPr>
        <w:t xml:space="preserve">LibraryPublishSettings</w:t>
      </w:r>
      <w:r>
        <w:t xml:space="preserve">,</w:t>
      </w:r>
      <w:r>
        <w:t xml:space="preserve"> </w:t>
      </w:r>
      <w:r>
        <w:rPr>
          <w:rStyle w:val="VerbatimChar"/>
        </w:rPr>
        <w:t xml:space="preserve">SharedShelves</w:t>
      </w:r>
      <w:r>
        <w:t xml:space="preserve">,</w:t>
      </w:r>
      <w:r>
        <w:t xml:space="preserve"> </w:t>
      </w:r>
      <w:r>
        <w:rPr>
          <w:rStyle w:val="VerbatimChar"/>
        </w:rPr>
        <w:t xml:space="preserve">SharedShelfBooks</w:t>
      </w:r>
      <w:r>
        <w:t xml:space="preserve">,</w:t>
      </w:r>
      <w:r>
        <w:t xml:space="preserve"> </w:t>
      </w:r>
      <w:r>
        <w:rPr>
          <w:rStyle w:val="VerbatimChar"/>
        </w:rPr>
        <w:t xml:space="preserve">EnrolledProfiles</w:t>
      </w:r>
      <w:r>
        <w:t xml:space="preserve">,</w:t>
      </w:r>
      <w:r>
        <w:t xml:space="preserve"> </w:t>
      </w:r>
      <w:r>
        <w:rPr>
          <w:rStyle w:val="VerbatimChar"/>
        </w:rPr>
        <w:t xml:space="preserve">SchoolAiEntitlements</w:t>
      </w:r>
      <w:r>
        <w:t xml:space="preserve">,</w:t>
      </w:r>
      <w:r>
        <w:t xml:space="preserve"> </w:t>
      </w:r>
      <w:r>
        <w:rPr>
          <w:rStyle w:val="VerbatimChar"/>
        </w:rPr>
        <w:t xml:space="preserve">AiUsageLedger</w:t>
      </w:r>
      <w:r>
        <w:t xml:space="preserve">). Verification detail is in</w:t>
      </w:r>
      <w:r>
        <w:t xml:space="preserve"> </w:t>
      </w:r>
      <w:r>
        <w:rPr>
          <w:rStyle w:val="VerbatimChar"/>
        </w:rPr>
        <w:t xml:space="preserve">docs/plans/grand-plan/phase-18/README.md</w:t>
      </w:r>
      <w:r>
        <w:t xml:space="preserve">.</w:t>
      </w:r>
    </w:p>
    <w:p>
      <w:pPr>
        <w:pStyle w:val="BodyText"/>
      </w:pPr>
      <w:r>
        <w:rPr>
          <w:b/>
          <w:bCs/>
        </w:rPr>
        <w:t xml:space="preserve">FR-ADMIN-001</w:t>
      </w:r>
      <w:r>
        <w:t xml:space="preserve"> </w:t>
      </w:r>
      <w:r>
        <w:t xml:space="preserve">(V2 — Code/test evidence): When the administrator publishes or unpublishes a folder, the system shall add or remove its books from the shared host library.</w:t>
      </w:r>
    </w:p>
    <w:p>
      <w:pPr>
        <w:pStyle w:val="Compact"/>
        <w:numPr>
          <w:ilvl w:val="0"/>
          <w:numId w:val="1090"/>
        </w:numPr>
      </w:pPr>
      <w:r>
        <w:t xml:space="preserve">Oracle: published-folder books appear in the client catalogue; unpublished do not.</w:t>
      </w:r>
    </w:p>
    <w:p>
      <w:pPr>
        <w:pStyle w:val="Compact"/>
        <w:numPr>
          <w:ilvl w:val="0"/>
          <w:numId w:val="1090"/>
        </w:numPr>
      </w:pPr>
      <w:r>
        <w:t xml:space="preserve">Traces: BG-001; verified by:</w:t>
      </w:r>
      <w:r>
        <w:t xml:space="preserve"> </w:t>
      </w:r>
      <w:r>
        <w:rPr>
          <w:rStyle w:val="VerbatimChar"/>
        </w:rPr>
        <w:t xml:space="preserve">SchoolAdminCatalogueServiceTests</w:t>
      </w:r>
      <w:r>
        <w:t xml:space="preserve">.</w:t>
      </w:r>
    </w:p>
    <w:p>
      <w:pPr>
        <w:pStyle w:val="FirstParagraph"/>
      </w:pPr>
      <w:r>
        <w:rPr>
          <w:b/>
          <w:bCs/>
        </w:rPr>
        <w:t xml:space="preserve">FR-ADMIN-002</w:t>
      </w:r>
      <w:r>
        <w:t xml:space="preserve"> </w:t>
      </w:r>
      <w:r>
        <w:t xml:space="preserve">(V2 — Code/test evidence): When the administrator creates, edits, or deletes a shared shelf and assigns books, the system shall reflect the shelf to all enrolled clients.</w:t>
      </w:r>
    </w:p>
    <w:p>
      <w:pPr>
        <w:pStyle w:val="Compact"/>
        <w:numPr>
          <w:ilvl w:val="0"/>
          <w:numId w:val="1091"/>
        </w:numPr>
      </w:pPr>
      <w:r>
        <w:t xml:space="preserve">Oracle: an admin-created shelf with assigned books is visible with those books in an enrolled student's client view.</w:t>
      </w:r>
    </w:p>
    <w:p>
      <w:pPr>
        <w:pStyle w:val="Compact"/>
        <w:numPr>
          <w:ilvl w:val="0"/>
          <w:numId w:val="1091"/>
        </w:numPr>
      </w:pPr>
      <w:r>
        <w:t xml:space="preserve">Traces: BG-001, BG-002; verified by:</w:t>
      </w:r>
      <w:r>
        <w:t xml:space="preserve"> </w:t>
      </w:r>
      <w:r>
        <w:rPr>
          <w:rStyle w:val="VerbatimChar"/>
        </w:rPr>
        <w:t xml:space="preserve">SchoolAdminCatalogueServiceTests</w:t>
      </w:r>
      <w:r>
        <w:t xml:space="preserve">.</w:t>
      </w:r>
    </w:p>
    <w:p>
      <w:pPr>
        <w:pStyle w:val="FirstParagraph"/>
      </w:pPr>
      <w:r>
        <w:rPr>
          <w:b/>
          <w:bCs/>
        </w:rPr>
        <w:t xml:space="preserve">FR-ADMIN-003</w:t>
      </w:r>
      <w:r>
        <w:t xml:space="preserve"> </w:t>
      </w:r>
      <w:r>
        <w:t xml:space="preserve">(V2 — Code/test evidence): When the administrator enrolls, edits, or revokes a student or teacher profile, the system shall apply the change to host access.</w:t>
      </w:r>
    </w:p>
    <w:p>
      <w:pPr>
        <w:pStyle w:val="Compact"/>
        <w:numPr>
          <w:ilvl w:val="0"/>
          <w:numId w:val="1092"/>
        </w:numPr>
      </w:pPr>
      <w:r>
        <w:t xml:space="preserve">Oracle: an enrolled profile connects; a revoked profile's connection attempt is refused with an authentication error.</w:t>
      </w:r>
    </w:p>
    <w:p>
      <w:pPr>
        <w:pStyle w:val="Compact"/>
        <w:numPr>
          <w:ilvl w:val="0"/>
          <w:numId w:val="1092"/>
        </w:numPr>
      </w:pPr>
      <w:r>
        <w:t xml:space="preserve">Traces: BG-005; verified by:</w:t>
      </w:r>
      <w:r>
        <w:t xml:space="preserve"> </w:t>
      </w:r>
      <w:r>
        <w:rPr>
          <w:rStyle w:val="VerbatimChar"/>
        </w:rPr>
        <w:t xml:space="preserve">SchoolProfileEnrollmentServiceTests</w:t>
      </w:r>
      <w:r>
        <w:t xml:space="preserve">.</w:t>
      </w:r>
    </w:p>
    <w:p>
      <w:pPr>
        <w:pStyle w:val="FirstParagraph"/>
      </w:pPr>
      <w:r>
        <w:rPr>
          <w:b/>
          <w:bCs/>
        </w:rPr>
        <w:t xml:space="preserve">FR-ADMIN-004</w:t>
      </w:r>
      <w:r>
        <w:t xml:space="preserve"> </w:t>
      </w:r>
      <w:r>
        <w:t xml:space="preserve">(V2 — Code/test evidence): When a school AI API key is configured, the system shall store it in the host OS credential store and shall never transmit it to a client.</w:t>
      </w:r>
    </w:p>
    <w:p>
      <w:pPr>
        <w:pStyle w:val="Compact"/>
        <w:numPr>
          <w:ilvl w:val="0"/>
          <w:numId w:val="1093"/>
        </w:numPr>
      </w:pPr>
      <w:r>
        <w:t xml:space="preserve">Oracle: the key is retrievable only through the host credential store; no client HTTP response contains the key value.</w:t>
      </w:r>
    </w:p>
    <w:p>
      <w:pPr>
        <w:pStyle w:val="Compact"/>
        <w:numPr>
          <w:ilvl w:val="0"/>
          <w:numId w:val="1093"/>
        </w:numPr>
      </w:pPr>
      <w:r>
        <w:t xml:space="preserve">Traces: BG-005; verified by:</w:t>
      </w:r>
      <w:r>
        <w:t xml:space="preserve"> </w:t>
      </w:r>
      <w:r>
        <w:rPr>
          <w:rStyle w:val="VerbatimChar"/>
        </w:rPr>
        <w:t xml:space="preserve">ClassroomCredentialStoreTests</w:t>
      </w:r>
      <w:r>
        <w:t xml:space="preserve">,</w:t>
      </w:r>
      <w:r>
        <w:t xml:space="preserve"> </w:t>
      </w:r>
      <w:r>
        <w:rPr>
          <w:rStyle w:val="VerbatimChar"/>
        </w:rPr>
        <w:t xml:space="preserve">AiProxyEndpointHandlerTests</w:t>
      </w:r>
      <w:r>
        <w:t xml:space="preserve">.</w:t>
      </w:r>
    </w:p>
    <w:p>
      <w:pPr>
        <w:pStyle w:val="FirstParagraph"/>
      </w:pPr>
      <w:r>
        <w:rPr>
          <w:b/>
          <w:bCs/>
        </w:rPr>
        <w:t xml:space="preserve">FR-ADMIN-005</w:t>
      </w:r>
      <w:r>
        <w:t xml:space="preserve"> </w:t>
      </w:r>
      <w:r>
        <w:t xml:space="preserve">(V2 — Code/test evidence): When a student issues an AI query, the system shall route it through the host AI gateway; no client shall call a provider directly.</w:t>
      </w:r>
    </w:p>
    <w:p>
      <w:pPr>
        <w:pStyle w:val="Compact"/>
        <w:numPr>
          <w:ilvl w:val="0"/>
          <w:numId w:val="1094"/>
        </w:numPr>
      </w:pPr>
      <w:r>
        <w:t xml:space="preserve">Oracle: client AI search reaches the provider only via the host</w:t>
      </w:r>
      <w:r>
        <w:t xml:space="preserve"> </w:t>
      </w:r>
      <w:r>
        <w:rPr>
          <w:rStyle w:val="VerbatimChar"/>
        </w:rPr>
        <w:t xml:space="preserve">IAiProvider</w:t>
      </w:r>
      <w:r>
        <w:t xml:space="preserve"> </w:t>
      </w:r>
      <w:r>
        <w:t xml:space="preserve">gateway; the egress monitor records no client-originated provider call.</w:t>
      </w:r>
    </w:p>
    <w:p>
      <w:pPr>
        <w:pStyle w:val="Compact"/>
        <w:numPr>
          <w:ilvl w:val="0"/>
          <w:numId w:val="1094"/>
        </w:numPr>
      </w:pPr>
      <w:r>
        <w:t xml:space="preserve">Traces: BG-003, BG-005; verified by:</w:t>
      </w:r>
      <w:r>
        <w:t xml:space="preserve"> </w:t>
      </w:r>
      <w:r>
        <w:rPr>
          <w:rStyle w:val="VerbatimChar"/>
        </w:rPr>
        <w:t xml:space="preserve">AiProxyEndpointHandlerTests</w:t>
      </w:r>
      <w:r>
        <w:t xml:space="preserve">.</w:t>
      </w:r>
    </w:p>
    <w:p>
      <w:pPr>
        <w:pStyle w:val="FirstParagraph"/>
      </w:pPr>
      <w:r>
        <w:rPr>
          <w:b/>
          <w:bCs/>
        </w:rPr>
        <w:t xml:space="preserve">FR-ADMIN-006</w:t>
      </w:r>
      <w:r>
        <w:t xml:space="preserve"> </w:t>
      </w:r>
      <w:r>
        <w:t xml:space="preserve">(V2 — Code/test evidence): When a class AI policy is created, the system shall default the privacy tier to metadata-only; content-aware shall require administrator opt-in per library.</w:t>
      </w:r>
    </w:p>
    <w:p>
      <w:pPr>
        <w:pStyle w:val="Compact"/>
        <w:numPr>
          <w:ilvl w:val="0"/>
          <w:numId w:val="1095"/>
        </w:numPr>
      </w:pPr>
      <w:r>
        <w:t xml:space="preserve">Oracle: the default policy tier is metadata-only and a student query sends only metadata; content-aware activates only after a recorded admin opt-in.</w:t>
      </w:r>
    </w:p>
    <w:p>
      <w:pPr>
        <w:pStyle w:val="Compact"/>
        <w:numPr>
          <w:ilvl w:val="0"/>
          <w:numId w:val="1095"/>
        </w:numPr>
      </w:pPr>
      <w:r>
        <w:t xml:space="preserve">Traces: BG-005; verified by:</w:t>
      </w:r>
      <w:r>
        <w:t xml:space="preserve"> </w:t>
      </w:r>
      <w:r>
        <w:rPr>
          <w:rStyle w:val="VerbatimChar"/>
        </w:rPr>
        <w:t xml:space="preserve">SchoolAiPolicyServiceTests</w:t>
      </w:r>
      <w:r>
        <w:t xml:space="preserve">.</w:t>
      </w:r>
    </w:p>
    <w:p>
      <w:pPr>
        <w:pStyle w:val="FirstParagraph"/>
      </w:pPr>
      <w:r>
        <w:rPr>
          <w:b/>
          <w:bCs/>
        </w:rPr>
        <w:t xml:space="preserve">FR-ADMIN-007</w:t>
      </w:r>
      <w:r>
        <w:t xml:space="preserve"> </w:t>
      </w:r>
      <w:r>
        <w:t xml:space="preserve">(V2 — Code/test evidence): When a student's query would leave the device, the system shall show the student the privacy-tier label and a payload preview first, with the option to cancel.</w:t>
      </w:r>
    </w:p>
    <w:p>
      <w:pPr>
        <w:pStyle w:val="Compact"/>
        <w:numPr>
          <w:ilvl w:val="0"/>
          <w:numId w:val="1096"/>
        </w:numPr>
      </w:pPr>
      <w:r>
        <w:t xml:space="preserve">Oracle: the preview renders before any off-device send; cancel issues no provider call.</w:t>
      </w:r>
    </w:p>
    <w:p>
      <w:pPr>
        <w:pStyle w:val="Compact"/>
        <w:numPr>
          <w:ilvl w:val="0"/>
          <w:numId w:val="1096"/>
        </w:numPr>
      </w:pPr>
      <w:r>
        <w:t xml:space="preserve">Traces: BG-005; verified by:</w:t>
      </w:r>
      <w:r>
        <w:t xml:space="preserve"> </w:t>
      </w:r>
      <w:r>
        <w:rPr>
          <w:rStyle w:val="VerbatimChar"/>
        </w:rPr>
        <w:t xml:space="preserve">PayloadPreviewViewModelTests</w:t>
      </w:r>
      <w:r>
        <w:t xml:space="preserve">,</w:t>
      </w:r>
      <w:r>
        <w:t xml:space="preserve"> </w:t>
      </w:r>
      <w:r>
        <w:rPr>
          <w:rStyle w:val="VerbatimChar"/>
        </w:rPr>
        <w:t xml:space="preserve">StudentSmartSearchViewModelTests</w:t>
      </w:r>
      <w:r>
        <w:t xml:space="preserve">.</w:t>
      </w:r>
    </w:p>
    <w:p>
      <w:pPr>
        <w:pStyle w:val="FirstParagraph"/>
      </w:pPr>
      <w:r>
        <w:rPr>
          <w:b/>
          <w:bCs/>
        </w:rPr>
        <w:t xml:space="preserve">FR-ADMIN-008</w:t>
      </w:r>
      <w:r>
        <w:t xml:space="preserve"> </w:t>
      </w:r>
      <w:r>
        <w:t xml:space="preserve">(V2 — Code/test evidence): When a per-student or per-class AI quota is exhausted, the system shall refuse further AI queries for that scope without making a provider call.</w:t>
      </w:r>
    </w:p>
    <w:p>
      <w:pPr>
        <w:pStyle w:val="Compact"/>
        <w:numPr>
          <w:ilvl w:val="0"/>
          <w:numId w:val="1097"/>
        </w:numPr>
      </w:pPr>
      <w:r>
        <w:t xml:space="preserve">Oracle: a query beyond quota returns a quota-exhausted response and the provider call count does not increase.</w:t>
      </w:r>
    </w:p>
    <w:p>
      <w:pPr>
        <w:pStyle w:val="Compact"/>
        <w:numPr>
          <w:ilvl w:val="0"/>
          <w:numId w:val="1097"/>
        </w:numPr>
      </w:pPr>
      <w:r>
        <w:t xml:space="preserve">Traces: BG-005; verified by:</w:t>
      </w:r>
      <w:r>
        <w:t xml:space="preserve"> </w:t>
      </w:r>
      <w:r>
        <w:rPr>
          <w:rStyle w:val="VerbatimChar"/>
        </w:rPr>
        <w:t xml:space="preserve">SchoolAiPolicyServiceTests</w:t>
      </w:r>
      <w:r>
        <w:t xml:space="preserve"> </w:t>
      </w:r>
      <w:r>
        <w:t xml:space="preserve">(schema:</w:t>
      </w:r>
      <w:r>
        <w:t xml:space="preserve"> </w:t>
      </w:r>
      <w:r>
        <w:rPr>
          <w:rStyle w:val="VerbatimChar"/>
        </w:rPr>
        <w:t xml:space="preserve">SchoolAiEntitlements</w:t>
      </w:r>
      <w:r>
        <w:t xml:space="preserve">,</w:t>
      </w:r>
      <w:r>
        <w:t xml:space="preserve"> </w:t>
      </w:r>
      <w:r>
        <w:rPr>
          <w:rStyle w:val="VerbatimChar"/>
        </w:rPr>
        <w:t xml:space="preserve">AiUsageLedger</w:t>
      </w:r>
      <w:r>
        <w:t xml:space="preserve">).</w:t>
      </w:r>
    </w:p>
    <w:p>
      <w:pPr>
        <w:pStyle w:val="FirstParagraph"/>
      </w:pPr>
      <w:r>
        <w:rPr>
          <w:b/>
          <w:bCs/>
        </w:rPr>
        <w:t xml:space="preserve">FR-ADMIN-009</w:t>
      </w:r>
      <w:r>
        <w:t xml:space="preserve"> </w:t>
      </w:r>
      <w:r>
        <w:t xml:space="preserve">(V2 — Code/test evidence): When a student exceeds the per-student rate limit, the system shall reject the excess requests with a retry-after indication; requests below the limit shall succeed.</w:t>
      </w:r>
    </w:p>
    <w:p>
      <w:pPr>
        <w:pStyle w:val="Compact"/>
        <w:numPr>
          <w:ilvl w:val="0"/>
          <w:numId w:val="1098"/>
        </w:numPr>
      </w:pPr>
      <w:r>
        <w:t xml:space="preserve">Oracle: requests above the per-minute limit are rejected with retry-after; requests below it succeed.</w:t>
      </w:r>
    </w:p>
    <w:p>
      <w:pPr>
        <w:pStyle w:val="Compact"/>
        <w:numPr>
          <w:ilvl w:val="0"/>
          <w:numId w:val="1098"/>
        </w:numPr>
      </w:pPr>
      <w:r>
        <w:t xml:space="preserve">Traces: BG-005; verified by:</w:t>
      </w:r>
      <w:r>
        <w:t xml:space="preserve"> </w:t>
      </w:r>
      <w:r>
        <w:rPr>
          <w:rStyle w:val="VerbatimChar"/>
        </w:rPr>
        <w:t xml:space="preserve">SchoolAiPolicyServiceTests</w:t>
      </w:r>
      <w:r>
        <w:t xml:space="preserve">.</w:t>
      </w:r>
    </w:p>
    <w:p>
      <w:pPr>
        <w:pStyle w:val="FirstParagraph"/>
      </w:pPr>
      <w:r>
        <w:rPr>
          <w:b/>
          <w:bCs/>
        </w:rPr>
        <w:t xml:space="preserve">FR-ADMIN-010</w:t>
      </w:r>
      <w:r>
        <w:t xml:space="preserve"> </w:t>
      </w:r>
      <w:r>
        <w:t xml:space="preserve">(V2 — Code/test evidence): When the administrator opens the usage dashboard, the system shall show per-student and per-class AI query counts, cost, and quota utilization derived from the usage ledger.</w:t>
      </w:r>
    </w:p>
    <w:p>
      <w:pPr>
        <w:pStyle w:val="Compact"/>
        <w:numPr>
          <w:ilvl w:val="0"/>
          <w:numId w:val="1099"/>
        </w:numPr>
      </w:pPr>
      <w:r>
        <w:t xml:space="preserve">Oracle: dashboard figures equal the corresponding</w:t>
      </w:r>
      <w:r>
        <w:t xml:space="preserve"> </w:t>
      </w:r>
      <w:r>
        <w:rPr>
          <w:rStyle w:val="VerbatimChar"/>
        </w:rPr>
        <w:t xml:space="preserve">AiUsageLedger</w:t>
      </w:r>
      <w:r>
        <w:t xml:space="preserve"> </w:t>
      </w:r>
      <w:r>
        <w:t xml:space="preserve">and</w:t>
      </w:r>
      <w:r>
        <w:t xml:space="preserve"> </w:t>
      </w:r>
      <w:r>
        <w:rPr>
          <w:rStyle w:val="VerbatimChar"/>
        </w:rPr>
        <w:t xml:space="preserve">AuditEvents</w:t>
      </w:r>
      <w:r>
        <w:t xml:space="preserve"> </w:t>
      </w:r>
      <w:r>
        <w:t xml:space="preserve">aggregates for a known fixture.</w:t>
      </w:r>
    </w:p>
    <w:p>
      <w:pPr>
        <w:pStyle w:val="Compact"/>
        <w:numPr>
          <w:ilvl w:val="0"/>
          <w:numId w:val="1099"/>
        </w:numPr>
      </w:pPr>
      <w:r>
        <w:t xml:space="preserve">Traces: BG-003, BG-005; verified by:</w:t>
      </w:r>
      <w:r>
        <w:t xml:space="preserve"> </w:t>
      </w:r>
      <w:r>
        <w:rPr>
          <w:rStyle w:val="VerbatimChar"/>
        </w:rPr>
        <w:t xml:space="preserve">SchoolUsageDashboardServiceTests</w:t>
      </w:r>
      <w:r>
        <w:t xml:space="preserve">,</w:t>
      </w:r>
      <w:r>
        <w:t xml:space="preserve"> </w:t>
      </w:r>
      <w:r>
        <w:rPr>
          <w:rStyle w:val="VerbatimChar"/>
        </w:rPr>
        <w:t xml:space="preserve">SchoolAdminPanelRenderTests</w:t>
      </w:r>
      <w:r>
        <w:t xml:space="preserve">.</w:t>
      </w:r>
    </w:p>
    <w:p>
      <w:pPr>
        <w:pStyle w:val="FirstParagraph"/>
      </w:pPr>
      <w:r>
        <w:rPr>
          <w:b/>
          <w:bCs/>
        </w:rPr>
        <w:t xml:space="preserve">FR-ADMIN-011</w:t>
      </w:r>
      <w:r>
        <w:t xml:space="preserve"> </w:t>
      </w:r>
      <w:r>
        <w:t xml:space="preserve">(V2 — Code/test evidence): When classroom answer mode responds, the system shall cite only evidence present in the host catalogue.</w:t>
      </w:r>
    </w:p>
    <w:p>
      <w:pPr>
        <w:pStyle w:val="Compact"/>
        <w:numPr>
          <w:ilvl w:val="0"/>
          <w:numId w:val="1100"/>
        </w:numPr>
      </w:pPr>
      <w:r>
        <w:t xml:space="preserve">Oracle: every citation in an answer names a book present in the host catalogue; a response containing any other reference fails.</w:t>
      </w:r>
    </w:p>
    <w:p>
      <w:pPr>
        <w:pStyle w:val="Compact"/>
        <w:numPr>
          <w:ilvl w:val="0"/>
          <w:numId w:val="1100"/>
        </w:numPr>
      </w:pPr>
      <w:r>
        <w:t xml:space="preserve">Traces: BG-003; verified by:</w:t>
      </w:r>
      <w:r>
        <w:t xml:space="preserve"> </w:t>
      </w:r>
      <w:r>
        <w:rPr>
          <w:rStyle w:val="VerbatimChar"/>
        </w:rPr>
        <w:t xml:space="preserve">ClassroomAnswerGrounderTests</w:t>
      </w:r>
      <w:r>
        <w:t xml:space="preserve">.</w:t>
      </w:r>
    </w:p>
    <w:p>
      <w:pPr>
        <w:pStyle w:val="FirstParagraph"/>
      </w:pPr>
      <w:r>
        <w:rPr>
          <w:b/>
          <w:bCs/>
        </w:rPr>
        <w:t xml:space="preserve">FR-ADMIN-012</w:t>
      </w:r>
      <w:r>
        <w:t xml:space="preserve"> </w:t>
      </w:r>
      <w:r>
        <w:t xml:space="preserve">(V2 — Code/test evidence): When a student deletes their own AI query history, the system shall clear it from the student's private store.</w:t>
      </w:r>
    </w:p>
    <w:p>
      <w:pPr>
        <w:pStyle w:val="Compact"/>
        <w:numPr>
          <w:ilvl w:val="0"/>
          <w:numId w:val="1101"/>
        </w:numPr>
      </w:pPr>
      <w:r>
        <w:t xml:space="preserve">Oracle: after deletion, the student's AI history store contains 0 rows for that student.</w:t>
      </w:r>
    </w:p>
    <w:p>
      <w:pPr>
        <w:pStyle w:val="Compact"/>
        <w:numPr>
          <w:ilvl w:val="0"/>
          <w:numId w:val="1101"/>
        </w:numPr>
      </w:pPr>
      <w:r>
        <w:t xml:space="preserve">Traces: BG-005; verified by:</w:t>
      </w:r>
      <w:r>
        <w:t xml:space="preserve"> </w:t>
      </w:r>
      <w:r>
        <w:rPr>
          <w:rStyle w:val="VerbatimChar"/>
        </w:rPr>
        <w:t xml:space="preserve">SchoolAiHistoryManagementServiceTests</w:t>
      </w:r>
      <w:r>
        <w:t xml:space="preserve">.</w:t>
      </w:r>
    </w:p>
    <w:p>
      <w:pPr>
        <w:pStyle w:val="FirstParagraph"/>
      </w:pPr>
      <w:r>
        <w:rPr>
          <w:b/>
          <w:bCs/>
        </w:rPr>
        <w:t xml:space="preserve">FR-ADMIN-013</w:t>
      </w:r>
      <w:r>
        <w:t xml:space="preserve"> </w:t>
      </w:r>
      <w:r>
        <w:t xml:space="preserve">(V2 — Code/test evidence): When the administrator purges institutional AI history, the system shall remove all student AI query history for the institution from the host.</w:t>
      </w:r>
    </w:p>
    <w:p>
      <w:pPr>
        <w:pStyle w:val="Compact"/>
        <w:numPr>
          <w:ilvl w:val="0"/>
          <w:numId w:val="1102"/>
        </w:numPr>
      </w:pPr>
      <w:r>
        <w:t xml:space="preserve">Oracle: after the purge, the host holds 0 AI-history rows for the institution.</w:t>
      </w:r>
    </w:p>
    <w:p>
      <w:pPr>
        <w:pStyle w:val="Compact"/>
        <w:numPr>
          <w:ilvl w:val="0"/>
          <w:numId w:val="1102"/>
        </w:numPr>
      </w:pPr>
      <w:r>
        <w:t xml:space="preserve">Traces: BG-005; verified by:</w:t>
      </w:r>
      <w:r>
        <w:t xml:space="preserve"> </w:t>
      </w:r>
      <w:r>
        <w:rPr>
          <w:rStyle w:val="VerbatimChar"/>
        </w:rPr>
        <w:t xml:space="preserve">SchoolAiHistoryManagementServiceTests</w:t>
      </w:r>
      <w:r>
        <w:t xml:space="preserve">.</w:t>
      </w:r>
    </w:p>
    <w:bookmarkEnd w:id="38"/>
    <w:bookmarkStart w:id="39" w:name="X1591f5c1ad11959957de1df6affbbb43eb8e7e9"/>
    <w:p>
      <w:pPr>
        <w:pStyle w:val="Heading2"/>
      </w:pPr>
      <w:r>
        <w:rPr>
          <w:rStyle w:val="SectionNumber"/>
          <w:rFonts w:ascii="Spectral" w:hAnsi="Spectral" w:eastAsia="Spectral"/>
          <w:color w:val="132338"/>
        </w:rPr>
        <w:t xml:space="preserve">5.10</w:t>
      </w:r>
      <w:r>
        <w:rPr>
          <w:rFonts w:ascii="Spectral" w:hAnsi="Spectral" w:eastAsia="Spectral"/>
          <w:color w:val="132338"/>
        </w:rPr>
        <w:tab/>
      </w:r>
      <w:r>
        <w:rPr>
          <w:rFonts w:ascii="Spectral" w:hAnsi="Spectral" w:eastAsia="Spectral"/>
          <w:color w:val="132338"/>
        </w:rPr>
        <w:t xml:space="preserve">4.10 Extension and Interoperability (EXT)</w:t>
      </w:r>
    </w:p>
    <w:p>
      <w:pPr>
        <w:pStyle w:val="FirstParagraph"/>
      </w:pPr>
      <w:r>
        <w:rPr>
          <w:b/>
          <w:bCs/>
        </w:rPr>
        <w:t xml:space="preserve">FR-EXT-001</w:t>
      </w:r>
      <w:r>
        <w:t xml:space="preserve"> </w:t>
      </w:r>
      <w:r>
        <w:t xml:space="preserve">(V2 — Partial): When a plugin registers against a metadata, export, OCR, or AI provider interface, the system shall load it behind the corresponding contract, and all extension off-device traffic shall route through the AI gateway privacy tiers.</w:t>
      </w:r>
    </w:p>
    <w:p>
      <w:pPr>
        <w:pStyle w:val="Compact"/>
        <w:numPr>
          <w:ilvl w:val="0"/>
          <w:numId w:val="1103"/>
        </w:numPr>
      </w:pPr>
      <w:r>
        <w:t xml:space="preserve">Oracle: a test plugin registered per interface is invoked through the contract; an extension-originated off-device call without gateway routing is refused.</w:t>
      </w:r>
    </w:p>
    <w:p>
      <w:pPr>
        <w:pStyle w:val="Compact"/>
        <w:numPr>
          <w:ilvl w:val="0"/>
          <w:numId w:val="1103"/>
        </w:numPr>
      </w:pPr>
      <w:r>
        <w:t xml:space="preserve">Traces: BG-004; verified by:</w:t>
      </w:r>
      <w:r>
        <w:t xml:space="preserve"> </w:t>
      </w:r>
      <w:r>
        <w:rPr>
          <w:rStyle w:val="VerbatimChar"/>
        </w:rPr>
        <w:t xml:space="preserve">AdvisorExtensionPointTests</w:t>
      </w:r>
      <w:r>
        <w:t xml:space="preserve"> </w:t>
      </w:r>
      <w:r>
        <w:t xml:space="preserve">(advisor extension point exists; the full 4-interface plugin surface is not started).</w:t>
      </w:r>
    </w:p>
    <w:p>
      <w:pPr>
        <w:pStyle w:val="FirstParagraph"/>
      </w:pPr>
      <w:r>
        <w:rPr>
          <w:b/>
          <w:bCs/>
        </w:rPr>
        <w:t xml:space="preserve">FR-EXT-002</w:t>
      </w:r>
      <w:r>
        <w:t xml:space="preserve"> </w:t>
      </w:r>
      <w:r>
        <w:t xml:space="preserve">(V2 — Not started): When a local consumer calls the documented read API, the system shall serve read-only catalogue and search-index queries per the published contract.</w:t>
      </w:r>
    </w:p>
    <w:p>
      <w:pPr>
        <w:pStyle w:val="Compact"/>
        <w:numPr>
          <w:ilvl w:val="0"/>
          <w:numId w:val="1104"/>
        </w:numPr>
      </w:pPr>
      <w:r>
        <w:t xml:space="preserve">Oracle: each documented endpoint returns the documented shape for a fixture catalogue; no write operation exists on the surface.</w:t>
      </w:r>
    </w:p>
    <w:p>
      <w:pPr>
        <w:pStyle w:val="Compact"/>
        <w:numPr>
          <w:ilvl w:val="0"/>
          <w:numId w:val="1104"/>
        </w:numPr>
      </w:pPr>
      <w:r>
        <w:t xml:space="preserve">Traces: BG-004; verified by: planned TC-EXT-002.</w:t>
      </w:r>
    </w:p>
    <w:p>
      <w:pPr>
        <w:pStyle w:val="FirstParagraph"/>
      </w:pPr>
      <w:r>
        <w:rPr>
          <w:b/>
          <w:bCs/>
        </w:rPr>
        <w:t xml:space="preserve">FR-EXT-003</w:t>
      </w:r>
      <w:r>
        <w:t xml:space="preserve"> </w:t>
      </w:r>
      <w:r>
        <w:t xml:space="preserve">(V2 — Not started): When the user imports from Zotero, Calibre, or Goodreads, the system shall map the source's records into the catalogue, and theme and icon packs shall be installable.</w:t>
      </w:r>
    </w:p>
    <w:p>
      <w:pPr>
        <w:pStyle w:val="Compact"/>
        <w:numPr>
          <w:ilvl w:val="0"/>
          <w:numId w:val="1105"/>
        </w:numPr>
      </w:pPr>
      <w:r>
        <w:t xml:space="preserve">Oracle: a fixture export from each named source imports with documented field mapping and 0 dropped records; an installed theme pack changes the active theme.</w:t>
      </w:r>
    </w:p>
    <w:p>
      <w:pPr>
        <w:pStyle w:val="Compact"/>
        <w:numPr>
          <w:ilvl w:val="0"/>
          <w:numId w:val="1105"/>
        </w:numPr>
      </w:pPr>
      <w:r>
        <w:t xml:space="preserve">Traces: BG-004; verified by: planned TC-EXT-003.</w:t>
      </w:r>
    </w:p>
    <w:bookmarkEnd w:id="39"/>
    <w:bookmarkStart w:id="40" w:name="X63a1f1f59f0cd7b4d483afff14cf6b3d940f2f8"/>
    <w:p>
      <w:pPr>
        <w:pStyle w:val="Heading2"/>
      </w:pPr>
      <w:r>
        <w:rPr>
          <w:rStyle w:val="SectionNumber"/>
          <w:rFonts w:ascii="Spectral" w:hAnsi="Spectral" w:eastAsia="Spectral"/>
          <w:color w:val="132338"/>
        </w:rPr>
        <w:t xml:space="preserve">5.11</w:t>
      </w:r>
      <w:r>
        <w:rPr>
          <w:rFonts w:ascii="Spectral" w:hAnsi="Spectral" w:eastAsia="Spectral"/>
          <w:color w:val="132338"/>
        </w:rPr>
        <w:tab/>
      </w:r>
      <w:r>
        <w:rPr>
          <w:rFonts w:ascii="Spectral" w:hAnsi="Spectral" w:eastAsia="Spectral"/>
          <w:color w:val="132338"/>
        </w:rPr>
        <w:t xml:space="preserve">4.11 Premium Experience (UX)</w:t>
      </w:r>
    </w:p>
    <w:p>
      <w:pPr>
        <w:pStyle w:val="FirstParagraph"/>
      </w:pPr>
      <w:r>
        <w:rPr>
          <w:b/>
          <w:bCs/>
        </w:rPr>
        <w:t xml:space="preserve">FR-UX-001</w:t>
      </w:r>
      <w:r>
        <w:t xml:space="preserve"> </w:t>
      </w:r>
      <w:r>
        <w:t xml:space="preserve">(MVP — Partial): When a new user completes first-run setup, the system shall require no mandatory configuration beyond choosing the library root, shall keep the catalogue browsable while scanning continues in background, and shall reach a browsable library within 5 min for 2,000 PDFs on W-REF-01.</w:t>
      </w:r>
    </w:p>
    <w:p>
      <w:pPr>
        <w:pStyle w:val="Compact"/>
        <w:numPr>
          <w:ilvl w:val="0"/>
          <w:numId w:val="1106"/>
        </w:numPr>
      </w:pPr>
      <w:r>
        <w:t xml:space="preserve">Oracle: a scripted first run on the</w:t>
      </w:r>
      <w:r>
        <w:t xml:space="preserve"> </w:t>
      </w:r>
      <w:r>
        <w:rPr>
          <w:rStyle w:val="VerbatimChar"/>
        </w:rPr>
        <w:t xml:space="preserve">gc-perf-2000</w:t>
      </w:r>
      <w:r>
        <w:t xml:space="preserve"> </w:t>
      </w:r>
      <w:r>
        <w:t xml:space="preserve">corpus reaches a browsable catalogue within 5 min with only the root chosen; formal timing acceptance at Phase 20.</w:t>
      </w:r>
    </w:p>
    <w:p>
      <w:pPr>
        <w:pStyle w:val="Compact"/>
        <w:numPr>
          <w:ilvl w:val="0"/>
          <w:numId w:val="1106"/>
        </w:numPr>
      </w:pPr>
      <w:r>
        <w:t xml:space="preserve">Traces: BG-001, BG-002; verified by:</w:t>
      </w:r>
      <w:r>
        <w:t xml:space="preserve"> </w:t>
      </w:r>
      <w:r>
        <w:rPr>
          <w:rStyle w:val="VerbatimChar"/>
        </w:rPr>
        <w:t xml:space="preserve">ScanProgressTests</w:t>
      </w:r>
      <w:r>
        <w:t xml:space="preserve"> </w:t>
      </w:r>
      <w:r>
        <w:t xml:space="preserve">(background browsability); planned TC-UX-001 (timed journey).</w:t>
      </w:r>
    </w:p>
    <w:p>
      <w:pPr>
        <w:pStyle w:val="FirstParagraph"/>
      </w:pPr>
      <w:r>
        <w:rPr>
          <w:b/>
          <w:bCs/>
        </w:rPr>
        <w:t xml:space="preserve">FR-UX-002</w:t>
      </w:r>
      <w:r>
        <w:t xml:space="preserve"> </w:t>
      </w:r>
      <w:r>
        <w:t xml:space="preserve">(MVP — Partial): When any primary surface (catalogue views, reader, search, AI advisor, health dashboard, settings) loads, is empty, errors, or is in progress, the system shall render the corresponding defined state; no surface shall render a blank panel.</w:t>
      </w:r>
    </w:p>
    <w:p>
      <w:pPr>
        <w:pStyle w:val="Compact"/>
        <w:numPr>
          <w:ilvl w:val="0"/>
          <w:numId w:val="1107"/>
        </w:numPr>
      </w:pPr>
      <w:r>
        <w:t xml:space="preserve">Oracle: driving each surface into each of the 4 states renders its defined state; a blank panel is a failure.</w:t>
      </w:r>
    </w:p>
    <w:p>
      <w:pPr>
        <w:pStyle w:val="Compact"/>
        <w:numPr>
          <w:ilvl w:val="0"/>
          <w:numId w:val="1107"/>
        </w:numPr>
      </w:pPr>
      <w:r>
        <w:t xml:space="preserve">Traces: BG-002; verified by:</w:t>
      </w:r>
      <w:r>
        <w:t xml:space="preserve"> </w:t>
      </w:r>
      <w:r>
        <w:rPr>
          <w:rStyle w:val="VerbatimChar"/>
        </w:rPr>
        <w:t xml:space="preserve">SkeletonRenderTests</w:t>
      </w:r>
      <w:r>
        <w:t xml:space="preserve"> </w:t>
      </w:r>
      <w:r>
        <w:t xml:space="preserve">(loading states); planned TC-UX-002 (full state matrix).</w:t>
      </w:r>
    </w:p>
    <w:p>
      <w:pPr>
        <w:pStyle w:val="FirstParagraph"/>
      </w:pPr>
      <w:r>
        <w:rPr>
          <w:b/>
          <w:bCs/>
        </w:rPr>
        <w:t xml:space="preserve">FR-UX-003</w:t>
      </w:r>
      <w:r>
        <w:t xml:space="preserve"> </w:t>
      </w:r>
      <w:r>
        <w:t xml:space="preserve">(MVP — Not started): When the user invokes the command palette, the system shall expose all catalogue, reader, and search commands by typed query and keyboard invocation.</w:t>
      </w:r>
    </w:p>
    <w:p>
      <w:pPr>
        <w:pStyle w:val="Compact"/>
        <w:numPr>
          <w:ilvl w:val="0"/>
          <w:numId w:val="1108"/>
        </w:numPr>
      </w:pPr>
      <w:r>
        <w:t xml:space="preserve">Oracle: every command in the command registry is findable by its name in the palette and executes on selection.</w:t>
      </w:r>
    </w:p>
    <w:p>
      <w:pPr>
        <w:pStyle w:val="Compact"/>
        <w:numPr>
          <w:ilvl w:val="0"/>
          <w:numId w:val="1108"/>
        </w:numPr>
      </w:pPr>
      <w:r>
        <w:t xml:space="preserve">Traces: BG-002; verified by: planned TC-UX-003.</w:t>
      </w:r>
    </w:p>
    <w:p>
      <w:pPr>
        <w:pStyle w:val="FirstParagraph"/>
      </w:pPr>
      <w:r>
        <w:rPr>
          <w:b/>
          <w:bCs/>
        </w:rPr>
        <w:t xml:space="preserve">FR-UX-004</w:t>
      </w:r>
      <w:r>
        <w:t xml:space="preserve"> </w:t>
      </w:r>
      <w:r>
        <w:t xml:space="preserve">(MVP — Partial): When the user switches the interface language between English and French, the system shall apply the change at runtime without restart; Spanish, Italian, and German complete at V2.</w:t>
      </w:r>
    </w:p>
    <w:p>
      <w:pPr>
        <w:pStyle w:val="Compact"/>
        <w:numPr>
          <w:ilvl w:val="0"/>
          <w:numId w:val="1109"/>
        </w:numPr>
      </w:pPr>
      <w:r>
        <w:t xml:space="preserve">Oracle: switching en ↔ fr re-renders visible strings in the target language in the same session; pseudolocale tests detect hard-coded strings.</w:t>
      </w:r>
    </w:p>
    <w:p>
      <w:pPr>
        <w:pStyle w:val="Compact"/>
        <w:numPr>
          <w:ilvl w:val="0"/>
          <w:numId w:val="1109"/>
        </w:numPr>
      </w:pPr>
      <w:r>
        <w:t xml:space="preserve">Traces: BG-002; verified by: pseudolocale test suite (en + fr resources implemented); planned TC-UX-004 (es/it/de, Phase 21).</w:t>
      </w:r>
    </w:p>
    <w:p>
      <w:pPr>
        <w:pStyle w:val="FirstParagraph"/>
      </w:pPr>
      <w:r>
        <w:rPr>
          <w:b/>
          <w:bCs/>
        </w:rPr>
        <w:t xml:space="preserve">FR-UX-005</w:t>
      </w:r>
      <w:r>
        <w:t xml:space="preserve"> </w:t>
      </w:r>
      <w:r>
        <w:t xml:space="preserve">(MVP — Not started as formal acceptance): When a user operates any core flow (setup, browse, open, read, annotate, search) by keyboard alone, the system shall complete the flow end-to-end without pointer input.</w:t>
      </w:r>
    </w:p>
    <w:p>
      <w:pPr>
        <w:pStyle w:val="Compact"/>
        <w:numPr>
          <w:ilvl w:val="0"/>
          <w:numId w:val="1110"/>
        </w:numPr>
      </w:pPr>
      <w:r>
        <w:t xml:space="preserve">Oracle: a scripted keyboard-only walkthrough completes each flow; any pointer-required step fails the gate (NFR-PROD-007). Formal audit is Phase 21 scope.</w:t>
      </w:r>
    </w:p>
    <w:p>
      <w:pPr>
        <w:pStyle w:val="Compact"/>
        <w:numPr>
          <w:ilvl w:val="0"/>
          <w:numId w:val="1110"/>
        </w:numPr>
      </w:pPr>
      <w:r>
        <w:t xml:space="preserve">Traces: BG-002; verified by: planned TC-UX-005.</w:t>
      </w:r>
    </w:p>
    <w:p>
      <w:pPr>
        <w:pStyle w:val="FirstParagraph"/>
      </w:pPr>
      <w:r>
        <w:rPr>
          <w:b/>
          <w:bCs/>
        </w:rPr>
        <w:t xml:space="preserve">FR-UX-006</w:t>
      </w:r>
      <w:r>
        <w:t xml:space="preserve"> </w:t>
      </w:r>
      <w:r>
        <w:t xml:space="preserve">(V1 — Not started): When the user requests help, the system shall present contextual help for the active surface plus a searchable manual, with no internet connection required.</w:t>
      </w:r>
    </w:p>
    <w:p>
      <w:pPr>
        <w:pStyle w:val="Compact"/>
        <w:numPr>
          <w:ilvl w:val="0"/>
          <w:numId w:val="1111"/>
        </w:numPr>
      </w:pPr>
      <w:r>
        <w:t xml:space="preserve">Oracle: with the network disabled, each primary surface opens its contextual help and a manual search returns matching topics.</w:t>
      </w:r>
    </w:p>
    <w:p>
      <w:pPr>
        <w:pStyle w:val="Compact"/>
        <w:numPr>
          <w:ilvl w:val="0"/>
          <w:numId w:val="1111"/>
        </w:numPr>
      </w:pPr>
      <w:r>
        <w:t xml:space="preserve">Traces: BG-002; verified by: planned TC-UX-006.</w:t>
      </w:r>
    </w:p>
    <w:p>
      <w:pPr>
        <w:pStyle w:val="FirstParagraph"/>
      </w:pPr>
      <w:r>
        <w:rPr>
          <w:b/>
          <w:bCs/>
        </w:rPr>
        <w:t xml:space="preserve">FR-UX-007</w:t>
      </w:r>
      <w:r>
        <w:t xml:space="preserve"> </w:t>
      </w:r>
      <w:r>
        <w:t xml:space="preserve">(MVP — Not started as formal acceptance): When a user who knows a book launches the application, the system shall support finding that book and resuming reading at last position within 60 s, measured as a scripted journey on W-REF-01.</w:t>
      </w:r>
    </w:p>
    <w:p>
      <w:pPr>
        <w:pStyle w:val="Compact"/>
        <w:numPr>
          <w:ilvl w:val="0"/>
          <w:numId w:val="1112"/>
        </w:numPr>
      </w:pPr>
      <w:r>
        <w:t xml:space="preserve">Oracle: the scripted locate-and-resume journey completes within 60 s at P95 over repeated runs on W-REF-01 (Phase 20 acceptance).</w:t>
      </w:r>
    </w:p>
    <w:p>
      <w:pPr>
        <w:pStyle w:val="Compact"/>
        <w:numPr>
          <w:ilvl w:val="0"/>
          <w:numId w:val="1112"/>
        </w:numPr>
      </w:pPr>
      <w:r>
        <w:t xml:space="preserve">Traces: BG-001, BG-002; verified by: planned TC-UX-007.</w:t>
      </w:r>
    </w:p>
    <w:p>
      <w:pPr>
        <w:pStyle w:val="FirstParagraph"/>
      </w:pPr>
      <w:r>
        <w:rPr>
          <w:b/>
          <w:bCs/>
        </w:rPr>
        <w:t xml:space="preserve">FR-UX-008</w:t>
      </w:r>
      <w:r>
        <w:t xml:space="preserve"> </w:t>
      </w:r>
      <w:r>
        <w:t xml:space="preserve">(MVP — Partial): When the user selects light, dark, or system theme, the system shall apply it, and reader typography controls (page fit, zoom persistence per FR-READ-003) shall meet WCAG 2.2 AA contrast in both themes.</w:t>
      </w:r>
    </w:p>
    <w:p>
      <w:pPr>
        <w:pStyle w:val="Compact"/>
        <w:numPr>
          <w:ilvl w:val="0"/>
          <w:numId w:val="1113"/>
        </w:numPr>
      </w:pPr>
      <w:r>
        <w:t xml:space="preserve">Oracle: each theme applies across all surfaces; the automated contrast audit reports ≥ 4.5:1 for normal text and ≥ 3:1 for large text and UI components in both themes (Phase 21 audit).</w:t>
      </w:r>
    </w:p>
    <w:p>
      <w:pPr>
        <w:pStyle w:val="Compact"/>
        <w:numPr>
          <w:ilvl w:val="0"/>
          <w:numId w:val="1113"/>
        </w:numPr>
      </w:pPr>
      <w:r>
        <w:t xml:space="preserve">Traces: BG-002; verified by:</w:t>
      </w:r>
      <w:r>
        <w:t xml:space="preserve"> </w:t>
      </w:r>
      <w:r>
        <w:rPr>
          <w:rStyle w:val="VerbatimChar"/>
        </w:rPr>
        <w:t xml:space="preserve">ReaderViewRenderTests</w:t>
      </w:r>
      <w:r>
        <w:t xml:space="preserve"> </w:t>
      </w:r>
      <w:r>
        <w:t xml:space="preserve">(typography controls); planned TC-UX-008 (contrast audit).</w:t>
      </w:r>
    </w:p>
    <w:p>
      <w:pPr>
        <w:pStyle w:val="FirstParagraph"/>
      </w:pPr>
      <w:r>
        <w:t xml:space="preserve">\newpage</w:t>
      </w:r>
    </w:p>
    <w:bookmarkEnd w:id="40"/>
    <w:bookmarkEnd w:id="41"/>
    <w:bookmarkStart w:id="47" w:name="X1d0793fab0a3ad4cc8b1b715ac245e2ccf65199"/>
    <w:p>
      <w:pPr>
        <w:pStyle w:val="Heading1"/>
      </w:pPr>
      <w:r>
        <w:rPr>
          <w:rStyle w:val="SectionNumber"/>
          <w:rFonts w:ascii="Spectral" w:hAnsi="Spectral" w:eastAsia="Spectral"/>
          <w:color w:val="132338"/>
        </w:rPr>
        <w:t xml:space="preserve">6</w:t>
      </w:r>
      <w:r>
        <w:rPr>
          <w:rFonts w:ascii="Spectral" w:hAnsi="Spectral" w:eastAsia="Spectral"/>
          <w:color w:val="132338"/>
        </w:rPr>
        <w:tab/>
      </w:r>
      <w:r>
        <w:rPr>
          <w:rFonts w:ascii="Spectral" w:hAnsi="Spectral" w:eastAsia="Spectral"/>
          <w:color w:val="132338"/>
        </w:rPr>
        <w:t xml:space="preserve">5. Non-Functional Requirements</w:t>
      </w:r>
    </w:p>
    <w:p>
      <w:pPr>
        <w:pStyle w:val="FirstParagraph"/>
      </w:pPr>
      <w:r>
        <w:t xml:space="preserve">Every non-functional requirement (NFR) states a measurable threshold and a named verification method (IEEE Std 982.1; ISO/IEC 25010). Two scales are specified explicitly, per the binding rule of</w:t>
      </w:r>
      <w:r>
        <w:t xml:space="preserve"> </w:t>
      </w:r>
      <w:r>
        <w:rPr>
          <w:rStyle w:val="VerbatimChar"/>
        </w:rPr>
        <w:t xml:space="preserve">_context/reference-hardware.md</w:t>
      </w:r>
      <w:r>
        <w:t xml:space="preserve"> </w:t>
      </w:r>
      <w:r>
        <w:t xml:space="preserve">(source:</w:t>
      </w:r>
      <w:r>
        <w:t xml:space="preserve"> </w:t>
      </w:r>
      <w:r>
        <w:rPr>
          <w:rStyle w:val="VerbatimChar"/>
        </w:rPr>
        <w:t xml:space="preserve">docs/governance/REFERENCE-HARDWARE.md</w:t>
      </w:r>
      <w:r>
        <w:t xml:space="preserve"> </w:t>
      </w:r>
      <w:r>
        <w:t xml:space="preserve">v1.0, decision CON-1):</w:t>
      </w:r>
    </w:p>
    <w:p>
      <w:pPr>
        <w:pStyle w:val="Compact"/>
        <w:numPr>
          <w:ilvl w:val="0"/>
          <w:numId w:val="1114"/>
        </w:numPr>
      </w:pPr>
      <w:r>
        <w:t xml:space="preserve">NFR-OGMA budgets bind release gates at MVP scale — 2,000 books, measured at P95 on reference machine W-REF-01 (Intel Core i5-10210U, 8 GB DDR4, SATA SSD ~550 MB/s, Intel UHD 620, 1920×1080, Windows 10 22H2, bundled fixed-version WebView2). M-REF-01 (MacBook Air M1, 8 GB, macOS 13.6) is expected to meet or exceed each budget; the Windows value is the binding gate.</w:t>
      </w:r>
    </w:p>
    <w:p>
      <w:pPr>
        <w:pStyle w:val="Compact"/>
        <w:numPr>
          <w:ilvl w:val="0"/>
          <w:numId w:val="1114"/>
        </w:numPr>
      </w:pPr>
      <w:r>
        <w:t xml:space="preserve">NFR-PROD figures are V1 large-library targets — 50,000 items (5,000 for cold start) — gated at grand-plan Phase 20, not at the MVP release gate.</w:t>
      </w:r>
    </w:p>
    <w:p>
      <w:pPr>
        <w:pStyle w:val="FirstParagraph"/>
      </w:pPr>
      <w:r>
        <w:t xml:space="preserve">Where both an NFR-OGMA budget and an NFR-PROD target address the same attribute, both scales are stated on each requirement; no attribute carries two unlabelled numbers. The former v1.0</w:t>
      </w:r>
      <w:r>
        <w:t xml:space="preserve"> </w:t>
      </w:r>
      <w:r>
        <w:rPr>
          <w:rStyle w:val="VerbatimChar"/>
        </w:rPr>
        <w:t xml:space="preserve">[DOMAIN-DEFAULT]</w:t>
      </w:r>
      <w:r>
        <w:t xml:space="preserve"> </w:t>
      </w:r>
      <w:r>
        <w:t xml:space="preserve">markers are removed: the productivity-domain defaults have been reviewed and adopted, and appear below as normal numbered requirements.</w:t>
      </w:r>
    </w:p>
    <w:bookmarkStart w:id="42" w:name="Xabe534e5f40c3bd2e69f25ae3e06787a5458306"/>
    <w:p>
      <w:pPr>
        <w:pStyle w:val="Heading2"/>
      </w:pPr>
      <w:r>
        <w:rPr>
          <w:rStyle w:val="SectionNumber"/>
          <w:rFonts w:ascii="Spectral" w:hAnsi="Spectral" w:eastAsia="Spectral"/>
          <w:color w:val="132338"/>
        </w:rPr>
        <w:t xml:space="preserve">6.1</w:t>
      </w:r>
      <w:r>
        <w:rPr>
          <w:rFonts w:ascii="Spectral" w:hAnsi="Spectral" w:eastAsia="Spectral"/>
          <w:color w:val="132338"/>
        </w:rPr>
        <w:tab/>
      </w:r>
      <w:r>
        <w:rPr>
          <w:rFonts w:ascii="Spectral" w:hAnsi="Spectral" w:eastAsia="Spectral"/>
          <w:color w:val="132338"/>
        </w:rPr>
        <w:t xml:space="preserve">5.1 Performance Budgets — Binding at MVP Scale (NFR-OGMA)</w:t>
      </w:r>
    </w:p>
    <w:p>
      <w:pPr>
        <w:pStyle w:val="FirstParagraph"/>
      </w:pPr>
      <w:r>
        <w:rPr>
          <w:b/>
          <w:bCs/>
        </w:rPr>
        <w:t xml:space="preserve">NFR-OGMA-001</w:t>
      </w:r>
      <w:r>
        <w:t xml:space="preserve"> </w:t>
      </w:r>
      <w:r>
        <w:t xml:space="preserve">Cold-start latency. The application shall reach an interactive state within 3 s at P95 on W-REF-01, measured from</w:t>
      </w:r>
      <w:r>
        <w:t xml:space="preserve"> </w:t>
      </w:r>
      <w:r>
        <w:rPr>
          <w:rStyle w:val="VerbatimChar"/>
        </w:rPr>
        <w:t xml:space="preserve">Process.Start</w:t>
      </w:r>
      <w:r>
        <w:t xml:space="preserve"> </w:t>
      </w:r>
      <w:r>
        <w:t xml:space="preserve">to the first</w:t>
      </w:r>
      <w:r>
        <w:t xml:space="preserve"> </w:t>
      </w:r>
      <w:r>
        <w:rPr>
          <w:rStyle w:val="VerbatimChar"/>
        </w:rPr>
        <w:t xml:space="preserve">Loaded</w:t>
      </w:r>
      <w:r>
        <w:t xml:space="preserve"> </w:t>
      </w:r>
      <w:r>
        <w:t xml:space="preserve">event on the shell window, against the MVP-scale catalogue. V1 target: the same 3 s budget against a 5,000-item corpus (NFR-PROD-002, Phase 20 gate). Verification: instrumented startup benchmark over repeated cold launches; the build fails if P95 exceeds the budget.</w:t>
      </w:r>
    </w:p>
    <w:p>
      <w:pPr>
        <w:pStyle w:val="BodyText"/>
      </w:pPr>
      <w:r>
        <w:rPr>
          <w:b/>
          <w:bCs/>
        </w:rPr>
        <w:t xml:space="preserve">NFR-OGMA-002</w:t>
      </w:r>
      <w:r>
        <w:t xml:space="preserve"> </w:t>
      </w:r>
      <w:r>
        <w:t xml:space="preserve">Catalogue-load latency. The application shall render all books in the grid within 2 s at P95 for the 2,000-book</w:t>
      </w:r>
      <w:r>
        <w:t xml:space="preserve"> </w:t>
      </w:r>
      <w:r>
        <w:rPr>
          <w:rStyle w:val="VerbatimChar"/>
        </w:rPr>
        <w:t xml:space="preserve">gc-perf-2000</w:t>
      </w:r>
      <w:r>
        <w:t xml:space="preserve"> </w:t>
      </w:r>
      <w:r>
        <w:t xml:space="preserve">corpus, measured from app-idle to all books visible. V1 target: first screen within 1 s at P95 against 50,000 items (NFR-PROD-003, Phase 20 gate). Verification: scripted catalogue-load benchmark on W-REF-01.</w:t>
      </w:r>
    </w:p>
    <w:p>
      <w:pPr>
        <w:pStyle w:val="BodyText"/>
      </w:pPr>
      <w:r>
        <w:rPr>
          <w:b/>
          <w:bCs/>
        </w:rPr>
        <w:t xml:space="preserve">NFR-OGMA-003</w:t>
      </w:r>
      <w:r>
        <w:t xml:space="preserve"> </w:t>
      </w:r>
      <w:r>
        <w:t xml:space="preserve">Metadata-search latency. The application shall return metadata search results within 150 ms at P95, measured keypress to result list rendered, on the 2,000-book catalogue. There is no separate large-library metadata-search target; full-text and semantic scale targets are NFR-PROD-004. Verification: query-replay benchmark over a fixed query set.</w:t>
      </w:r>
    </w:p>
    <w:p>
      <w:pPr>
        <w:pStyle w:val="BodyText"/>
      </w:pPr>
      <w:r>
        <w:rPr>
          <w:b/>
          <w:bCs/>
        </w:rPr>
        <w:t xml:space="preserve">NFR-OGMA-004</w:t>
      </w:r>
      <w:r>
        <w:t xml:space="preserve"> </w:t>
      </w:r>
      <w:r>
        <w:t xml:space="preserve">Full-text-search latency (warm). The application shall return full-text results within 500 ms at P95, measured submit to results rendered against a warm FTS5 index, at MVP scale. V1 target: the same 500 ms at P95 against a 50,000-document index, with semantic search within 1.5 s at P95 at that scale (NFR-PROD-004, Phase 20 gate). Verification: query-replay benchmark over a warm index.</w:t>
      </w:r>
    </w:p>
    <w:p>
      <w:pPr>
        <w:pStyle w:val="BodyText"/>
      </w:pPr>
      <w:r>
        <w:rPr>
          <w:b/>
          <w:bCs/>
        </w:rPr>
        <w:t xml:space="preserve">NFR-OGMA-005</w:t>
      </w:r>
      <w:r>
        <w:t xml:space="preserve"> </w:t>
      </w:r>
      <w:r>
        <w:t xml:space="preserve">Reader page-turn latency (cached). The application shall complete a page turn within 100 ms at P95 when the target page is in the render cache (</w:t>
      </w:r>
      <w:r>
        <w:rPr>
          <w:rStyle w:val="VerbatimChar"/>
        </w:rPr>
        <w:t xml:space="preserve">PageRenderCache</w:t>
      </w:r>
      <w:r>
        <w:t xml:space="preserve">), measured navigation action to page rendered. This budget also binds classroom cached-page rendering (NFR-CLIENT-002). Verification: instrumented reader benchmark.</w:t>
      </w:r>
    </w:p>
    <w:p>
      <w:pPr>
        <w:pStyle w:val="BodyText"/>
      </w:pPr>
      <w:r>
        <w:rPr>
          <w:b/>
          <w:bCs/>
        </w:rPr>
        <w:t xml:space="preserve">NFR-OGMA-006</w:t>
      </w:r>
      <w:r>
        <w:t xml:space="preserve"> </w:t>
      </w:r>
      <w:r>
        <w:t xml:space="preserve">3D shelf frame rate. The 3D shelf shall sustain ≥ 60 frames per second for a 500-book scene on W-REF-01; the Intel UHD 620 is the binding constraint. Verification: WebView frame-timing benchmark reporting sustained rate and 1% low.</w:t>
      </w:r>
    </w:p>
    <w:p>
      <w:pPr>
        <w:pStyle w:val="BodyText"/>
      </w:pPr>
      <w:r>
        <w:rPr>
          <w:b/>
          <w:bCs/>
        </w:rPr>
        <w:t xml:space="preserve">NFR-OGMA-007</w:t>
      </w:r>
      <w:r>
        <w:t xml:space="preserve"> </w:t>
      </w:r>
      <w:r>
        <w:t xml:space="preserve">AI gateway overhead (metadata-only). A metadata-only AI recommendation request shall complete with gateway-attributable elapsed time ≤ 10 s at P95, where gateway-attributable time is defined as (gateway request received → response rendered) minus (provider round-trip), both intervals instrumented with gateway-side timestamps on every call. Deterministic oracle: both timestamps are recorded per call; P95 of the difference over the benchmark run is ≤ 10 s regardless of provider latency. Verification: instrumented gateway benchmark (</w:t>
      </w:r>
      <w:r>
        <w:rPr>
          <w:rStyle w:val="VerbatimChar"/>
        </w:rPr>
        <w:t xml:space="preserve">AiGateway</w:t>
      </w:r>
      <w:r>
        <w:t xml:space="preserve"> </w:t>
      </w:r>
      <w:r>
        <w:t xml:space="preserve">timestamps); this closes the v1.0</w:t>
      </w:r>
      <w:r>
        <w:t xml:space="preserve"> </w:t>
      </w:r>
      <w:r>
        <w:rPr>
          <w:rStyle w:val="VerbatimChar"/>
        </w:rPr>
        <w:t xml:space="preserve">[SMART-FAIL]</w:t>
      </w:r>
      <w:r>
        <w:t xml:space="preserve"> </w:t>
      </w:r>
      <w:r>
        <w:t xml:space="preserve">on this requirement.</w:t>
      </w:r>
    </w:p>
    <w:bookmarkEnd w:id="42"/>
    <w:bookmarkStart w:id="43" w:name="Xd48a320dcb8f2717edccee91d9e12c2625ece73"/>
    <w:p>
      <w:pPr>
        <w:pStyle w:val="Heading2"/>
      </w:pPr>
      <w:r>
        <w:rPr>
          <w:rStyle w:val="SectionNumber"/>
          <w:rFonts w:ascii="Spectral" w:hAnsi="Spectral" w:eastAsia="Spectral"/>
          <w:color w:val="132338"/>
        </w:rPr>
        <w:t xml:space="preserve">6.2</w:t>
      </w:r>
      <w:r>
        <w:rPr>
          <w:rFonts w:ascii="Spectral" w:hAnsi="Spectral" w:eastAsia="Spectral"/>
          <w:color w:val="132338"/>
        </w:rPr>
        <w:tab/>
      </w:r>
      <w:r>
        <w:rPr>
          <w:rFonts w:ascii="Spectral" w:hAnsi="Spectral" w:eastAsia="Spectral"/>
          <w:color w:val="132338"/>
        </w:rPr>
        <w:t xml:space="preserve">5.2 Reliability and Correctness Attributes</w:t>
      </w:r>
    </w:p>
    <w:p>
      <w:pPr>
        <w:pStyle w:val="FirstParagraph"/>
      </w:pPr>
      <w:r>
        <w:rPr>
          <w:b/>
          <w:bCs/>
        </w:rPr>
        <w:t xml:space="preserve">NFR-OGMA-008</w:t>
      </w:r>
      <w:r>
        <w:t xml:space="preserve"> </w:t>
      </w:r>
      <w:r>
        <w:t xml:space="preserve">Annotation durability. The application shall persist a created or edited annotation to the catalogue of record before reporting it saved, and shall recover all saved annotations after abnormal termination. Verification: fault-injection test terminates the process after a reported save and asserts presence on restart.</w:t>
      </w:r>
    </w:p>
    <w:p>
      <w:pPr>
        <w:pStyle w:val="BodyText"/>
      </w:pPr>
      <w:r>
        <w:rPr>
          <w:b/>
          <w:bCs/>
        </w:rPr>
        <w:t xml:space="preserve">NFR-OGMA-009</w:t>
      </w:r>
      <w:r>
        <w:t xml:space="preserve"> </w:t>
      </w:r>
      <w:r>
        <w:t xml:space="preserve">Background-job recoverability. The application shall resume or restart an interrupted background job (thumbnail, indexing, OCR, embedding, enrichment) after restart without duplicating completed work. Verification: per-job-type interrupt-and-restart test asserting completion with no duplicate output.</w:t>
      </w:r>
    </w:p>
    <w:bookmarkEnd w:id="43"/>
    <w:bookmarkStart w:id="44" w:name="Xbd4eece1ab6e8aa3f9620e421144cb7d77a7ea5"/>
    <w:p>
      <w:pPr>
        <w:pStyle w:val="Heading2"/>
      </w:pPr>
      <w:r>
        <w:rPr>
          <w:rStyle w:val="SectionNumber"/>
          <w:rFonts w:ascii="Spectral" w:hAnsi="Spectral" w:eastAsia="Spectral"/>
          <w:color w:val="132338"/>
        </w:rPr>
        <w:t xml:space="preserve">6.3</w:t>
      </w:r>
      <w:r>
        <w:rPr>
          <w:rFonts w:ascii="Spectral" w:hAnsi="Spectral" w:eastAsia="Spectral"/>
          <w:color w:val="132338"/>
        </w:rPr>
        <w:tab/>
      </w:r>
      <w:r>
        <w:rPr>
          <w:rFonts w:ascii="Spectral" w:hAnsi="Spectral" w:eastAsia="Spectral"/>
          <w:color w:val="132338"/>
        </w:rPr>
        <w:t xml:space="preserve">5.3 Adopted Productivity-Domain Requirements (NFR-PROD)</w:t>
      </w:r>
    </w:p>
    <w:p>
      <w:pPr>
        <w:pStyle w:val="FirstParagraph"/>
      </w:pPr>
      <w:r>
        <w:t xml:space="preserve">Source:</w:t>
      </w:r>
      <w:r>
        <w:t xml:space="preserve"> </w:t>
      </w:r>
      <w:r>
        <w:rPr>
          <w:rStyle w:val="VerbatimChar"/>
        </w:rPr>
        <w:t xml:space="preserve">domains/productivity/references/nfr-defaults.md</w:t>
      </w:r>
      <w:r>
        <w:t xml:space="preserve">, reviewed and adopted 2026-07-06. Performance items (NFR-PROD-002, NFR-PROD-003, NFR-PROD-004) are V1 large-library targets gated at Phase 20; all other items bind at every release.</w:t>
      </w:r>
    </w:p>
    <w:p>
      <w:pPr>
        <w:pStyle w:val="BodyText"/>
      </w:pPr>
      <w:r>
        <w:rPr>
          <w:b/>
          <w:bCs/>
        </w:rPr>
        <w:t xml:space="preserve">NFR-PROD-001</w:t>
      </w:r>
      <w:r>
        <w:t xml:space="preserve"> </w:t>
      </w:r>
      <w:r>
        <w:t xml:space="preserve">Local-first core availability. The application shall perform all core operations — open the library, browse the catalogue, read a document, annotate, and execute full-text search — with no network connection present and no degradation of result correctness. Verification: the core-operation suite runs with the network interface disabled and passes with results identical to the connected run.</w:t>
      </w:r>
    </w:p>
    <w:p>
      <w:pPr>
        <w:pStyle w:val="BodyText"/>
      </w:pPr>
      <w:r>
        <w:rPr>
          <w:b/>
          <w:bCs/>
        </w:rPr>
        <w:t xml:space="preserve">NFR-PROD-002</w:t>
      </w:r>
      <w:r>
        <w:t xml:space="preserve"> </w:t>
      </w:r>
      <w:r>
        <w:t xml:space="preserve">Cold-start latency, V1 scale. The application shall reach an interactive state within 3 s at P95 on W-REF-01 against a corpus of at least 5,000 catalogue items. Gate: Phase 20. Verification: instrumented startup benchmark against the 5,000-item corpus.</w:t>
      </w:r>
    </w:p>
    <w:p>
      <w:pPr>
        <w:pStyle w:val="BodyText"/>
      </w:pPr>
      <w:r>
        <w:rPr>
          <w:b/>
          <w:bCs/>
        </w:rPr>
        <w:t xml:space="preserve">NFR-PROD-003</w:t>
      </w:r>
      <w:r>
        <w:t xml:space="preserve"> </w:t>
      </w:r>
      <w:r>
        <w:t xml:space="preserve">Catalogue-load latency, V1 scale. The application shall render the first screen of catalogue results within 1 s at P95 and render or scroll any subsequent page within 200 ms at P95 against a corpus of at least 50,000 catalogue items. Gate: Phase 20. Verification: scripted scroll-and-render benchmark; values recorded at each release.</w:t>
      </w:r>
    </w:p>
    <w:p>
      <w:pPr>
        <w:pStyle w:val="BodyText"/>
      </w:pPr>
      <w:r>
        <w:rPr>
          <w:b/>
          <w:bCs/>
        </w:rPr>
        <w:t xml:space="preserve">NFR-PROD-004</w:t>
      </w:r>
      <w:r>
        <w:t xml:space="preserve"> </w:t>
      </w:r>
      <w:r>
        <w:t xml:space="preserve">Search latency, V1 scale. The application shall return ranked full-text results within 500 ms at P95 against an index of at least 50,000 documents; semantic search, where enabled, shall return within 1.5 s at P95 against the same corpus. Gate: Phase 20. Verification: query-replay benchmark per search mode.</w:t>
      </w:r>
    </w:p>
    <w:p>
      <w:pPr>
        <w:pStyle w:val="BodyText"/>
      </w:pPr>
      <w:r>
        <w:rPr>
          <w:b/>
          <w:bCs/>
        </w:rPr>
        <w:t xml:space="preserve">NFR-PROD-005</w:t>
      </w:r>
      <w:r>
        <w:t xml:space="preserve"> </w:t>
      </w:r>
      <w:r>
        <w:t xml:space="preserve">UI responsiveness. The application shall not block the UI thread longer than 100 ms during any user-initiated interaction; all long-running work (import, indexing, OCR, enrichment, embedding, provider calls) shall execute on background workers without freezing or modal-locking the foreground. Verification: UI-thread frame timing sampled during a scripted import-and-index session; any stall over 100 ms is a defect.</w:t>
      </w:r>
    </w:p>
    <w:p>
      <w:pPr>
        <w:pStyle w:val="BodyText"/>
      </w:pPr>
      <w:r>
        <w:rPr>
          <w:b/>
          <w:bCs/>
        </w:rPr>
        <w:t xml:space="preserve">NFR-PROD-006</w:t>
      </w:r>
      <w:r>
        <w:t xml:space="preserve"> </w:t>
      </w:r>
      <w:r>
        <w:t xml:space="preserve">Crash-free session target. The application shall achieve a crash-free session rate ≥ 99.5% across opted-in telemetry over any rolling 30-day window. Any reproducible crash losing unsaved annotation or catalogue state is a release blocker regardless of the aggregate. Verification: opt-in crash telemetry reviewed at each release against both rules.</w:t>
      </w:r>
    </w:p>
    <w:p>
      <w:pPr>
        <w:pStyle w:val="BodyText"/>
      </w:pPr>
      <w:r>
        <w:rPr>
          <w:b/>
          <w:bCs/>
        </w:rPr>
        <w:t xml:space="preserve">NFR-PROD-007</w:t>
      </w:r>
      <w:r>
        <w:t xml:space="preserve"> </w:t>
      </w:r>
      <w:r>
        <w:t xml:space="preserve">Keyboard operability (WCAG 2.2 AA). Every interactive control shall be reachable and operable by keyboard alone, with a visible focus indicator meeting the WCAG 2.2 Focus Appearance and Focus Not Obscured criteria, and no keyboard trap. Verification: keyboard-only walkthrough of every primary workflow plus an automated accessibility check at each release; formal audit at Phase 21.</w:t>
      </w:r>
    </w:p>
    <w:p>
      <w:pPr>
        <w:pStyle w:val="BodyText"/>
      </w:pPr>
      <w:r>
        <w:rPr>
          <w:b/>
          <w:bCs/>
        </w:rPr>
        <w:t xml:space="preserve">NFR-PROD-008</w:t>
      </w:r>
      <w:r>
        <w:t xml:space="preserve"> </w:t>
      </w:r>
      <w:r>
        <w:t xml:space="preserve">Screen-reader operability (WCAG 2.2 AA). All non-decorative UI elements shall expose accessible name, role, and state to the platform accessibility API (UI Automation on Windows, NSAccessibility on macOS); dynamic state changes shall be announced; contrast shall meet 4.5:1 for normal text and 3:1 for large text and UI components. Verification: screen-reader pass per primary workflow plus automated contrast audit; formal audit at Phase 21.</w:t>
      </w:r>
    </w:p>
    <w:p>
      <w:pPr>
        <w:pStyle w:val="BodyText"/>
      </w:pPr>
      <w:r>
        <w:rPr>
          <w:b/>
          <w:bCs/>
        </w:rPr>
        <w:t xml:space="preserve">NFR-PROD-009</w:t>
      </w:r>
      <w:r>
        <w:t xml:space="preserve"> </w:t>
      </w:r>
      <w:r>
        <w:t xml:space="preserve">Data portability and no lock-in. Source files shall remain in their original, openly readable formats under the user's control; the application shall not rewrite them into a proprietary container as a precondition of use. The user shall be able to export the full catalogue, all annotations, and all metadata to documented open formats sufficient to reconstruct the organisation in another tool. Verification: round-trip export/re-import into a clean instance with no loss of metadata or annotation linkage.</w:t>
      </w:r>
    </w:p>
    <w:p>
      <w:pPr>
        <w:pStyle w:val="BodyText"/>
      </w:pPr>
      <w:r>
        <w:rPr>
          <w:b/>
          <w:bCs/>
        </w:rPr>
        <w:t xml:space="preserve">NFR-PROD-010</w:t>
      </w:r>
      <w:r>
        <w:t xml:space="preserve"> </w:t>
      </w:r>
      <w:r>
        <w:t xml:space="preserve">Reversible, transactional destructive operations. Any destructive operation — delete, bulk move, bulk re-tag, metadata overwrite, or merge — shall execute under a backup-write-verify-restore protocol with a single-action undo or restore; a partial failure shall leave the catalogue in its pre-operation state. Verification: fault-injection interrupts each destructive operation mid-write and asserts exact restoration.</w:t>
      </w:r>
    </w:p>
    <w:p>
      <w:pPr>
        <w:pStyle w:val="BodyText"/>
      </w:pPr>
      <w:r>
        <w:rPr>
          <w:b/>
          <w:bCs/>
        </w:rPr>
        <w:t xml:space="preserve">NFR-PROD-011</w:t>
      </w:r>
      <w:r>
        <w:t xml:space="preserve"> </w:t>
      </w:r>
      <w:r>
        <w:t xml:space="preserve">Privacy-tier transparency and payload preview. Before any operation transmits user content or metadata off-device, the application shall display the active privacy tier and a preview of the exact payload (content, field set, destination provider) and require explicit confirmation; the default tier shall be the most restrictive (Tier 0, Offline). Verification: integration test asserts no off-device request is issued by any AI or enrichment path without a recorded prior confirmation referencing the previewed payload.</w:t>
      </w:r>
    </w:p>
    <w:p>
      <w:pPr>
        <w:pStyle w:val="BodyText"/>
      </w:pPr>
      <w:r>
        <w:rPr>
          <w:b/>
          <w:bCs/>
        </w:rPr>
        <w:t xml:space="preserve">NFR-PROD-012</w:t>
      </w:r>
      <w:r>
        <w:t xml:space="preserve"> </w:t>
      </w:r>
      <w:r>
        <w:t xml:space="preserve">Update safety. Every published build shall be code-signed and verified before installation; an unsigned or tamper-detected update shall be refused. Every catalogue-schema migration shall be idempotent, snapshot the catalogue first, and be reversible to that snapshot if post-migration verification fails. Verification: the update pipeline rejects a deliberately corrupted artifact; a migration-failure injection restores the snapshot. Gate: packaging pipeline is Phase 22 scope (Section 8.6).</w:t>
      </w:r>
    </w:p>
    <w:p>
      <w:pPr>
        <w:pStyle w:val="BodyText"/>
      </w:pPr>
      <w:r>
        <w:rPr>
          <w:b/>
          <w:bCs/>
        </w:rPr>
        <w:t xml:space="preserve">NFR-PROD-013</w:t>
      </w:r>
      <w:r>
        <w:t xml:space="preserve"> </w:t>
      </w:r>
      <w:r>
        <w:t xml:space="preserve">Local audit trail for sensitive actions. The application shall append a local, tamper-evident audit record for each sensitive action: provider-credential add/change/remove, privacy-tier change, off-device transmission, metadata write-back, bulk destructive operation, and export. Each record carries action, timestamp, affected scope, and active tier; the log is viewable and exportable and never silently truncated. Verification: each listed action asserted to produce a complete audit record.</w:t>
      </w:r>
    </w:p>
    <w:p>
      <w:pPr>
        <w:pStyle w:val="BodyText"/>
      </w:pPr>
      <w:r>
        <w:rPr>
          <w:b/>
          <w:bCs/>
        </w:rPr>
        <w:t xml:space="preserve">NFR-PROD-014</w:t>
      </w:r>
      <w:r>
        <w:t xml:space="preserve"> </w:t>
      </w:r>
      <w:r>
        <w:t xml:space="preserve">AI history and embedding erasure. The user shall be able to delete AI query history and all embeddings derived from a given document or the entire corpus; the deletion shall remove stored vectors and cached provider responses in one operation; where an off-device provider generated the embeddings, the application shall surface that provider's deletion mechanism. Verification: scoped-erasure test asserts no residual vectors or cached responses.</w:t>
      </w:r>
    </w:p>
    <w:bookmarkEnd w:id="44"/>
    <w:bookmarkStart w:id="45" w:name="X65012e53e6ab1c2b838ee961530b657354df6f9"/>
    <w:p>
      <w:pPr>
        <w:pStyle w:val="Heading2"/>
      </w:pPr>
      <w:r>
        <w:rPr>
          <w:rStyle w:val="SectionNumber"/>
          <w:rFonts w:ascii="Spectral" w:hAnsi="Spectral" w:eastAsia="Spectral"/>
          <w:color w:val="132338"/>
        </w:rPr>
        <w:t xml:space="preserve">6.4</w:t>
      </w:r>
      <w:r>
        <w:rPr>
          <w:rFonts w:ascii="Spectral" w:hAnsi="Spectral" w:eastAsia="Spectral"/>
          <w:color w:val="132338"/>
        </w:rPr>
        <w:tab/>
      </w:r>
      <w:r>
        <w:rPr>
          <w:rFonts w:ascii="Spectral" w:hAnsi="Spectral" w:eastAsia="Spectral"/>
          <w:color w:val="132338"/>
        </w:rPr>
        <w:t xml:space="preserve">5.4 LAN and Classroom Capacity Budgets</w:t>
      </w:r>
    </w:p>
    <w:p>
      <w:pPr>
        <w:pStyle w:val="FirstParagraph"/>
      </w:pPr>
      <w:r>
        <w:t xml:space="preserve">Budgets adopted from the implemented Phase 16 and Phase 17 plans (</w:t>
      </w:r>
      <w:r>
        <w:rPr>
          <w:rStyle w:val="VerbatimChar"/>
        </w:rPr>
        <w:t xml:space="preserve">docs/plans/grand-plan/phase-16/README.md</w:t>
      </w:r>
      <w:r>
        <w:t xml:space="preserve">,</w:t>
      </w:r>
      <w:r>
        <w:t xml:space="preserve"> </w:t>
      </w:r>
      <w:r>
        <w:rPr>
          <w:rStyle w:val="VerbatimChar"/>
        </w:rPr>
        <w:t xml:space="preserve">phase-17/README.md</w:t>
      </w:r>
      <w:r>
        <w:t xml:space="preserve">); binding on W-REF-01-class host hardware, gated with the other performance budgets at Phase 20.</w:t>
      </w:r>
    </w:p>
    <w:p>
      <w:pPr>
        <w:pStyle w:val="BodyText"/>
      </w:pPr>
      <w:r>
        <w:rPr>
          <w:b/>
          <w:bCs/>
        </w:rPr>
        <w:t xml:space="preserve">NFR-LAN-001</w:t>
      </w:r>
      <w:r>
        <w:t xml:space="preserve"> </w:t>
      </w:r>
      <w:r>
        <w:t xml:space="preserve">Concurrent catalogue service. With 20 concurrent clients requesting the catalogue projection, host response shall be ≤ 800 ms at P95. Verification: load-test fixture with 20 concurrent catalogue requests (</w:t>
      </w:r>
      <w:r>
        <w:rPr>
          <w:rStyle w:val="VerbatimChar"/>
        </w:rPr>
        <w:t xml:space="preserve">LanHostLoadSmokeTests</w:t>
      </w:r>
      <w:r>
        <w:t xml:space="preserve"> </w:t>
      </w:r>
      <w:r>
        <w:t xml:space="preserve">provides the trend-only smoke measurement).</w:t>
      </w:r>
    </w:p>
    <w:p>
      <w:pPr>
        <w:pStyle w:val="BodyText"/>
      </w:pPr>
      <w:r>
        <w:rPr>
          <w:b/>
          <w:bCs/>
        </w:rPr>
        <w:t xml:space="preserve">NFR-LAN-002</w:t>
      </w:r>
      <w:r>
        <w:t xml:space="preserve"> </w:t>
      </w:r>
      <w:r>
        <w:t xml:space="preserve">Concurrent page-render streams. With 10 concurrent page-render streams, the first image shall arrive within 2 s at P95. Verification: 10 simultaneous page-render requests measuring first-byte-to-first-image P95.</w:t>
      </w:r>
    </w:p>
    <w:p>
      <w:pPr>
        <w:pStyle w:val="BodyText"/>
      </w:pPr>
      <w:r>
        <w:rPr>
          <w:b/>
          <w:bCs/>
        </w:rPr>
        <w:t xml:space="preserve">NFR-LAN-003</w:t>
      </w:r>
      <w:r>
        <w:t xml:space="preserve"> </w:t>
      </w:r>
      <w:r>
        <w:t xml:space="preserve">Host-mode non-interference. Enabling or operating host mode shall not disrupt the standalone user's local catalogue access: local grid, reader, and search functions operate while the host serves clients. Verification: regression suite executed with host mode active.</w:t>
      </w:r>
    </w:p>
    <w:p>
      <w:pPr>
        <w:pStyle w:val="BodyText"/>
      </w:pPr>
      <w:r>
        <w:rPr>
          <w:b/>
          <w:bCs/>
        </w:rPr>
        <w:t xml:space="preserve">NFR-CLIENT-001</w:t>
      </w:r>
      <w:r>
        <w:t xml:space="preserve"> </w:t>
      </w:r>
      <w:r>
        <w:t xml:space="preserve">Client catalogue load. A client shall load a 2,000-book catalogue projection from the host within 2 s at P95 on a warm LAN. Verification: load test over the 2,000-book projection.</w:t>
      </w:r>
    </w:p>
    <w:p>
      <w:pPr>
        <w:pStyle w:val="BodyText"/>
      </w:pPr>
      <w:r>
        <w:rPr>
          <w:b/>
          <w:bCs/>
        </w:rPr>
        <w:t xml:space="preserve">NFR-CLIENT-002</w:t>
      </w:r>
      <w:r>
        <w:t xml:space="preserve"> </w:t>
      </w:r>
      <w:r>
        <w:t xml:space="preserve">Cached page rendering. A client cache-hit page render shall complete within 100 ms at P95, matching NFR-OGMA-005. Verification: 10 cache-hit page requests, P95 measured.</w:t>
      </w:r>
    </w:p>
    <w:p>
      <w:pPr>
        <w:pStyle w:val="BodyText"/>
      </w:pPr>
      <w:r>
        <w:rPr>
          <w:b/>
          <w:bCs/>
        </w:rPr>
        <w:t xml:space="preserve">NFR-CLIENT-003</w:t>
      </w:r>
      <w:r>
        <w:t xml:space="preserve"> </w:t>
      </w:r>
      <w:r>
        <w:t xml:space="preserve">Session-token custody. The client session token shall be stored in the OS credential store, never in a plaintext file. Verification: architecture test asserting token storage uses the credential-store abstraction (</w:t>
      </w:r>
      <w:r>
        <w:rPr>
          <w:rStyle w:val="VerbatimChar"/>
        </w:rPr>
        <w:t xml:space="preserve">ClassroomCredentialStoreTests</w:t>
      </w:r>
      <w:r>
        <w:t xml:space="preserve">).</w:t>
      </w:r>
    </w:p>
    <w:bookmarkEnd w:id="45"/>
    <w:bookmarkStart w:id="46" w:name="X8ffa9d02dcbc7700b0085a018856828722e2b59"/>
    <w:p>
      <w:pPr>
        <w:pStyle w:val="Heading2"/>
      </w:pPr>
      <w:r>
        <w:rPr>
          <w:rStyle w:val="SectionNumber"/>
          <w:rFonts w:ascii="Spectral" w:hAnsi="Spectral" w:eastAsia="Spectral"/>
          <w:color w:val="132338"/>
        </w:rPr>
        <w:t xml:space="preserve">6.5</w:t>
      </w:r>
      <w:r>
        <w:rPr>
          <w:rFonts w:ascii="Spectral" w:hAnsi="Spectral" w:eastAsia="Spectral"/>
          <w:color w:val="132338"/>
        </w:rPr>
        <w:tab/>
      </w:r>
      <w:r>
        <w:rPr>
          <w:rFonts w:ascii="Spectral" w:hAnsi="Spectral" w:eastAsia="Spectral"/>
          <w:color w:val="132338"/>
        </w:rPr>
        <w:t xml:space="preserve">5.5 Evidence Classification</w:t>
      </w:r>
    </w:p>
    <w:p>
      <w:pPr>
        <w:pStyle w:val="FirstParagraph"/>
      </w:pPr>
      <w:r>
        <w:t xml:space="preserve">All performance measurements taken before Phase 20 are trend-only (developer hardware and CI). Only Phase 20 measurements on W-REF-01 and M-REF-01, or owner-approved equivalents, constitute formal NFR acceptance evidence. This distinction is carried into the open-items register (Section 8.6).</w:t>
      </w:r>
    </w:p>
    <w:p>
      <w:pPr>
        <w:pStyle w:val="BodyText"/>
      </w:pPr>
      <w:r>
        <w:t xml:space="preserve">\newpage</w:t>
      </w:r>
    </w:p>
    <w:bookmarkEnd w:id="46"/>
    <w:bookmarkEnd w:id="47"/>
    <w:bookmarkStart w:id="54" w:name="Xe0e43faff11cb75efaece478f574a63a5c148be"/>
    <w:p>
      <w:pPr>
        <w:pStyle w:val="Heading1"/>
      </w:pPr>
      <w:r>
        <w:rPr>
          <w:rStyle w:val="SectionNumber"/>
          <w:rFonts w:ascii="Spectral" w:hAnsi="Spectral" w:eastAsia="Spectral"/>
          <w:color w:val="132338"/>
        </w:rPr>
        <w:t xml:space="preserve">7</w:t>
      </w:r>
      <w:r>
        <w:rPr>
          <w:rFonts w:ascii="Spectral" w:hAnsi="Spectral" w:eastAsia="Spectral"/>
          <w:color w:val="132338"/>
        </w:rPr>
        <w:tab/>
      </w:r>
      <w:r>
        <w:rPr>
          <w:rFonts w:ascii="Spectral" w:hAnsi="Spectral" w:eastAsia="Spectral"/>
          <w:color w:val="132338"/>
        </w:rPr>
        <w:t xml:space="preserve">6. Data Requirements</w:t>
      </w:r>
    </w:p>
    <w:bookmarkStart w:id="48" w:name="X42b9e6cbfbed758f3b23910a962ec4a5bc873aa"/>
    <w:p>
      <w:pPr>
        <w:pStyle w:val="Heading2"/>
      </w:pPr>
      <w:r>
        <w:rPr>
          <w:rStyle w:val="SectionNumber"/>
          <w:rFonts w:ascii="Spectral" w:hAnsi="Spectral" w:eastAsia="Spectral"/>
          <w:color w:val="132338"/>
        </w:rPr>
        <w:t xml:space="preserve">7.1</w:t>
      </w:r>
      <w:r>
        <w:rPr>
          <w:rFonts w:ascii="Spectral" w:hAnsi="Spectral" w:eastAsia="Spectral"/>
          <w:color w:val="132338"/>
        </w:rPr>
        <w:tab/>
      </w:r>
      <w:r>
        <w:rPr>
          <w:rFonts w:ascii="Spectral" w:hAnsi="Spectral" w:eastAsia="Spectral"/>
          <w:color w:val="132338"/>
        </w:rPr>
        <w:t xml:space="preserve">6.1 Catalogue of Record</w:t>
      </w:r>
    </w:p>
    <w:p>
      <w:pPr>
        <w:pStyle w:val="FirstParagraph"/>
      </w:pPr>
      <w:r>
        <w:t xml:space="preserve">The catalogue of record is the SQLite database that is the authoritative source of truth for book identity, metadata, virtual shelves, reading progress, and annotations. It is accessed through Entity Framework Core (EF Core 10.0.9 on net10.0; version alignment is an open ADR amendment, Section 8.6) and evolved through 11 ordered migrations under</w:t>
      </w:r>
      <w:r>
        <w:t xml:space="preserve"> </w:t>
      </w:r>
      <w:r>
        <w:rPr>
          <w:rStyle w:val="VerbatimChar"/>
        </w:rPr>
        <w:t xml:space="preserve">src/OgmaLibrary.Infrastructure/Persistence/Migrations/</w:t>
      </w:r>
      <w:r>
        <w:t xml:space="preserve">:</w:t>
      </w:r>
    </w:p>
    <w:p>
      <w:pPr>
        <w:pStyle w:val="Compact"/>
        <w:numPr>
          <w:ilvl w:val="0"/>
          <w:numId w:val="1115"/>
        </w:numPr>
      </w:pPr>
      <w:r>
        <w:rPr>
          <w:rStyle w:val="VerbatimChar"/>
        </w:rPr>
        <w:t xml:space="preserve">InitialCatalogue</w:t>
      </w:r>
      <w:r>
        <w:t xml:space="preserve"> </w:t>
      </w:r>
      <w:r>
        <w:t xml:space="preserve">(20 tables: books, files, metadata, shelves, reading state).</w:t>
      </w:r>
    </w:p>
    <w:p>
      <w:pPr>
        <w:pStyle w:val="Compact"/>
        <w:numPr>
          <w:ilvl w:val="0"/>
          <w:numId w:val="1115"/>
        </w:numPr>
      </w:pPr>
      <w:r>
        <w:rPr>
          <w:rStyle w:val="VerbatimChar"/>
        </w:rPr>
        <w:t xml:space="preserve">AddQualityScoreToBooks</w:t>
      </w:r>
      <w:r>
        <w:t xml:space="preserve"> </w:t>
      </w:r>
      <w:r>
        <w:t xml:space="preserve">(FR-META-007).</w:t>
      </w:r>
    </w:p>
    <w:p>
      <w:pPr>
        <w:pStyle w:val="Compact"/>
        <w:numPr>
          <w:ilvl w:val="0"/>
          <w:numId w:val="1115"/>
        </w:numPr>
      </w:pPr>
      <w:r>
        <w:rPr>
          <w:rStyle w:val="VerbatimChar"/>
        </w:rPr>
        <w:t xml:space="preserve">Phase09Annotations</w:t>
      </w:r>
      <w:r>
        <w:t xml:space="preserve"> </w:t>
      </w:r>
      <w:r>
        <w:t xml:space="preserve">(annotations, layers, citations, reading memory).</w:t>
      </w:r>
    </w:p>
    <w:p>
      <w:pPr>
        <w:pStyle w:val="Compact"/>
        <w:numPr>
          <w:ilvl w:val="0"/>
          <w:numId w:val="1115"/>
        </w:numPr>
      </w:pPr>
      <w:r>
        <w:rPr>
          <w:rStyle w:val="VerbatimChar"/>
        </w:rPr>
        <w:t xml:space="preserve">Phase10SearchIndexSchema</w:t>
      </w:r>
      <w:r>
        <w:t xml:space="preserve"> </w:t>
      </w:r>
      <w:r>
        <w:t xml:space="preserve">and</w:t>
      </w:r>
      <w:r>
        <w:t xml:space="preserve"> </w:t>
      </w:r>
      <w:r>
        <w:rPr>
          <w:rStyle w:val="VerbatimChar"/>
        </w:rPr>
        <w:t xml:space="preserve">Phase10MetadataSearchIndex</w:t>
      </w:r>
      <w:r>
        <w:t xml:space="preserve"> </w:t>
      </w:r>
      <w:r>
        <w:t xml:space="preserve">(FTS5).</w:t>
      </w:r>
    </w:p>
    <w:p>
      <w:pPr>
        <w:pStyle w:val="Compact"/>
        <w:numPr>
          <w:ilvl w:val="0"/>
          <w:numId w:val="1115"/>
        </w:numPr>
      </w:pPr>
      <w:r>
        <w:rPr>
          <w:rStyle w:val="VerbatimChar"/>
        </w:rPr>
        <w:t xml:space="preserve">Phase11EmbeddingSchema</w:t>
      </w:r>
      <w:r>
        <w:t xml:space="preserve"> </w:t>
      </w:r>
      <w:r>
        <w:t xml:space="preserve">(semantic search).</w:t>
      </w:r>
    </w:p>
    <w:p>
      <w:pPr>
        <w:pStyle w:val="Compact"/>
        <w:numPr>
          <w:ilvl w:val="0"/>
          <w:numId w:val="1115"/>
        </w:numPr>
      </w:pPr>
      <w:r>
        <w:rPr>
          <w:rStyle w:val="VerbatimChar"/>
        </w:rPr>
        <w:t xml:space="preserve">Phase12AiGatewayTables</w:t>
      </w:r>
      <w:r>
        <w:t xml:space="preserve"> </w:t>
      </w:r>
      <w:r>
        <w:t xml:space="preserve">(AI history, audit, consent).</w:t>
      </w:r>
    </w:p>
    <w:p>
      <w:pPr>
        <w:pStyle w:val="Compact"/>
        <w:numPr>
          <w:ilvl w:val="0"/>
          <w:numId w:val="1115"/>
        </w:numPr>
      </w:pPr>
      <w:r>
        <w:rPr>
          <w:rStyle w:val="VerbatimChar"/>
        </w:rPr>
        <w:t xml:space="preserve">Phase15OcrPowerReaderSchema</w:t>
      </w:r>
      <w:r>
        <w:t xml:space="preserve"> </w:t>
      </w:r>
      <w:r>
        <w:t xml:space="preserve">and</w:t>
      </w:r>
      <w:r>
        <w:t xml:space="preserve"> </w:t>
      </w:r>
      <w:r>
        <w:rPr>
          <w:rStyle w:val="VerbatimChar"/>
        </w:rPr>
        <w:t xml:space="preserve">Phase15SmartShelfIndexes</w:t>
      </w:r>
      <w:r>
        <w:t xml:space="preserve">.</w:t>
      </w:r>
    </w:p>
    <w:p>
      <w:pPr>
        <w:pStyle w:val="Compact"/>
        <w:numPr>
          <w:ilvl w:val="0"/>
          <w:numId w:val="1115"/>
        </w:numPr>
      </w:pPr>
      <w:r>
        <w:rPr>
          <w:rStyle w:val="VerbatimChar"/>
        </w:rPr>
        <w:t xml:space="preserve">Phase16LanHostTables</w:t>
      </w:r>
      <w:r>
        <w:t xml:space="preserve"> </w:t>
      </w:r>
      <w:r>
        <w:t xml:space="preserve">(host mode).</w:t>
      </w:r>
    </w:p>
    <w:p>
      <w:pPr>
        <w:pStyle w:val="Compact"/>
        <w:numPr>
          <w:ilvl w:val="0"/>
          <w:numId w:val="1115"/>
        </w:numPr>
      </w:pPr>
      <w:r>
        <w:rPr>
          <w:rStyle w:val="VerbatimChar"/>
        </w:rPr>
        <w:t xml:space="preserve">Phase18SchoolAdminTables</w:t>
      </w:r>
      <w:r>
        <w:t xml:space="preserve"> </w:t>
      </w:r>
      <w:r>
        <w:t xml:space="preserve">(school administration).</w:t>
      </w:r>
    </w:p>
    <w:p>
      <w:pPr>
        <w:pStyle w:val="FirstParagraph"/>
      </w:pPr>
      <w:r>
        <w:t xml:space="preserve">Migration integrity is verified by</w:t>
      </w:r>
      <w:r>
        <w:t xml:space="preserve"> </w:t>
      </w:r>
      <w:r>
        <w:rPr>
          <w:rStyle w:val="VerbatimChar"/>
        </w:rPr>
        <w:t xml:space="preserve">MigrationTests</w:t>
      </w:r>
      <w:r>
        <w:t xml:space="preserve"> </w:t>
      </w:r>
      <w:r>
        <w:t xml:space="preserve">and</w:t>
      </w:r>
      <w:r>
        <w:t xml:space="preserve"> </w:t>
      </w:r>
      <w:r>
        <w:rPr>
          <w:rStyle w:val="VerbatimChar"/>
        </w:rPr>
        <w:t xml:space="preserve">CatalogueSchemaTests</w:t>
      </w:r>
      <w:r>
        <w:t xml:space="preserve">; every migration is idempotent, snapshots the catalogue first, and is reversible per NFR-PROD-012. The database augments the user's folder of files; generated artifacts live in the sidecar asset folder on disk, referenced from the database.</w:t>
      </w:r>
    </w:p>
    <w:bookmarkEnd w:id="48"/>
    <w:bookmarkStart w:id="49" w:name="X27fa78bedf451877dc9eea15e71b79f8e82c9b7"/>
    <w:p>
      <w:pPr>
        <w:pStyle w:val="Heading2"/>
      </w:pPr>
      <w:r>
        <w:rPr>
          <w:rStyle w:val="SectionNumber"/>
          <w:rFonts w:ascii="Spectral" w:hAnsi="Spectral" w:eastAsia="Spectral"/>
          <w:color w:val="132338"/>
        </w:rPr>
        <w:t xml:space="preserve">7.2</w:t>
      </w:r>
      <w:r>
        <w:rPr>
          <w:rFonts w:ascii="Spectral" w:hAnsi="Spectral" w:eastAsia="Spectral"/>
          <w:color w:val="132338"/>
        </w:rPr>
        <w:tab/>
      </w:r>
      <w:r>
        <w:rPr>
          <w:rFonts w:ascii="Spectral" w:hAnsi="Spectral" w:eastAsia="Spectral"/>
          <w:color w:val="132338"/>
        </w:rPr>
        <w:t xml:space="preserve">6.2 Logical Entities</w:t>
      </w:r>
    </w:p>
    <w:p>
      <w:pPr>
        <w:pStyle w:val="FirstParagraph"/>
      </w:pPr>
      <w:r>
        <w:t xml:space="preserve">The following entities constitute the as-built catalogue data model. Relationships follow in prose to avoid nested structure in table cells.</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Entity</w:t>
            </w:r>
          </w:p>
        </w:tc>
        <w:tc>
          <w:tcPr>
            <w:shd w:fill="132338"/>
          </w:tcPr>
          <w:p>
            <w:pPr>
              <w:pStyle w:val="Compact"/>
            </w:pPr>
            <w:r>
              <w:rPr>
                <w:rFonts w:ascii="Public Sans" w:hAnsi="Public Sans" w:eastAsia="Public Sans"/>
                <w:b/>
                <w:color w:val="FFFFFF"/>
                <w:sz w:val="17"/>
              </w:rPr>
              <w:t xml:space="preserve">Purpose</w:t>
            </w:r>
          </w:p>
        </w:tc>
      </w:tr>
      <w:tr>
        <w:trPr>
          <w:cantSplit/>
        </w:trPr>
        <w:tc>
          <w:tcPr/>
          <w:p>
            <w:pPr>
              <w:pStyle w:val="Compact"/>
            </w:pPr>
            <w:r>
              <w:t xml:space="preserve">Books</w:t>
            </w:r>
          </w:p>
        </w:tc>
        <w:tc>
          <w:tcPr/>
          <w:p>
            <w:pPr>
              <w:pStyle w:val="Compact"/>
            </w:pPr>
            <w:r>
              <w:t xml:space="preserve">The catalogue record for an intellectual item the user reads; carries the metadata quality score.</w:t>
            </w:r>
          </w:p>
        </w:tc>
      </w:tr>
      <w:tr>
        <w:trPr>
          <w:cantSplit/>
        </w:trPr>
        <w:tc>
          <w:tcPr/>
          <w:p>
            <w:pPr>
              <w:pStyle w:val="Compact"/>
            </w:pPr>
            <w:r>
              <w:t xml:space="preserve">BookFiles</w:t>
            </w:r>
          </w:p>
        </w:tc>
        <w:tc>
          <w:tcPr/>
          <w:p>
            <w:pPr>
              <w:pStyle w:val="Compact"/>
            </w:pPr>
            <w:r>
              <w:t xml:space="preserve">A specific PDF file on disk bound to a Book, carrying the identity attributes of Section 6.3.</w:t>
            </w:r>
          </w:p>
        </w:tc>
      </w:tr>
      <w:tr>
        <w:trPr>
          <w:cantSplit/>
        </w:trPr>
        <w:tc>
          <w:tcPr/>
          <w:p>
            <w:pPr>
              <w:pStyle w:val="Compact"/>
            </w:pPr>
            <w:r>
              <w:t xml:space="preserve">BookMetadataFields</w:t>
            </w:r>
          </w:p>
        </w:tc>
        <w:tc>
          <w:tcPr/>
          <w:p>
            <w:pPr>
              <w:pStyle w:val="Compact"/>
            </w:pPr>
            <w:r>
              <w:t xml:space="preserve">Field-level metadata values, each carrying provenance (source, confidence, date, user decision).</w:t>
            </w:r>
          </w:p>
        </w:tc>
      </w:tr>
      <w:tr>
        <w:trPr>
          <w:cantSplit/>
        </w:trPr>
        <w:tc>
          <w:tcPr/>
          <w:p>
            <w:pPr>
              <w:pStyle w:val="Compact"/>
            </w:pPr>
            <w:r>
              <w:t xml:space="preserve">Authors</w:t>
            </w:r>
          </w:p>
        </w:tc>
        <w:tc>
          <w:tcPr/>
          <w:p>
            <w:pPr>
              <w:pStyle w:val="Compact"/>
            </w:pPr>
            <w:r>
              <w:t xml:space="preserve">A distinct normalized author record.</w:t>
            </w:r>
          </w:p>
        </w:tc>
      </w:tr>
      <w:tr>
        <w:trPr>
          <w:cantSplit/>
        </w:trPr>
        <w:tc>
          <w:tcPr/>
          <w:p>
            <w:pPr>
              <w:pStyle w:val="Compact"/>
            </w:pPr>
            <w:r>
              <w:t xml:space="preserve">BookAuthors</w:t>
            </w:r>
          </w:p>
        </w:tc>
        <w:tc>
          <w:tcPr/>
          <w:p>
            <w:pPr>
              <w:pStyle w:val="Compact"/>
            </w:pPr>
            <w:r>
              <w:t xml:space="preserve">The many-to-many association between Books and Authors.</w:t>
            </w:r>
          </w:p>
        </w:tc>
      </w:tr>
      <w:tr>
        <w:trPr>
          <w:cantSplit/>
        </w:trPr>
        <w:tc>
          <w:tcPr/>
          <w:p>
            <w:pPr>
              <w:pStyle w:val="Compact"/>
            </w:pPr>
            <w:r>
              <w:t xml:space="preserve">Shelves</w:t>
            </w:r>
          </w:p>
        </w:tc>
        <w:tc>
          <w:tcPr/>
          <w:p>
            <w:pPr>
              <w:pStyle w:val="Compact"/>
            </w:pPr>
            <w:r>
              <w:t xml:space="preserve">A virtual shelf or smart shelf definition; smart shelves persist a</w:t>
            </w:r>
            <w:r>
              <w:t xml:space="preserve"> </w:t>
            </w:r>
            <w:r>
              <w:rPr>
                <w:rStyle w:val="VerbatimChar"/>
              </w:rPr>
              <w:t xml:space="preserve">SmartShelfCondition</w:t>
            </w:r>
            <w:r>
              <w:t xml:space="preserve"> </w:t>
            </w:r>
            <w:r>
              <w:t xml:space="preserve">filter.</w:t>
            </w:r>
          </w:p>
        </w:tc>
      </w:tr>
      <w:tr>
        <w:trPr>
          <w:cantSplit/>
        </w:trPr>
        <w:tc>
          <w:tcPr/>
          <w:p>
            <w:pPr>
              <w:pStyle w:val="Compact"/>
            </w:pPr>
            <w:r>
              <w:t xml:space="preserve">ShelfBooks</w:t>
            </w:r>
          </w:p>
        </w:tc>
        <w:tc>
          <w:tcPr/>
          <w:p>
            <w:pPr>
              <w:pStyle w:val="Compact"/>
            </w:pPr>
            <w:r>
              <w:t xml:space="preserve">The many-to-many association between Shelves and Books.</w:t>
            </w:r>
          </w:p>
        </w:tc>
      </w:tr>
      <w:tr>
        <w:trPr>
          <w:cantSplit/>
        </w:trPr>
        <w:tc>
          <w:tcPr/>
          <w:p>
            <w:pPr>
              <w:pStyle w:val="Compact"/>
            </w:pPr>
            <w:r>
              <w:t xml:space="preserve">ReadingProgress</w:t>
            </w:r>
          </w:p>
        </w:tc>
        <w:tc>
          <w:tcPr/>
          <w:p>
            <w:pPr>
              <w:pStyle w:val="Compact"/>
            </w:pPr>
            <w:r>
              <w:t xml:space="preserve">Reading status, last page, scroll position, and reading time per Book.</w:t>
            </w:r>
          </w:p>
        </w:tc>
      </w:tr>
      <w:tr>
        <w:trPr>
          <w:cantSplit/>
        </w:trPr>
        <w:tc>
          <w:tcPr/>
          <w:p>
            <w:pPr>
              <w:pStyle w:val="Compact"/>
            </w:pPr>
            <w:r>
              <w:t xml:space="preserve">Bookmarks</w:t>
            </w:r>
          </w:p>
        </w:tc>
        <w:tc>
          <w:tcPr/>
          <w:p>
            <w:pPr>
              <w:pStyle w:val="Compact"/>
            </w:pPr>
            <w:r>
              <w:t xml:space="preserve">A labelled bookmark anchored to a page within a BookFile.</w:t>
            </w:r>
          </w:p>
        </w:tc>
      </w:tr>
      <w:tr>
        <w:trPr>
          <w:cantSplit/>
        </w:trPr>
        <w:tc>
          <w:tcPr/>
          <w:p>
            <w:pPr>
              <w:pStyle w:val="Compact"/>
            </w:pPr>
            <w:r>
              <w:t xml:space="preserve">Annotations</w:t>
            </w:r>
          </w:p>
        </w:tc>
        <w:tc>
          <w:tcPr/>
          <w:p>
            <w:pPr>
              <w:pStyle w:val="Compact"/>
            </w:pPr>
            <w:r>
              <w:t xml:space="preserve">A highlight or note anchored to a region within a BookFile; carries its annotation-layer assignment.</w:t>
            </w:r>
          </w:p>
        </w:tc>
      </w:tr>
      <w:tr>
        <w:trPr>
          <w:cantSplit/>
        </w:trPr>
        <w:tc>
          <w:tcPr/>
          <w:p>
            <w:pPr>
              <w:pStyle w:val="Compact"/>
            </w:pPr>
            <w:r>
              <w:t xml:space="preserve">AnnotationBodies</w:t>
            </w:r>
          </w:p>
        </w:tc>
        <w:tc>
          <w:tcPr/>
          <w:p>
            <w:pPr>
              <w:pStyle w:val="Compact"/>
            </w:pPr>
            <w:r>
              <w:t xml:space="preserve">Note text, color, tags, and quote extraction attached to an Annotation.</w:t>
            </w:r>
          </w:p>
        </w:tc>
      </w:tr>
      <w:tr>
        <w:trPr>
          <w:cantSplit/>
        </w:trPr>
        <w:tc>
          <w:tcPr/>
          <w:p>
            <w:pPr>
              <w:pStyle w:val="Compact"/>
            </w:pPr>
            <w:r>
              <w:t xml:space="preserve">ExtractedPages</w:t>
            </w:r>
          </w:p>
        </w:tc>
        <w:tc>
          <w:tcPr/>
          <w:p>
            <w:pPr>
              <w:pStyle w:val="Compact"/>
            </w:pPr>
            <w:r>
              <w:t xml:space="preserve">Per-page extracted text with extraction status; OCR-derived text is flagged as such.</w:t>
            </w:r>
          </w:p>
        </w:tc>
      </w:tr>
      <w:tr>
        <w:trPr>
          <w:cantSplit/>
        </w:trPr>
        <w:tc>
          <w:tcPr/>
          <w:p>
            <w:pPr>
              <w:pStyle w:val="Compact"/>
            </w:pPr>
            <w:r>
              <w:t xml:space="preserve">SearchChunks</w:t>
            </w:r>
          </w:p>
        </w:tc>
        <w:tc>
          <w:tcPr/>
          <w:p>
            <w:pPr>
              <w:pStyle w:val="Compact"/>
            </w:pPr>
            <w:r>
              <w:t xml:space="preserve">Text chunks derived from ExtractedPages for FTS5 indexing and embedding.</w:t>
            </w:r>
          </w:p>
        </w:tc>
      </w:tr>
      <w:tr>
        <w:trPr>
          <w:cantSplit/>
        </w:trPr>
        <w:tc>
          <w:tcPr/>
          <w:p>
            <w:pPr>
              <w:pStyle w:val="Compact"/>
            </w:pPr>
            <w:r>
              <w:t xml:space="preserve">EmbeddingVectors</w:t>
            </w:r>
          </w:p>
        </w:tc>
        <w:tc>
          <w:tcPr/>
          <w:p>
            <w:pPr>
              <w:pStyle w:val="Compact"/>
            </w:pPr>
            <w:r>
              <w:t xml:space="preserve">Embedding model, dimensions, and vector storage reference per SearchChunk.</w:t>
            </w:r>
          </w:p>
        </w:tc>
      </w:tr>
      <w:tr>
        <w:trPr>
          <w:cantSplit/>
        </w:trPr>
        <w:tc>
          <w:tcPr/>
          <w:p>
            <w:pPr>
              <w:pStyle w:val="Compact"/>
            </w:pPr>
            <w:r>
              <w:t xml:space="preserve">AiQueryHistory</w:t>
            </w:r>
          </w:p>
        </w:tc>
        <w:tc>
          <w:tcPr/>
          <w:p>
            <w:pPr>
              <w:pStyle w:val="Compact"/>
            </w:pPr>
            <w:r>
              <w:t xml:space="preserve">Locally stored AI queries, mode, provider, selected results, and user feedback.</w:t>
            </w:r>
          </w:p>
        </w:tc>
      </w:tr>
      <w:tr>
        <w:trPr>
          <w:cantSplit/>
        </w:trPr>
        <w:tc>
          <w:tcPr/>
          <w:p>
            <w:pPr>
              <w:pStyle w:val="Compact"/>
            </w:pPr>
            <w:r>
              <w:t xml:space="preserve">MetadataLookups</w:t>
            </w:r>
          </w:p>
        </w:tc>
        <w:tc>
          <w:tcPr/>
          <w:p>
            <w:pPr>
              <w:pStyle w:val="Compact"/>
            </w:pPr>
            <w:r>
              <w:t xml:space="preserve">Raw external-provider responses with source, timestamp, confidence, and merge decision.</w:t>
            </w:r>
          </w:p>
        </w:tc>
      </w:tr>
      <w:tr>
        <w:trPr>
          <w:cantSplit/>
        </w:trPr>
        <w:tc>
          <w:tcPr/>
          <w:p>
            <w:pPr>
              <w:pStyle w:val="Compact"/>
            </w:pPr>
            <w:r>
              <w:t xml:space="preserve">Jobs</w:t>
            </w:r>
          </w:p>
        </w:tc>
        <w:tc>
          <w:tcPr/>
          <w:p>
            <w:pPr>
              <w:pStyle w:val="Compact"/>
            </w:pPr>
            <w:r>
              <w:t xml:space="preserve">Background job records (thumbnail, index, OCR, embedding, enrichment) supporting NFR-OGMA-009.</w:t>
            </w:r>
          </w:p>
        </w:tc>
      </w:tr>
      <w:tr>
        <w:trPr>
          <w:cantSplit/>
        </w:trPr>
        <w:tc>
          <w:tcPr/>
          <w:p>
            <w:pPr>
              <w:pStyle w:val="Compact"/>
            </w:pPr>
            <w:r>
              <w:t xml:space="preserve">AuditEvents</w:t>
            </w:r>
          </w:p>
        </w:tc>
        <w:tc>
          <w:tcPr/>
          <w:p>
            <w:pPr>
              <w:pStyle w:val="Compact"/>
            </w:pPr>
            <w:r>
              <w:t xml:space="preserve">The append-only local audit trail for sensitive actions and, in host mode, LAN requests.</w:t>
            </w:r>
          </w:p>
        </w:tc>
      </w:tr>
    </w:tbl>
    <w:p>
      <w:pPr>
        <w:pStyle w:val="BodyText"/>
      </w:pPr>
      <w:r>
        <w:t xml:space="preserve">Host and classroom tables (migrations</w:t>
      </w:r>
      <w:r>
        <w:t xml:space="preserve"> </w:t>
      </w:r>
      <w:r>
        <w:rPr>
          <w:rStyle w:val="VerbatimChar"/>
        </w:rPr>
        <w:t xml:space="preserve">Phase16LanHostTables</w:t>
      </w:r>
      <w:r>
        <w:t xml:space="preserve">,</w:t>
      </w:r>
      <w:r>
        <w:t xml:space="preserve"> </w:t>
      </w:r>
      <w:r>
        <w:rPr>
          <w:rStyle w:val="VerbatimChar"/>
        </w:rPr>
        <w:t xml:space="preserve">Phase18SchoolAdminTables</w:t>
      </w:r>
      <w:r>
        <w:t xml:space="preserve">):</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Entity</w:t>
            </w:r>
          </w:p>
        </w:tc>
        <w:tc>
          <w:tcPr>
            <w:shd w:fill="132338"/>
          </w:tcPr>
          <w:p>
            <w:pPr>
              <w:pStyle w:val="Compact"/>
            </w:pPr>
            <w:r>
              <w:rPr>
                <w:rFonts w:ascii="Public Sans" w:hAnsi="Public Sans" w:eastAsia="Public Sans"/>
                <w:b/>
                <w:color w:val="FFFFFF"/>
                <w:sz w:val="17"/>
              </w:rPr>
              <w:t xml:space="preserve">Purpose</w:t>
            </w:r>
          </w:p>
        </w:tc>
      </w:tr>
      <w:tr>
        <w:trPr>
          <w:cantSplit/>
        </w:trPr>
        <w:tc>
          <w:tcPr/>
          <w:p>
            <w:pPr>
              <w:pStyle w:val="Compact"/>
            </w:pPr>
            <w:r>
              <w:t xml:space="preserve">HostModeSettings</w:t>
            </w:r>
          </w:p>
        </w:tc>
        <w:tc>
          <w:tcPr/>
          <w:p>
            <w:pPr>
              <w:pStyle w:val="Compact"/>
            </w:pPr>
            <w:r>
              <w:t xml:space="preserve">Host-mode configuration: enablement, bind address, certificate fingerprint, streaming mode.</w:t>
            </w:r>
          </w:p>
        </w:tc>
      </w:tr>
      <w:tr>
        <w:trPr>
          <w:cantSplit/>
        </w:trPr>
        <w:tc>
          <w:tcPr/>
          <w:p>
            <w:pPr>
              <w:pStyle w:val="Compact"/>
            </w:pPr>
            <w:r>
              <w:t xml:space="preserve">HostClientSessions</w:t>
            </w:r>
          </w:p>
        </w:tc>
        <w:tc>
          <w:tcPr/>
          <w:p>
            <w:pPr>
              <w:pStyle w:val="Compact"/>
            </w:pPr>
            <w:r>
              <w:t xml:space="preserve">Active and historical client sessions; the basis for listing, limiting, and revoking (FR-LAN-007).</w:t>
            </w:r>
          </w:p>
        </w:tc>
      </w:tr>
      <w:tr>
        <w:trPr>
          <w:cantSplit/>
        </w:trPr>
        <w:tc>
          <w:tcPr/>
          <w:p>
            <w:pPr>
              <w:pStyle w:val="Compact"/>
            </w:pPr>
            <w:r>
              <w:t xml:space="preserve">LibraryPublishSettings</w:t>
            </w:r>
          </w:p>
        </w:tc>
        <w:tc>
          <w:tcPr/>
          <w:p>
            <w:pPr>
              <w:pStyle w:val="Compact"/>
            </w:pPr>
            <w:r>
              <w:t xml:space="preserve">Which folders are published to the shared library (FR-ADMIN-001, FR-LAN-009).</w:t>
            </w:r>
          </w:p>
        </w:tc>
      </w:tr>
      <w:tr>
        <w:trPr>
          <w:cantSplit/>
        </w:trPr>
        <w:tc>
          <w:tcPr/>
          <w:p>
            <w:pPr>
              <w:pStyle w:val="Compact"/>
            </w:pPr>
            <w:r>
              <w:t xml:space="preserve">SharedShelves</w:t>
            </w:r>
          </w:p>
        </w:tc>
        <w:tc>
          <w:tcPr/>
          <w:p>
            <w:pPr>
              <w:pStyle w:val="Compact"/>
            </w:pPr>
            <w:r>
              <w:t xml:space="preserve">Admin-curated shared shelf definitions (FR-ADMIN-002).</w:t>
            </w:r>
          </w:p>
        </w:tc>
      </w:tr>
      <w:tr>
        <w:trPr>
          <w:cantSplit/>
        </w:trPr>
        <w:tc>
          <w:tcPr/>
          <w:p>
            <w:pPr>
              <w:pStyle w:val="Compact"/>
            </w:pPr>
            <w:r>
              <w:t xml:space="preserve">SharedShelfBooks</w:t>
            </w:r>
          </w:p>
        </w:tc>
        <w:tc>
          <w:tcPr/>
          <w:p>
            <w:pPr>
              <w:pStyle w:val="Compact"/>
            </w:pPr>
            <w:r>
              <w:t xml:space="preserve">The many-to-many association between SharedShelves and Books.</w:t>
            </w:r>
          </w:p>
        </w:tc>
      </w:tr>
      <w:tr>
        <w:trPr>
          <w:cantSplit/>
        </w:trPr>
        <w:tc>
          <w:tcPr/>
          <w:p>
            <w:pPr>
              <w:pStyle w:val="Compact"/>
            </w:pPr>
            <w:r>
              <w:t xml:space="preserve">EnrolledProfiles</w:t>
            </w:r>
          </w:p>
        </w:tc>
        <w:tc>
          <w:tcPr/>
          <w:p>
            <w:pPr>
              <w:pStyle w:val="Compact"/>
            </w:pPr>
            <w:r>
              <w:t xml:space="preserve">Enrolled student/teacher/administrator profiles with role and revocation state (FR-ADMIN-003).</w:t>
            </w:r>
          </w:p>
        </w:tc>
      </w:tr>
      <w:tr>
        <w:trPr>
          <w:cantSplit/>
        </w:trPr>
        <w:tc>
          <w:tcPr/>
          <w:p>
            <w:pPr>
              <w:pStyle w:val="Compact"/>
            </w:pPr>
            <w:r>
              <w:t xml:space="preserve">SchoolAiEntitlements</w:t>
            </w:r>
          </w:p>
        </w:tc>
        <w:tc>
          <w:tcPr/>
          <w:p>
            <w:pPr>
              <w:pStyle w:val="Compact"/>
            </w:pPr>
            <w:r>
              <w:t xml:space="preserve">Per-student and per-class AI privacy tier, quota, and rate-limit policy (FR-ADMIN-006, -008, -009).</w:t>
            </w:r>
          </w:p>
        </w:tc>
      </w:tr>
      <w:tr>
        <w:trPr>
          <w:cantSplit/>
        </w:trPr>
        <w:tc>
          <w:tcPr/>
          <w:p>
            <w:pPr>
              <w:pStyle w:val="Compact"/>
            </w:pPr>
            <w:r>
              <w:t xml:space="preserve">AiUsageLedger</w:t>
            </w:r>
          </w:p>
        </w:tc>
        <w:tc>
          <w:tcPr/>
          <w:p>
            <w:pPr>
              <w:pStyle w:val="Compact"/>
            </w:pPr>
            <w:r>
              <w:t xml:space="preserve">Per-query usage and cost entries feeding the admin dashboard (FR-ADMIN-010).</w:t>
            </w:r>
          </w:p>
        </w:tc>
      </w:tr>
    </w:tbl>
    <w:p>
      <w:pPr>
        <w:pStyle w:val="BodyText"/>
      </w:pPr>
      <w:r>
        <w:t xml:space="preserve">Key relationships: a Book has one or more BookFiles; a Book has many BookMetadataFields, each linked to zero or more MetadataLookups recording provenance; a Book associates to Authors through BookAuthors and to Shelves through ShelfBooks. A BookFile owns its Bookmarks, Annotations, ReadingProgress, and ExtractedPages; each ExtractedPage yields SearchChunks; each SearchChunk may have one EmbeddingVector. AiQueryHistory, Jobs, AuditEvents, and AiUsageLedger are append-oriented logs. EnrolledProfiles own HostClientSessions and per-student synced reading-state blobs; a student's private client-side state lives in a per-profile SQLite database on the client machine, keyed by profile identifier and unreadable across profiles (FR-CLIENT-002, verified by</w:t>
      </w:r>
      <w:r>
        <w:t xml:space="preserve"> </w:t>
      </w:r>
      <w:r>
        <w:rPr>
          <w:rStyle w:val="VerbatimChar"/>
        </w:rPr>
        <w:t xml:space="preserve">StudentPrivateRepositoryTests</w:t>
      </w:r>
      <w:r>
        <w:t xml:space="preserve">).</w:t>
      </w:r>
    </w:p>
    <w:bookmarkEnd w:id="49"/>
    <w:bookmarkStart w:id="50" w:name="X071b7369898114c633e5a80e091ec46f98df0fc"/>
    <w:p>
      <w:pPr>
        <w:pStyle w:val="Heading2"/>
      </w:pPr>
      <w:r>
        <w:rPr>
          <w:rStyle w:val="SectionNumber"/>
          <w:rFonts w:ascii="Spectral" w:hAnsi="Spectral" w:eastAsia="Spectral"/>
          <w:color w:val="132338"/>
        </w:rPr>
        <w:t xml:space="preserve">7.3</w:t>
      </w:r>
      <w:r>
        <w:rPr>
          <w:rFonts w:ascii="Spectral" w:hAnsi="Spectral" w:eastAsia="Spectral"/>
          <w:color w:val="132338"/>
        </w:rPr>
        <w:tab/>
      </w:r>
      <w:r>
        <w:rPr>
          <w:rFonts w:ascii="Spectral" w:hAnsi="Spectral" w:eastAsia="Spectral"/>
          <w:color w:val="132338"/>
        </w:rPr>
        <w:t xml:space="preserve">6.3 Book Identity Strategy</w:t>
      </w:r>
    </w:p>
    <w:p>
      <w:pPr>
        <w:pStyle w:val="FirstParagraph"/>
      </w:pPr>
      <w:r>
        <w:t xml:space="preserve">Stable identity lets renamed or moved files re-match their records (FR-LIB-003) and removed files be flagged without data loss (FR-LIB-004).</w:t>
      </w:r>
      <w:r>
        <w:t xml:space="preserve"> </w:t>
      </w:r>
      <w:r>
        <w:rPr>
          <w:rStyle w:val="VerbatimChar"/>
        </w:rPr>
        <w:t xml:space="preserve">BookIdentityService</w:t>
      </w:r>
      <w:r>
        <w:t xml:space="preserve"> </w:t>
      </w:r>
      <w:r>
        <w:t xml:space="preserve">resolves identity in this order; each later attribute is consulted only when the prior attributes fail to produce a unique match:</w:t>
      </w:r>
    </w:p>
    <w:p>
      <w:pPr>
        <w:pStyle w:val="Compact"/>
        <w:numPr>
          <w:ilvl w:val="0"/>
          <w:numId w:val="1116"/>
        </w:numPr>
      </w:pPr>
      <w:r>
        <w:rPr>
          <w:b/>
          <w:bCs/>
        </w:rPr>
        <w:t xml:space="preserve">ID-1</w:t>
      </w:r>
      <w:r>
        <w:t xml:space="preserve"> </w:t>
      </w:r>
      <w:r>
        <w:t xml:space="preserve">Relative path — the path relative to the library root; the primary locator.</w:t>
      </w:r>
    </w:p>
    <w:p>
      <w:pPr>
        <w:pStyle w:val="Compact"/>
        <w:numPr>
          <w:ilvl w:val="0"/>
          <w:numId w:val="1116"/>
        </w:numPr>
      </w:pPr>
      <w:r>
        <w:rPr>
          <w:b/>
          <w:bCs/>
        </w:rPr>
        <w:t xml:space="preserve">ID-2</w:t>
      </w:r>
      <w:r>
        <w:t xml:space="preserve"> </w:t>
      </w:r>
      <w:r>
        <w:t xml:space="preserve">SHA-256 content hash — the strong content identity; an unchanged hash re-matches a moved or renamed file.</w:t>
      </w:r>
    </w:p>
    <w:p>
      <w:pPr>
        <w:pStyle w:val="Compact"/>
        <w:numPr>
          <w:ilvl w:val="0"/>
          <w:numId w:val="1116"/>
        </w:numPr>
      </w:pPr>
      <w:r>
        <w:rPr>
          <w:b/>
          <w:bCs/>
        </w:rPr>
        <w:t xml:space="preserve">ID-3</w:t>
      </w:r>
      <w:r>
        <w:t xml:space="preserve"> </w:t>
      </w:r>
      <w:r>
        <w:t xml:space="preserve">Size plus modification time — the incremental-rescan key (FR-LIB-006): unchanged size and mtime presume content identity and skip re-hashing; a change triggers re-hash and re-identity.</w:t>
      </w:r>
    </w:p>
    <w:p>
      <w:pPr>
        <w:pStyle w:val="Compact"/>
        <w:numPr>
          <w:ilvl w:val="0"/>
          <w:numId w:val="1116"/>
        </w:numPr>
      </w:pPr>
      <w:r>
        <w:rPr>
          <w:b/>
          <w:bCs/>
        </w:rPr>
        <w:t xml:space="preserve">ID-4</w:t>
      </w:r>
      <w:r>
        <w:t xml:space="preserve"> </w:t>
      </w:r>
      <w:r>
        <w:t xml:space="preserve">PDF fingerprint — a structural fingerprint derived from the document, a secondary content signal where available.</w:t>
      </w:r>
    </w:p>
    <w:p>
      <w:pPr>
        <w:pStyle w:val="Compact"/>
        <w:numPr>
          <w:ilvl w:val="0"/>
          <w:numId w:val="1116"/>
        </w:numPr>
      </w:pPr>
      <w:r>
        <w:rPr>
          <w:b/>
          <w:bCs/>
        </w:rPr>
        <w:t xml:space="preserve">ID-5</w:t>
      </w:r>
      <w:r>
        <w:t xml:space="preserve"> </w:t>
      </w:r>
      <w:r>
        <w:t xml:space="preserve">ISBN/DOI — the bibliographic identifier, associating files that represent the same edition or work.</w:t>
      </w:r>
    </w:p>
    <w:p>
      <w:pPr>
        <w:pStyle w:val="FirstParagraph"/>
      </w:pPr>
      <w:r>
        <w:t xml:space="preserve">Verification:</w:t>
      </w:r>
      <w:r>
        <w:t xml:space="preserve"> </w:t>
      </w:r>
      <w:r>
        <w:rPr>
          <w:rStyle w:val="VerbatimChar"/>
        </w:rPr>
        <w:t xml:space="preserve">BookIdentityServiceTests</w:t>
      </w:r>
      <w:r>
        <w:t xml:space="preserve"> </w:t>
      </w:r>
      <w:r>
        <w:t xml:space="preserve">and</w:t>
      </w:r>
      <w:r>
        <w:t xml:space="preserve"> </w:t>
      </w:r>
      <w:r>
        <w:rPr>
          <w:rStyle w:val="VerbatimChar"/>
        </w:rPr>
        <w:t xml:space="preserve">IncrementalRescanTests</w:t>
      </w:r>
      <w:r>
        <w:t xml:space="preserve"> </w:t>
      </w:r>
      <w:r>
        <w:t xml:space="preserve">cover rename, move, delete, and unchanged-rescan cases.</w:t>
      </w:r>
    </w:p>
    <w:bookmarkEnd w:id="50"/>
    <w:bookmarkStart w:id="51" w:name="X983393d8ed4cbc5aa5bc0f4cb298e442f111fb2"/>
    <w:p>
      <w:pPr>
        <w:pStyle w:val="Heading2"/>
      </w:pPr>
      <w:r>
        <w:rPr>
          <w:rStyle w:val="SectionNumber"/>
          <w:rFonts w:ascii="Spectral" w:hAnsi="Spectral" w:eastAsia="Spectral"/>
          <w:color w:val="132338"/>
        </w:rPr>
        <w:t xml:space="preserve">7.4</w:t>
      </w:r>
      <w:r>
        <w:rPr>
          <w:rFonts w:ascii="Spectral" w:hAnsi="Spectral" w:eastAsia="Spectral"/>
          <w:color w:val="132338"/>
        </w:rPr>
        <w:tab/>
      </w:r>
      <w:r>
        <w:rPr>
          <w:rFonts w:ascii="Spectral" w:hAnsi="Spectral" w:eastAsia="Spectral"/>
          <w:color w:val="132338"/>
        </w:rPr>
        <w:t xml:space="preserve">6.4 Work / Edition Layer (V2)</w:t>
      </w:r>
    </w:p>
    <w:p>
      <w:pPr>
        <w:pStyle w:val="FirstParagraph"/>
      </w:pPr>
      <w:r>
        <w:t xml:space="preserve">The Work/Edition model (FR-CAT-007, V2, Not started) distinguishes an intellectual</w:t>
      </w:r>
      <w:r>
        <w:t xml:space="preserve"> </w:t>
      </w:r>
      <w:r>
        <w:rPr>
          <w:i/>
          <w:iCs/>
        </w:rPr>
        <w:t xml:space="preserve">work</w:t>
      </w:r>
      <w:r>
        <w:t xml:space="preserve"> </w:t>
      </w:r>
      <w:r>
        <w:t xml:space="preserve">from a specific</w:t>
      </w:r>
      <w:r>
        <w:t xml:space="preserve"> </w:t>
      </w:r>
      <w:r>
        <w:rPr>
          <w:i/>
          <w:iCs/>
        </w:rPr>
        <w:t xml:space="preserve">edition</w:t>
      </w:r>
      <w:r>
        <w:t xml:space="preserve"> </w:t>
      </w:r>
      <w:r>
        <w:t xml:space="preserve">and from a specific PDF</w:t>
      </w:r>
      <w:r>
        <w:t xml:space="preserve"> </w:t>
      </w:r>
      <w:r>
        <w:rPr>
          <w:i/>
          <w:iCs/>
        </w:rPr>
        <w:t xml:space="preserve">file</w:t>
      </w:r>
      <w:r>
        <w:t xml:space="preserve">, grouping duplicates and editions for merge/split management. A Book is fully usable without any Work or Edition association; the MVP and the current schema do not require the layer. Its detailed cardinality and merge/split design is produced when FR-CAT-007 is scheduled, under a Change Impact Analysis against this baseline; the FR-CAT-007 oracle (no data loss across merge and split) constrains that design now.</w:t>
      </w:r>
    </w:p>
    <w:bookmarkEnd w:id="51"/>
    <w:bookmarkStart w:id="52" w:name="Xc9e294b3a60458a4202ce31c7084ab2d5ad5dc6"/>
    <w:p>
      <w:pPr>
        <w:pStyle w:val="Heading2"/>
      </w:pPr>
      <w:r>
        <w:rPr>
          <w:rStyle w:val="SectionNumber"/>
          <w:rFonts w:ascii="Spectral" w:hAnsi="Spectral" w:eastAsia="Spectral"/>
          <w:color w:val="132338"/>
        </w:rPr>
        <w:t xml:space="preserve">7.5</w:t>
      </w:r>
      <w:r>
        <w:rPr>
          <w:rFonts w:ascii="Spectral" w:hAnsi="Spectral" w:eastAsia="Spectral"/>
          <w:color w:val="132338"/>
        </w:rPr>
        <w:tab/>
      </w:r>
      <w:r>
        <w:rPr>
          <w:rFonts w:ascii="Spectral" w:hAnsi="Spectral" w:eastAsia="Spectral"/>
          <w:color w:val="132338"/>
        </w:rPr>
        <w:t xml:space="preserve">6.5 Sidecar Asset Folder Layout</w:t>
      </w:r>
    </w:p>
    <w:p>
      <w:pPr>
        <w:pStyle w:val="FirstParagraph"/>
      </w:pPr>
      <w:r>
        <w:t xml:space="preserve">The sidecar asset folder holds generated files outside the database, organised by asset class so a class can be regenerated or cleared independently:</w:t>
      </w:r>
      <w:r>
        <w:t xml:space="preserve"> </w:t>
      </w:r>
      <w:r>
        <w:rPr>
          <w:rStyle w:val="VerbatimChar"/>
        </w:rPr>
        <w:t xml:space="preserve">covers/</w:t>
      </w:r>
      <w:r>
        <w:t xml:space="preserve">,</w:t>
      </w:r>
      <w:r>
        <w:t xml:space="preserve"> </w:t>
      </w:r>
      <w:r>
        <w:rPr>
          <w:rStyle w:val="VerbatimChar"/>
        </w:rPr>
        <w:t xml:space="preserve">thumbnails/</w:t>
      </w:r>
      <w:r>
        <w:t xml:space="preserve">,</w:t>
      </w:r>
      <w:r>
        <w:t xml:space="preserve"> </w:t>
      </w:r>
      <w:r>
        <w:rPr>
          <w:rStyle w:val="VerbatimChar"/>
        </w:rPr>
        <w:t xml:space="preserve">spines/</w:t>
      </w:r>
      <w:r>
        <w:t xml:space="preserve">,</w:t>
      </w:r>
      <w:r>
        <w:t xml:space="preserve"> </w:t>
      </w:r>
      <w:r>
        <w:rPr>
          <w:rStyle w:val="VerbatimChar"/>
        </w:rPr>
        <w:t xml:space="preserve">ocr/</w:t>
      </w:r>
      <w:r>
        <w:t xml:space="preserve">,</w:t>
      </w:r>
      <w:r>
        <w:t xml:space="preserve"> </w:t>
      </w:r>
      <w:r>
        <w:rPr>
          <w:rStyle w:val="VerbatimChar"/>
        </w:rPr>
        <w:t xml:space="preserve">extracted/</w:t>
      </w:r>
      <w:r>
        <w:t xml:space="preserve">,</w:t>
      </w:r>
      <w:r>
        <w:t xml:space="preserve"> </w:t>
      </w:r>
      <w:r>
        <w:rPr>
          <w:rStyle w:val="VerbatimChar"/>
        </w:rPr>
        <w:t xml:space="preserve">embeddings/</w:t>
      </w:r>
      <w:r>
        <w:t xml:space="preserve">, and</w:t>
      </w:r>
      <w:r>
        <w:t xml:space="preserve"> </w:t>
      </w:r>
      <w:r>
        <w:rPr>
          <w:rStyle w:val="VerbatimChar"/>
        </w:rPr>
        <w:t xml:space="preserve">backups/</w:t>
      </w:r>
      <w:r>
        <w:t xml:space="preserve"> </w:t>
      </w:r>
      <w:r>
        <w:t xml:space="preserve">(pre-write-back file backups and pre-migration catalogue snapshots). On-disk naming within each class is owned by the implemented</w:t>
      </w:r>
      <w:r>
        <w:t xml:space="preserve"> </w:t>
      </w:r>
      <w:r>
        <w:rPr>
          <w:rStyle w:val="VerbatimChar"/>
        </w:rPr>
        <w:t xml:space="preserve">SidecarService</w:t>
      </w:r>
      <w:r>
        <w:t xml:space="preserve"> </w:t>
      </w:r>
      <w:r>
        <w:t xml:space="preserve">(verified by</w:t>
      </w:r>
      <w:r>
        <w:t xml:space="preserve"> </w:t>
      </w:r>
      <w:r>
        <w:rPr>
          <w:rStyle w:val="VerbatimChar"/>
        </w:rPr>
        <w:t xml:space="preserve">SidecarServiceTests</w:t>
      </w:r>
      <w:r>
        <w:t xml:space="preserve">); the database reference — not the file name — is the authoritative link between a record and its assets, so asset-file naming is an implementation detail rather than a baselined requirement.</w:t>
      </w:r>
    </w:p>
    <w:bookmarkEnd w:id="52"/>
    <w:bookmarkStart w:id="53" w:name="Xd79296c684e0ca148efc928799234fefb306d11"/>
    <w:p>
      <w:pPr>
        <w:pStyle w:val="Heading2"/>
      </w:pPr>
      <w:r>
        <w:rPr>
          <w:rStyle w:val="SectionNumber"/>
          <w:rFonts w:ascii="Spectral" w:hAnsi="Spectral" w:eastAsia="Spectral"/>
          <w:color w:val="132338"/>
        </w:rPr>
        <w:t xml:space="preserve">7.6</w:t>
      </w:r>
      <w:r>
        <w:rPr>
          <w:rFonts w:ascii="Spectral" w:hAnsi="Spectral" w:eastAsia="Spectral"/>
          <w:color w:val="132338"/>
        </w:rPr>
        <w:tab/>
      </w:r>
      <w:r>
        <w:rPr>
          <w:rFonts w:ascii="Spectral" w:hAnsi="Spectral" w:eastAsia="Spectral"/>
          <w:color w:val="132338"/>
        </w:rPr>
        <w:t xml:space="preserve">6.6 Data Retention and Erasure</w:t>
      </w:r>
    </w:p>
    <w:p>
      <w:pPr>
        <w:pStyle w:val="FirstParagraph"/>
      </w:pPr>
      <w:r>
        <w:t xml:space="preserve">AiQueryHistory and EmbeddingVectors are subject to scoped erasure per NFR-PROD-014 and FR-AI-009 (verified by</w:t>
      </w:r>
      <w:r>
        <w:t xml:space="preserve"> </w:t>
      </w:r>
      <w:r>
        <w:rPr>
          <w:rStyle w:val="VerbatimChar"/>
        </w:rPr>
        <w:t xml:space="preserve">EmbeddingErasureTests</w:t>
      </w:r>
      <w:r>
        <w:t xml:space="preserve">). Classroom AI history is deletable by the student for their own scope (FR-ADMIN-012) and purgeable institution-wide by the administrator (FR-ADMIN-013). AuditEvents are append-only and never silently truncated (NFR-PROD-013). The full catalogue, annotations, and metadata are exportable to documented open formats per NFR-PROD-009; citation and research exports per FR-READ-013.</w:t>
      </w:r>
    </w:p>
    <w:p>
      <w:pPr>
        <w:pStyle w:val="BodyText"/>
      </w:pPr>
      <w:r>
        <w:t xml:space="preserve">\newpage</w:t>
      </w:r>
    </w:p>
    <w:bookmarkEnd w:id="53"/>
    <w:bookmarkEnd w:id="54"/>
    <w:bookmarkStart w:id="63" w:name="X1680e54986c6b039f1b9b81cb1738d77a293203"/>
    <w:p>
      <w:pPr>
        <w:pStyle w:val="Heading1"/>
      </w:pPr>
      <w:r>
        <w:rPr>
          <w:rStyle w:val="SectionNumber"/>
          <w:rFonts w:ascii="Spectral" w:hAnsi="Spectral" w:eastAsia="Spectral"/>
          <w:color w:val="132338"/>
        </w:rPr>
        <w:t xml:space="preserve">8</w:t>
      </w:r>
      <w:r>
        <w:rPr>
          <w:rFonts w:ascii="Spectral" w:hAnsi="Spectral" w:eastAsia="Spectral"/>
          <w:color w:val="132338"/>
        </w:rPr>
        <w:tab/>
      </w:r>
      <w:r>
        <w:rPr>
          <w:rFonts w:ascii="Spectral" w:hAnsi="Spectral" w:eastAsia="Spectral"/>
          <w:color w:val="132338"/>
        </w:rPr>
        <w:t xml:space="preserve">7. Security and Privacy Requirements</w:t>
      </w:r>
    </w:p>
    <w:p>
      <w:pPr>
        <w:pStyle w:val="FirstParagraph"/>
      </w:pPr>
      <w:r>
        <w:t xml:space="preserve">The v1.0 threat model — a local-first desktop application with no server surface — still governs the default install. Baseline v2.0 adds a second, deliberately scoped surface: the opt-in Library Host mode (FR-LAN-001, ADR-0010) exposes a TLS, LAN-bounded, authenticated inbound listener on one machine per deployment. The dominant risks are therefore: leakage of provider secrets, malicious or malformed imported documents, path traversal against the library root, supply-chain tampering of the installed binary, silent off-device exfiltration of user content, and — new in v2.0 — the LAN/classroom attack surface: on-wire interception, host impersonation, traversal via streaming requests, stale or stolen client sessions, cross-student data exposure, school AI-key theft, quota abuse, and unlawful processing of</w:t>
      </w:r>
      <w:r>
        <w:t xml:space="preserve"> </w:t>
      </w:r>
      <w:r>
        <w:rPr>
          <w:i/>
          <w:iCs/>
        </w:rPr>
        <w:t xml:space="preserve">minors'</w:t>
      </w:r>
      <w:r>
        <w:t xml:space="preserve"> </w:t>
      </w:r>
      <w:r>
        <w:t xml:space="preserve">data. The controls below use the flat CTRL-### sequence; CTRL-001 through CTRL-024 carry over from the signed v1.0 baseline, CTRL-025 through CTRL-032 are new for the classroom scope. Each control states its requirement, verification method, and the risk it retires. Full threat-model execution (STRIDE, attack trees, SAST) is Phase 19 scope (Section 8.6).</w:t>
      </w:r>
    </w:p>
    <w:bookmarkStart w:id="55" w:name="Xc88e805c12abd293521c5ce30287994cd2efad9"/>
    <w:p>
      <w:pPr>
        <w:pStyle w:val="Heading2"/>
      </w:pPr>
      <w:r>
        <w:rPr>
          <w:rStyle w:val="SectionNumber"/>
          <w:rFonts w:ascii="Spectral" w:hAnsi="Spectral" w:eastAsia="Spectral"/>
          <w:color w:val="132338"/>
        </w:rPr>
        <w:t xml:space="preserve">8.1</w:t>
      </w:r>
      <w:r>
        <w:rPr>
          <w:rFonts w:ascii="Spectral" w:hAnsi="Spectral" w:eastAsia="Spectral"/>
          <w:color w:val="132338"/>
        </w:rPr>
        <w:tab/>
      </w:r>
      <w:r>
        <w:rPr>
          <w:rFonts w:ascii="Spectral" w:hAnsi="Spectral" w:eastAsia="Spectral"/>
          <w:color w:val="132338"/>
        </w:rPr>
        <w:t xml:space="preserve">7.1 Secrets and Credential Storage</w:t>
      </w:r>
    </w:p>
    <w:p>
      <w:pPr>
        <w:pStyle w:val="FirstParagraph"/>
      </w:pPr>
      <w:r>
        <w:rPr>
          <w:b/>
          <w:bCs/>
        </w:rPr>
        <w:t xml:space="preserve">CTRL-001.</w:t>
      </w:r>
      <w:r>
        <w:t xml:space="preserve"> </w:t>
      </w:r>
      <w:r>
        <w:t xml:space="preserve">The system shall store all provider Application Programming Interface (API) keys, tokens, and credentials in OS-native credential storage (Windows Credential Manager / Data Protection API, macOS Keychain; Linux Secret Service named for forward compatibility only) and shall never write a secret to a plaintext settings file, the catalogue database, a log file, or a crash report. Verification: storage audit after configuring a provider finds no secret in any of those locations. Risk: provider-key theft from disk artifacts.</w:t>
      </w:r>
    </w:p>
    <w:p>
      <w:pPr>
        <w:pStyle w:val="BodyText"/>
      </w:pPr>
      <w:r>
        <w:rPr>
          <w:b/>
          <w:bCs/>
        </w:rPr>
        <w:t xml:space="preserve">CTRL-002.</w:t>
      </w:r>
      <w:r>
        <w:t xml:space="preserve"> </w:t>
      </w:r>
      <w:r>
        <w:t xml:space="preserve">The system shall redact secrets from all logs, error reports, telemetry, and the audit trail, identifying a provider call by correlation identifier. Verification: log scan after a provider call finds the correlation identifier and no secret material. Risk: secret leakage through diagnostics.</w:t>
      </w:r>
    </w:p>
    <w:p>
      <w:pPr>
        <w:pStyle w:val="BodyText"/>
      </w:pPr>
      <w:r>
        <w:rPr>
          <w:b/>
          <w:bCs/>
        </w:rPr>
        <w:t xml:space="preserve">CTRL-003.</w:t>
      </w:r>
      <w:r>
        <w:t xml:space="preserve"> </w:t>
      </w:r>
      <w:r>
        <w:t xml:space="preserve">The system shall delete a provider's secret from OS credential storage in the same action that removes the provider and shall record a credential-removal audit entry. Verification: removing a provider leaves no retrievable secret and produces a matching audit entry. Risk: orphaned credentials.</w:t>
      </w:r>
    </w:p>
    <w:bookmarkEnd w:id="55"/>
    <w:bookmarkStart w:id="56" w:name="Xdd541d706262c08722aea153cfa15309512f313"/>
    <w:p>
      <w:pPr>
        <w:pStyle w:val="Heading2"/>
      </w:pPr>
      <w:r>
        <w:rPr>
          <w:rStyle w:val="SectionNumber"/>
          <w:rFonts w:ascii="Spectral" w:hAnsi="Spectral" w:eastAsia="Spectral"/>
          <w:color w:val="132338"/>
        </w:rPr>
        <w:t xml:space="preserve">8.2</w:t>
      </w:r>
      <w:r>
        <w:rPr>
          <w:rFonts w:ascii="Spectral" w:hAnsi="Spectral" w:eastAsia="Spectral"/>
          <w:color w:val="132338"/>
        </w:rPr>
        <w:tab/>
      </w:r>
      <w:r>
        <w:rPr>
          <w:rFonts w:ascii="Spectral" w:hAnsi="Spectral" w:eastAsia="Spectral"/>
          <w:color w:val="132338"/>
        </w:rPr>
        <w:t xml:space="preserve">7.2 Untrusted Document Handling</w:t>
      </w:r>
    </w:p>
    <w:p>
      <w:pPr>
        <w:pStyle w:val="FirstParagraph"/>
      </w:pPr>
      <w:r>
        <w:rPr>
          <w:b/>
          <w:bCs/>
        </w:rPr>
        <w:t xml:space="preserve">CTRL-004.</w:t>
      </w:r>
      <w:r>
        <w:t xml:space="preserve"> </w:t>
      </w:r>
      <w:r>
        <w:t xml:space="preserve">The system shall treat all imported document content as untrusted input regardless of source. Verification: the import path applies the controls below to every imported file in test. Risk: malicious PDF as delivery vector.</w:t>
      </w:r>
    </w:p>
    <w:p>
      <w:pPr>
        <w:pStyle w:val="BodyText"/>
      </w:pPr>
      <w:r>
        <w:rPr>
          <w:b/>
          <w:bCs/>
        </w:rPr>
        <w:t xml:space="preserve">CTRL-005.</w:t>
      </w:r>
      <w:r>
        <w:t xml:space="preserve"> </w:t>
      </w:r>
      <w:r>
        <w:t xml:space="preserve">The system shall execute document rendering and OCR within a worker boundary isolated from the catalogue and the credential store. Verification: fault-injection confirms render and OCR workers hold no handle to the credential store or the catalogue connection. Risk: parser exploit reaching secrets or the catalogue of record.</w:t>
      </w:r>
    </w:p>
    <w:p>
      <w:pPr>
        <w:pStyle w:val="BodyText"/>
      </w:pPr>
      <w:r>
        <w:rPr>
          <w:b/>
          <w:bCs/>
        </w:rPr>
        <w:t xml:space="preserve">CTRL-006.</w:t>
      </w:r>
      <w:r>
        <w:t xml:space="preserve"> </w:t>
      </w:r>
      <w:r>
        <w:t xml:space="preserve">The system shall disable embedded JavaScript and auto-executing actions in documents by default and shall block document-initiated external resource fetches unless explicitly enabled. Verification: a fixture with embedded JavaScript and an external fetch executes neither; the audit records no off-device fetch. Risk: active-content execution and beaconing.</w:t>
      </w:r>
    </w:p>
    <w:p>
      <w:pPr>
        <w:pStyle w:val="BodyText"/>
      </w:pPr>
      <w:r>
        <w:rPr>
          <w:b/>
          <w:bCs/>
        </w:rPr>
        <w:t xml:space="preserve">CTRL-007.</w:t>
      </w:r>
      <w:r>
        <w:t xml:space="preserve"> </w:t>
      </w:r>
      <w:r>
        <w:t xml:space="preserve">The system shall enforce time and memory bounds on render and OCR workers so a malformed document degrades to a per-item failure. Verification: a malformed fixture produces a bounded per-item failure while the application stays responsive. Risk: denial of service via crafted documents.</w:t>
      </w:r>
    </w:p>
    <w:bookmarkEnd w:id="56"/>
    <w:bookmarkStart w:id="57" w:name="Xfe9ec991d9a9bb2b5a9ecca4d4bdde99b9b0090"/>
    <w:p>
      <w:pPr>
        <w:pStyle w:val="Heading2"/>
      </w:pPr>
      <w:r>
        <w:rPr>
          <w:rStyle w:val="SectionNumber"/>
          <w:rFonts w:ascii="Spectral" w:hAnsi="Spectral" w:eastAsia="Spectral"/>
          <w:color w:val="132338"/>
        </w:rPr>
        <w:t xml:space="preserve">8.3</w:t>
      </w:r>
      <w:r>
        <w:rPr>
          <w:rFonts w:ascii="Spectral" w:hAnsi="Spectral" w:eastAsia="Spectral"/>
          <w:color w:val="132338"/>
        </w:rPr>
        <w:tab/>
      </w:r>
      <w:r>
        <w:rPr>
          <w:rFonts w:ascii="Spectral" w:hAnsi="Spectral" w:eastAsia="Spectral"/>
          <w:color w:val="132338"/>
        </w:rPr>
        <w:t xml:space="preserve">7.3 File-Path and Library-Root Validation</w:t>
      </w:r>
    </w:p>
    <w:p>
      <w:pPr>
        <w:pStyle w:val="FirstParagraph"/>
      </w:pPr>
      <w:r>
        <w:rPr>
          <w:b/>
          <w:bCs/>
        </w:rPr>
        <w:t xml:space="preserve">CTRL-008.</w:t>
      </w:r>
      <w:r>
        <w:t xml:space="preserve"> </w:t>
      </w:r>
      <w:r>
        <w:t xml:space="preserve">The system shall validate the resolved, canonicalised path of every file operation against the configured library root and refuse any path resolving outside it. Verification: an outside-root operation is refused and logged. Risk: path traversal.</w:t>
      </w:r>
    </w:p>
    <w:p>
      <w:pPr>
        <w:pStyle w:val="BodyText"/>
      </w:pPr>
      <w:r>
        <w:rPr>
          <w:b/>
          <w:bCs/>
        </w:rPr>
        <w:t xml:space="preserve">CTRL-009.</w:t>
      </w:r>
      <w:r>
        <w:t xml:space="preserve"> </w:t>
      </w:r>
      <w:r>
        <w:t xml:space="preserve">The system shall not follow a symbolic link resolving outside the library root without explicit per-action user consent. Verification: a planted outside-root symlink is not traversed without recorded consent. Risk: symlink escape.</w:t>
      </w:r>
    </w:p>
    <w:p>
      <w:pPr>
        <w:pStyle w:val="BodyText"/>
      </w:pPr>
      <w:r>
        <w:rPr>
          <w:b/>
          <w:bCs/>
        </w:rPr>
        <w:t xml:space="preserve">CTRL-010.</w:t>
      </w:r>
      <w:r>
        <w:t xml:space="preserve"> </w:t>
      </w:r>
      <w:r>
        <w:t xml:space="preserve">The system shall reject or quarantine catalogue-import entries whose names attempt directory traversal (for example</w:t>
      </w:r>
      <w:r>
        <w:t xml:space="preserve"> </w:t>
      </w:r>
      <w:r>
        <w:rPr>
          <w:rStyle w:val="VerbatimChar"/>
        </w:rPr>
        <w:t xml:space="preserve">..</w:t>
      </w:r>
      <w:r>
        <w:t xml:space="preserve"> </w:t>
      </w:r>
      <w:r>
        <w:t xml:space="preserve">segments). Verification: a traversal entry is rejected or quarantined, never acted upon. Risk: import-time traversal.</w:t>
      </w:r>
    </w:p>
    <w:p>
      <w:pPr>
        <w:pStyle w:val="BodyText"/>
      </w:pPr>
      <w:r>
        <w:rPr>
          <w:b/>
          <w:bCs/>
        </w:rPr>
        <w:t xml:space="preserve">CTRL-011.</w:t>
      </w:r>
      <w:r>
        <w:t xml:space="preserve"> </w:t>
      </w:r>
      <w:r>
        <w:t xml:space="preserve">The system shall target metadata write-back only to files within the validated root, shall preserve the original (NFR-PROD-010), and shall record a write-back audit entry. Verification: outside-root write-back refused; inside-root write-back produces backup plus audit entry. Risk: destructive write outside user intent.</w:t>
      </w:r>
    </w:p>
    <w:bookmarkEnd w:id="57"/>
    <w:bookmarkStart w:id="58" w:name="X7aa682c93ab6a5618658de1ad2907775736be2f"/>
    <w:p>
      <w:pPr>
        <w:pStyle w:val="Heading2"/>
      </w:pPr>
      <w:r>
        <w:rPr>
          <w:rStyle w:val="SectionNumber"/>
          <w:rFonts w:ascii="Spectral" w:hAnsi="Spectral" w:eastAsia="Spectral"/>
          <w:color w:val="132338"/>
        </w:rPr>
        <w:t xml:space="preserve">8.4</w:t>
      </w:r>
      <w:r>
        <w:rPr>
          <w:rFonts w:ascii="Spectral" w:hAnsi="Spectral" w:eastAsia="Spectral"/>
          <w:color w:val="132338"/>
        </w:rPr>
        <w:tab/>
      </w:r>
      <w:r>
        <w:rPr>
          <w:rFonts w:ascii="Spectral" w:hAnsi="Spectral" w:eastAsia="Spectral"/>
          <w:color w:val="132338"/>
        </w:rPr>
        <w:t xml:space="preserve">7.4 Application Integrity and Updates</w:t>
      </w:r>
    </w:p>
    <w:p>
      <w:pPr>
        <w:pStyle w:val="FirstParagraph"/>
      </w:pPr>
      <w:r>
        <w:rPr>
          <w:b/>
          <w:bCs/>
        </w:rPr>
        <w:t xml:space="preserve">CTRL-012.</w:t>
      </w:r>
      <w:r>
        <w:t xml:space="preserve"> </w:t>
      </w:r>
      <w:r>
        <w:t xml:space="preserve">The system shall code-sign all public builds and verify the signature before installing an update, refusing unsigned or tamper-detected artifacts (NFR-PROD-012). Verification: the update pipeline rejects a deliberately corrupted artifact. Risk: supply-chain tampering. (Packaging pipeline is Phase 22 scope.)</w:t>
      </w:r>
    </w:p>
    <w:p>
      <w:pPr>
        <w:pStyle w:val="BodyText"/>
      </w:pPr>
      <w:r>
        <w:rPr>
          <w:b/>
          <w:bCs/>
        </w:rPr>
        <w:t xml:space="preserve">CTRL-013.</w:t>
      </w:r>
      <w:r>
        <w:t xml:space="preserve"> </w:t>
      </w:r>
      <w:r>
        <w:t xml:space="preserve">The system shall fetch update metadata and artifacts over an authenticated, integrity-checked channel and signature-verify the update descriptor independently of transport. Verification: a tampered descriptor is rejected even over valid transport. Risk: update-channel compromise.</w:t>
      </w:r>
    </w:p>
    <w:bookmarkEnd w:id="58"/>
    <w:bookmarkStart w:id="59" w:name="Xff2d502aec9a27ceedd3f71bd42783aef4feeb1"/>
    <w:p>
      <w:pPr>
        <w:pStyle w:val="Heading2"/>
      </w:pPr>
      <w:r>
        <w:rPr>
          <w:rStyle w:val="SectionNumber"/>
          <w:rFonts w:ascii="Spectral" w:hAnsi="Spectral" w:eastAsia="Spectral"/>
          <w:color w:val="132338"/>
        </w:rPr>
        <w:t xml:space="preserve">8.5</w:t>
      </w:r>
      <w:r>
        <w:rPr>
          <w:rFonts w:ascii="Spectral" w:hAnsi="Spectral" w:eastAsia="Spectral"/>
          <w:color w:val="132338"/>
        </w:rPr>
        <w:tab/>
      </w:r>
      <w:r>
        <w:rPr>
          <w:rFonts w:ascii="Spectral" w:hAnsi="Spectral" w:eastAsia="Spectral"/>
          <w:color w:val="132338"/>
        </w:rPr>
        <w:t xml:space="preserve">7.5 Data at Rest</w:t>
      </w:r>
    </w:p>
    <w:p>
      <w:pPr>
        <w:pStyle w:val="FirstParagraph"/>
      </w:pPr>
      <w:r>
        <w:rPr>
          <w:b/>
          <w:bCs/>
        </w:rPr>
        <w:t xml:space="preserve">CTRL-014.</w:t>
      </w:r>
      <w:r>
        <w:t xml:space="preserve"> </w:t>
      </w:r>
      <w:r>
        <w:t xml:space="preserve">The system shall offer optional encryption at rest for the catalogue database, with the key held in OS credential storage rather than alongside the database. Verification: with encryption enabled, the database is unreadable without the OS-held key. Risk: catalogue disclosure from device loss. (At-rest hardening completes in Phase 19.)</w:t>
      </w:r>
    </w:p>
    <w:p>
      <w:pPr>
        <w:pStyle w:val="BodyText"/>
      </w:pPr>
      <w:r>
        <w:rPr>
          <w:b/>
          <w:bCs/>
        </w:rPr>
        <w:t xml:space="preserve">CTRL-015.</w:t>
      </w:r>
      <w:r>
        <w:t xml:space="preserve"> </w:t>
      </w:r>
      <w:r>
        <w:t xml:space="preserve">The system shall apply the same at-rest protection to backups as to the catalogue, and backups shall contain no provider secret. Verification: a backup inherits the catalogue's encryption state and contains no secret material. Risk: protection downgrade via backups.</w:t>
      </w:r>
    </w:p>
    <w:bookmarkEnd w:id="59"/>
    <w:bookmarkStart w:id="60" w:name="X3f1ee67a7f421af0432efd0b592726b15d55079"/>
    <w:p>
      <w:pPr>
        <w:pStyle w:val="Heading2"/>
      </w:pPr>
      <w:r>
        <w:rPr>
          <w:rStyle w:val="SectionNumber"/>
          <w:rFonts w:ascii="Spectral" w:hAnsi="Spectral" w:eastAsia="Spectral"/>
          <w:color w:val="132338"/>
        </w:rPr>
        <w:t xml:space="preserve">8.6</w:t>
      </w:r>
      <w:r>
        <w:rPr>
          <w:rFonts w:ascii="Spectral" w:hAnsi="Spectral" w:eastAsia="Spectral"/>
          <w:color w:val="132338"/>
        </w:rPr>
        <w:tab/>
      </w:r>
      <w:r>
        <w:rPr>
          <w:rFonts w:ascii="Spectral" w:hAnsi="Spectral" w:eastAsia="Spectral"/>
          <w:color w:val="132338"/>
        </w:rPr>
        <w:t xml:space="preserve">7.6 Off-Device Transmission and the Privacy-Tier Model</w:t>
      </w:r>
    </w:p>
    <w:p>
      <w:pPr>
        <w:pStyle w:val="FirstParagraph"/>
      </w:pPr>
      <w:r>
        <w:t xml:space="preserve">The privacy-tier model of Section 2.6 governs every off-device transmission. The default tier is Tier 0 (Offline).</w:t>
      </w:r>
    </w:p>
    <w:p>
      <w:pPr>
        <w:pStyle w:val="BodyText"/>
      </w:pPr>
      <w:r>
        <w:rPr>
          <w:b/>
          <w:bCs/>
        </w:rPr>
        <w:t xml:space="preserve">CTRL-016.</w:t>
      </w:r>
      <w:r>
        <w:t xml:space="preserve"> </w:t>
      </w:r>
      <w:r>
        <w:t xml:space="preserve">The system shall route every off-device call through the AI gateway (</w:t>
      </w:r>
      <w:r>
        <w:rPr>
          <w:rStyle w:val="VerbatimChar"/>
        </w:rPr>
        <w:t xml:space="preserve">AiGateway</w:t>
      </w:r>
      <w:r>
        <w:t xml:space="preserve">) and permit no UI or feature module to open its own provider connection; architecture tests enforce the single egress chokepoint. Verification: network-egress test confirms all outbound provider traffic originates from the gateway (</w:t>
      </w:r>
      <w:r>
        <w:rPr>
          <w:rStyle w:val="VerbatimChar"/>
        </w:rPr>
        <w:t xml:space="preserve">ArchitectureTests</w:t>
      </w:r>
      <w:r>
        <w:t xml:space="preserve">). Risk: uncontrolled exfiltration path.</w:t>
      </w:r>
    </w:p>
    <w:p>
      <w:pPr>
        <w:pStyle w:val="BodyText"/>
      </w:pPr>
      <w:r>
        <w:rPr>
          <w:b/>
          <w:bCs/>
        </w:rPr>
        <w:t xml:space="preserve">CTRL-017.</w:t>
      </w:r>
      <w:r>
        <w:t xml:space="preserve"> </w:t>
      </w:r>
      <w:r>
        <w:t xml:space="preserve">The system shall not transmit user content or metadata off-device unless the active privacy tier permits it and the user has confirmed the previewed payload (NFR-PROD-011); the payload preview shall show exact content, field set, and destination provider. Verification: integration test asserts no off-device request without a recorded confirmation referencing the previewed payload. Risk: silent data exfiltration.</w:t>
      </w:r>
    </w:p>
    <w:p>
      <w:pPr>
        <w:pStyle w:val="BodyText"/>
      </w:pPr>
      <w:r>
        <w:rPr>
          <w:b/>
          <w:bCs/>
        </w:rPr>
        <w:t xml:space="preserve">CTRL-018.</w:t>
      </w:r>
      <w:r>
        <w:t xml:space="preserve"> </w:t>
      </w:r>
      <w:r>
        <w:t xml:space="preserve">The system shall produce a local audit entry for every off-device transmission naming provider, purpose, payload scope, and active tier (NFR-PROD-013). Verification: each off-device call produces a matching audit entry. Risk: unauditable data flows.</w:t>
      </w:r>
    </w:p>
    <w:bookmarkEnd w:id="60"/>
    <w:bookmarkStart w:id="61" w:name="X5ded8297a766189b82ea0767c60ad328e7ed304"/>
    <w:p>
      <w:pPr>
        <w:pStyle w:val="Heading2"/>
      </w:pPr>
      <w:r>
        <w:rPr>
          <w:rStyle w:val="SectionNumber"/>
          <w:rFonts w:ascii="Spectral" w:hAnsi="Spectral" w:eastAsia="Spectral"/>
          <w:color w:val="132338"/>
        </w:rPr>
        <w:t xml:space="preserve">8.7</w:t>
      </w:r>
      <w:r>
        <w:rPr>
          <w:rFonts w:ascii="Spectral" w:hAnsi="Spectral" w:eastAsia="Spectral"/>
          <w:color w:val="132338"/>
        </w:rPr>
        <w:tab/>
      </w:r>
      <w:r>
        <w:rPr>
          <w:rFonts w:ascii="Spectral" w:hAnsi="Spectral" w:eastAsia="Spectral"/>
          <w:color w:val="132338"/>
        </w:rPr>
        <w:t xml:space="preserve">7.7 Privacy, Consent, and Data-Subject Rights</w:t>
      </w:r>
    </w:p>
    <w:p>
      <w:pPr>
        <w:pStyle w:val="FirstParagraph"/>
      </w:pPr>
      <w:r>
        <w:t xml:space="preserve">For fully local operation (Tier 0 and Tier 3) no controller or processor relationship is created. When opt-in cloud AI or a metadata provider transmits data off-device (Tier 1 and Tier 2), General Data Protection Regulation (GDPR) and jurisdictional data-protection principles engage for that payload. In classroom deployments the school is the data controller (ASM-3) and students may be minors, raising the bar (CTRL-032).</w:t>
      </w:r>
    </w:p>
    <w:p>
      <w:pPr>
        <w:pStyle w:val="BodyText"/>
      </w:pPr>
      <w:r>
        <w:rPr>
          <w:b/>
          <w:bCs/>
        </w:rPr>
        <w:t xml:space="preserve">CTRL-019.</w:t>
      </w:r>
      <w:r>
        <w:t xml:space="preserve"> </w:t>
      </w:r>
      <w:r>
        <w:t xml:space="preserve">The system shall obtain an explicit, specific, informed opt-in per privacy tier and per provider before any off-device transmission, never bundled into general application acceptance. Verification: a transmission with no matching consent is blocked and logged; the consent record names tier, provider, timestamp. Risk: unlawful basis for processing.</w:t>
      </w:r>
    </w:p>
    <w:p>
      <w:pPr>
        <w:pStyle w:val="BodyText"/>
      </w:pPr>
      <w:r>
        <w:rPr>
          <w:b/>
          <w:bCs/>
        </w:rPr>
        <w:t xml:space="preserve">CTRL-020.</w:t>
      </w:r>
      <w:r>
        <w:t xml:space="preserve"> </w:t>
      </w:r>
      <w:r>
        <w:t xml:space="preserve">The system shall bound each off-device payload to the minimum needed for the consented purpose and show the payload preview before send. Verification: the transmitted field set equals the previewed, minimised set. Risk: over-collection.</w:t>
      </w:r>
    </w:p>
    <w:p>
      <w:pPr>
        <w:pStyle w:val="BodyText"/>
      </w:pPr>
      <w:r>
        <w:rPr>
          <w:b/>
          <w:bCs/>
        </w:rPr>
        <w:t xml:space="preserve">CTRL-021.</w:t>
      </w:r>
      <w:r>
        <w:t xml:space="preserve"> </w:t>
      </w:r>
      <w:r>
        <w:t xml:space="preserve">The system shall surface the destination provider and, where applicable, its processing region before first use, and shall not silently route user content across borders. Verification: provider metadata includes the region and it is shown before first use. Risk: undisclosed cross-border transfer.</w:t>
      </w:r>
    </w:p>
    <w:p>
      <w:pPr>
        <w:pStyle w:val="BodyText"/>
      </w:pPr>
      <w:r>
        <w:rPr>
          <w:b/>
          <w:bCs/>
        </w:rPr>
        <w:t xml:space="preserve">CTRL-022.</w:t>
      </w:r>
      <w:r>
        <w:t xml:space="preserve"> </w:t>
      </w:r>
      <w:r>
        <w:t xml:space="preserve">The system shall default the provider no-training flag to opt-out, so user content is not used to train any model without a separate, distinct, explicit opt-in. Verification: the flag defaults on; enabling training requires a separate recorded consent. Risk: uncontrolled secondary use.</w:t>
      </w:r>
    </w:p>
    <w:p>
      <w:pPr>
        <w:pStyle w:val="BodyText"/>
      </w:pPr>
      <w:r>
        <w:rPr>
          <w:b/>
          <w:bCs/>
        </w:rPr>
        <w:t xml:space="preserve">CTRL-023.</w:t>
      </w:r>
      <w:r>
        <w:t xml:space="preserve"> </w:t>
      </w:r>
      <w:r>
        <w:t xml:space="preserve">The system shall allow the user to delete AI query history and all embeddings for a chosen document or the entire corpus, removing stored vectors and cached provider responses in one operation, and shall surface the provider's deletion mechanism for data sent off-device (NFR-PROD-014). Verification: scoped erasure leaves no residual vector or cached response. Risk: irreversible retention.</w:t>
      </w:r>
    </w:p>
    <w:p>
      <w:pPr>
        <w:pStyle w:val="BodyText"/>
      </w:pPr>
      <w:r>
        <w:rPr>
          <w:b/>
          <w:bCs/>
        </w:rPr>
        <w:t xml:space="preserve">CTRL-024.</w:t>
      </w:r>
      <w:r>
        <w:t xml:space="preserve"> </w:t>
      </w:r>
      <w:r>
        <w:t xml:space="preserve">The system shall run a Data Protection Impact Assessment (DPIA) screening before shipping any feature that transmits user content or metadata off-device, covering data categories, purpose, lawful basis, provider processing location and retention, erasure path, and residual risk. The applicable jurisdiction is fixed per deployment: for personal use, the user's own jurisdiction under GDPR-style principles; for classroom deployments, the school's jurisdiction, recorded in that deployment's DPIA. Verification: a completed DPIA screening artifact exists per off-device feature before its release gate; the classroom screening service is implemented (</w:t>
      </w:r>
      <w:r>
        <w:rPr>
          <w:rStyle w:val="VerbatimChar"/>
        </w:rPr>
        <w:t xml:space="preserve">SchoolDpiaScreeningServiceTests</w:t>
      </w:r>
      <w:r>
        <w:t xml:space="preserve">). Risk: shipping unassessed processing.</w:t>
      </w:r>
    </w:p>
    <w:bookmarkEnd w:id="61"/>
    <w:bookmarkStart w:id="62" w:name="Xdf0b866e55d762265740ecfc1588d361b12664d"/>
    <w:p>
      <w:pPr>
        <w:pStyle w:val="Heading2"/>
      </w:pPr>
      <w:r>
        <w:rPr>
          <w:rStyle w:val="SectionNumber"/>
          <w:rFonts w:ascii="Spectral" w:hAnsi="Spectral" w:eastAsia="Spectral"/>
          <w:color w:val="132338"/>
        </w:rPr>
        <w:t xml:space="preserve">8.8</w:t>
      </w:r>
      <w:r>
        <w:rPr>
          <w:rFonts w:ascii="Spectral" w:hAnsi="Spectral" w:eastAsia="Spectral"/>
          <w:color w:val="132338"/>
        </w:rPr>
        <w:tab/>
      </w:r>
      <w:r>
        <w:rPr>
          <w:rFonts w:ascii="Spectral" w:hAnsi="Spectral" w:eastAsia="Spectral"/>
          <w:color w:val="132338"/>
        </w:rPr>
        <w:t xml:space="preserve">7.8 LAN and Classroom Surface (new in v2.0)</w:t>
      </w:r>
    </w:p>
    <w:p>
      <w:pPr>
        <w:pStyle w:val="FirstParagraph"/>
      </w:pPr>
      <w:r>
        <w:t xml:space="preserve">These controls govern the opt-in Library Host mode and classroom clients (Sections 4.7–4.9). The host is the highest-value asset in a deployment: it holds the school's content, the AI keys, and the enrollment records.</w:t>
      </w:r>
    </w:p>
    <w:p>
      <w:pPr>
        <w:pStyle w:val="BodyText"/>
      </w:pPr>
      <w:r>
        <w:rPr>
          <w:b/>
          <w:bCs/>
        </w:rPr>
        <w:t xml:space="preserve">CTRL-025.</w:t>
      </w:r>
      <w:r>
        <w:t xml:space="preserve"> </w:t>
      </w:r>
      <w:r>
        <w:t xml:space="preserve">TLS provisioning. The host shall generate and provision a TLS certificate at host-mode setup and shall serve all LAN endpoints (catalogue, assets, streams, sync, AI proxy) exclusively over TLS; no plaintext listener shall exist in any mode. Verification:</w:t>
      </w:r>
      <w:r>
        <w:t xml:space="preserve"> </w:t>
      </w:r>
      <w:r>
        <w:rPr>
          <w:rStyle w:val="VerbatimChar"/>
        </w:rPr>
        <w:t xml:space="preserve">LanHostCertificateProvisionerTests</w:t>
      </w:r>
      <w:r>
        <w:t xml:space="preserve"> </w:t>
      </w:r>
      <w:r>
        <w:t xml:space="preserve">(certificate validity and stored fingerprint);</w:t>
      </w:r>
      <w:r>
        <w:t xml:space="preserve"> </w:t>
      </w:r>
      <w:r>
        <w:rPr>
          <w:rStyle w:val="VerbatimChar"/>
        </w:rPr>
        <w:t xml:space="preserve">LanHostEndpointTests</w:t>
      </w:r>
      <w:r>
        <w:t xml:space="preserve"> </w:t>
      </w:r>
      <w:r>
        <w:t xml:space="preserve">(plaintext request refused). Risk: on-wire interception of book content, credentials, and student queries on a shared school network.</w:t>
      </w:r>
    </w:p>
    <w:p>
      <w:pPr>
        <w:pStyle w:val="BodyText"/>
      </w:pPr>
      <w:r>
        <w:rPr>
          <w:b/>
          <w:bCs/>
        </w:rPr>
        <w:t xml:space="preserve">CTRL-026.</w:t>
      </w:r>
      <w:r>
        <w:t xml:space="preserve"> </w:t>
      </w:r>
      <w:r>
        <w:t xml:space="preserve">Host trust store (trust-on-first-use). The client shall pin the host certificate fingerprint at first connection after displaying it for confirmation, shall store the pin in its host trust store, and shall refuse a subsequent connection presenting a different certificate with an explicit warning. Verification:</w:t>
      </w:r>
      <w:r>
        <w:t xml:space="preserve"> </w:t>
      </w:r>
      <w:r>
        <w:rPr>
          <w:rStyle w:val="VerbatimChar"/>
        </w:rPr>
        <w:t xml:space="preserve">HostTrustServiceTests</w:t>
      </w:r>
      <w:r>
        <w:t xml:space="preserve"> </w:t>
      </w:r>
      <w:r>
        <w:t xml:space="preserve">(pinned certificate accepted; different certificate rejected with warning). Risk: host impersonation / machine-in-the-middle on the LAN.</w:t>
      </w:r>
    </w:p>
    <w:p>
      <w:pPr>
        <w:pStyle w:val="BodyText"/>
      </w:pPr>
      <w:r>
        <w:rPr>
          <w:b/>
          <w:bCs/>
        </w:rPr>
        <w:t xml:space="preserve">CTRL-027.</w:t>
      </w:r>
      <w:r>
        <w:t xml:space="preserve"> </w:t>
      </w:r>
      <w:r>
        <w:t xml:space="preserve">Path validation on streaming. The host shall resolve every requested content path server-side against the published library root before serving any byte, shall refuse traversal attempts, and shall never enumerate or serve unpublished content (FR-LAN-006, FR-LAN-009). Verification:</w:t>
      </w:r>
      <w:r>
        <w:t xml:space="preserve"> </w:t>
      </w:r>
      <w:r>
        <w:rPr>
          <w:rStyle w:val="VerbatimChar"/>
        </w:rPr>
        <w:t xml:space="preserve">LanBookFileResolverTests</w:t>
      </w:r>
      <w:r>
        <w:t xml:space="preserve"> </w:t>
      </w:r>
      <w:r>
        <w:t xml:space="preserve">(outside-root and unpublished requests refused and logged). Risk: traversal exfiltration of unpublished host files through crafted stream requests.</w:t>
      </w:r>
    </w:p>
    <w:p>
      <w:pPr>
        <w:pStyle w:val="BodyText"/>
      </w:pPr>
      <w:r>
        <w:rPr>
          <w:b/>
          <w:bCs/>
        </w:rPr>
        <w:t xml:space="preserve">CTRL-028.</w:t>
      </w:r>
      <w:r>
        <w:t xml:space="preserve"> </w:t>
      </w:r>
      <w:r>
        <w:t xml:space="preserve">Session lifecycle and revocation. The host shall persist every client session in</w:t>
      </w:r>
      <w:r>
        <w:t xml:space="preserve"> </w:t>
      </w:r>
      <w:r>
        <w:rPr>
          <w:rStyle w:val="VerbatimChar"/>
        </w:rPr>
        <w:t xml:space="preserve">HostClientSessions</w:t>
      </w:r>
      <w:r>
        <w:t xml:space="preserve">, enforce the configured session limit, and honour administrator revocation of a session or profile no later than that principal's next request; a revoked token shall authenticate nothing. Verification:</w:t>
      </w:r>
      <w:r>
        <w:t xml:space="preserve"> </w:t>
      </w:r>
      <w:r>
        <w:rPr>
          <w:rStyle w:val="VerbatimChar"/>
        </w:rPr>
        <w:t xml:space="preserve">LanHostPersistenceTests</w:t>
      </w:r>
      <w:r>
        <w:t xml:space="preserve">,</w:t>
      </w:r>
      <w:r>
        <w:t xml:space="preserve"> </w:t>
      </w:r>
      <w:r>
        <w:rPr>
          <w:rStyle w:val="VerbatimChar"/>
        </w:rPr>
        <w:t xml:space="preserve">SchoolProfileEnrollmentServiceTests</w:t>
      </w:r>
      <w:r>
        <w:t xml:space="preserve"> </w:t>
      </w:r>
      <w:r>
        <w:t xml:space="preserve">(revoked profile receives an authentication error on next connection). Risk: a lost, shared, or stolen student machine retaining access to the shared library.</w:t>
      </w:r>
    </w:p>
    <w:p>
      <w:pPr>
        <w:pStyle w:val="BodyText"/>
      </w:pPr>
      <w:r>
        <w:rPr>
          <w:b/>
          <w:bCs/>
        </w:rPr>
        <w:t xml:space="preserve">CTRL-029.</w:t>
      </w:r>
      <w:r>
        <w:t xml:space="preserve"> </w:t>
      </w:r>
      <w:r>
        <w:t xml:space="preserve">Per-student data isolation. Student reading state, annotations, and AI history shall be stored per profile — client-side in a per-profile database, host-side keyed and authorized by profile identity — and no endpoint shall return one student's data to another student's session. Teacher visibility is limited to the disclosed dashboard of FR-CLIENT-012. Verification:</w:t>
      </w:r>
      <w:r>
        <w:t xml:space="preserve"> </w:t>
      </w:r>
      <w:r>
        <w:rPr>
          <w:rStyle w:val="VerbatimChar"/>
        </w:rPr>
        <w:t xml:space="preserve">StudentPrivateRepositoryTests</w:t>
      </w:r>
      <w:r>
        <w:t xml:space="preserve"> </w:t>
      </w:r>
      <w:r>
        <w:t xml:space="preserve">(cross-profile reads impossible);</w:t>
      </w:r>
      <w:r>
        <w:t xml:space="preserve"> </w:t>
      </w:r>
      <w:r>
        <w:rPr>
          <w:rStyle w:val="VerbatimChar"/>
        </w:rPr>
        <w:t xml:space="preserve">SchoolAiHistoryManagementServiceTests</w:t>
      </w:r>
      <w:r>
        <w:t xml:space="preserve"> </w:t>
      </w:r>
      <w:r>
        <w:t xml:space="preserve">(history scoped per student). Risk: exposure of a minor's reading and query behaviour to peers.</w:t>
      </w:r>
    </w:p>
    <w:p>
      <w:pPr>
        <w:pStyle w:val="BodyText"/>
      </w:pPr>
      <w:r>
        <w:rPr>
          <w:b/>
          <w:bCs/>
        </w:rPr>
        <w:t xml:space="preserve">CTRL-030.</w:t>
      </w:r>
      <w:r>
        <w:t xml:space="preserve"> </w:t>
      </w:r>
      <w:r>
        <w:t xml:space="preserve">School AI key custody. The school's AI provider keys shall be held only in the host's OS credential store, shall never appear in any client-bound response, client configuration, log, or sync payload, and students shall never hold or see a key (FR-ADMIN-004). Verification:</w:t>
      </w:r>
      <w:r>
        <w:t xml:space="preserve"> </w:t>
      </w:r>
      <w:r>
        <w:rPr>
          <w:rStyle w:val="VerbatimChar"/>
        </w:rPr>
        <w:t xml:space="preserve">ClassroomCredentialStoreTests</w:t>
      </w:r>
      <w:r>
        <w:t xml:space="preserve">;</w:t>
      </w:r>
      <w:r>
        <w:t xml:space="preserve"> </w:t>
      </w:r>
      <w:r>
        <w:rPr>
          <w:rStyle w:val="VerbatimChar"/>
        </w:rPr>
        <w:t xml:space="preserve">AiProxyEndpointHandlerTests</w:t>
      </w:r>
      <w:r>
        <w:t xml:space="preserve"> </w:t>
      </w:r>
      <w:r>
        <w:t xml:space="preserve">(no key value in any client HTTP response). Risk: key exfiltration leading to school cost exposure and provider abuse.</w:t>
      </w:r>
    </w:p>
    <w:p>
      <w:pPr>
        <w:pStyle w:val="BodyText"/>
      </w:pPr>
      <w:r>
        <w:rPr>
          <w:b/>
          <w:bCs/>
        </w:rPr>
        <w:t xml:space="preserve">CTRL-031.</w:t>
      </w:r>
      <w:r>
        <w:t xml:space="preserve"> </w:t>
      </w:r>
      <w:r>
        <w:t xml:space="preserve">Quota and rate-limit enforcement before egress. The host shall evaluate the per-student and per-class quota (</w:t>
      </w:r>
      <w:r>
        <w:rPr>
          <w:rStyle w:val="VerbatimChar"/>
        </w:rPr>
        <w:t xml:space="preserve">SchoolAiEntitlements</w:t>
      </w:r>
      <w:r>
        <w:t xml:space="preserve">,</w:t>
      </w:r>
      <w:r>
        <w:t xml:space="preserve"> </w:t>
      </w:r>
      <w:r>
        <w:rPr>
          <w:rStyle w:val="VerbatimChar"/>
        </w:rPr>
        <w:t xml:space="preserve">AiUsageLedger</w:t>
      </w:r>
      <w:r>
        <w:t xml:space="preserve">) and the per-student rate limit before issuing any provider call; an exhausted quota or exceeded rate produces a local denial, an audit entry, and no provider traffic (FR-ADMIN-008, FR-ADMIN-009). Verification:</w:t>
      </w:r>
      <w:r>
        <w:t xml:space="preserve"> </w:t>
      </w:r>
      <w:r>
        <w:rPr>
          <w:rStyle w:val="VerbatimChar"/>
        </w:rPr>
        <w:t xml:space="preserve">SchoolAiPolicyServiceTests</w:t>
      </w:r>
      <w:r>
        <w:t xml:space="preserve"> </w:t>
      </w:r>
      <w:r>
        <w:t xml:space="preserve">(over-quota and over-rate requests produce no provider call). Risk: cost exhaustion and provider abuse through student accounts.</w:t>
      </w:r>
    </w:p>
    <w:p>
      <w:pPr>
        <w:pStyle w:val="BodyText"/>
      </w:pPr>
      <w:r>
        <w:rPr>
          <w:b/>
          <w:bCs/>
        </w:rPr>
        <w:t xml:space="preserve">CTRL-032.</w:t>
      </w:r>
      <w:r>
        <w:t xml:space="preserve"> </w:t>
      </w:r>
      <w:r>
        <w:t xml:space="preserve">Minors' data minimization. Classroom deployments shall default the class privacy tier to metadata-only (FR-ADMIN-006); student profile records shall carry no more personal data than display name and role; every student-facing off-device call shall show the tier label and payload preview (FR-ADMIN-007); students shall be able to delete their own AI history (FR-ADMIN-012) and the administrator to purge it institution-wide (FR-ADMIN-013); and each classroom off-device feature shall pass DPIA screening naming the school as data controller before release (CTRL-024). Verification:</w:t>
      </w:r>
      <w:r>
        <w:t xml:space="preserve"> </w:t>
      </w:r>
      <w:r>
        <w:rPr>
          <w:rStyle w:val="VerbatimChar"/>
        </w:rPr>
        <w:t xml:space="preserve">SchoolAiPolicyServiceTests</w:t>
      </w:r>
      <w:r>
        <w:t xml:space="preserve"> </w:t>
      </w:r>
      <w:r>
        <w:t xml:space="preserve">(default tier),</w:t>
      </w:r>
      <w:r>
        <w:t xml:space="preserve"> </w:t>
      </w:r>
      <w:r>
        <w:rPr>
          <w:rStyle w:val="VerbatimChar"/>
        </w:rPr>
        <w:t xml:space="preserve">SchoolDpiaScreeningServiceTests</w:t>
      </w:r>
      <w:r>
        <w:t xml:space="preserve"> </w:t>
      </w:r>
      <w:r>
        <w:t xml:space="preserve">(screening artifact),</w:t>
      </w:r>
      <w:r>
        <w:t xml:space="preserve"> </w:t>
      </w:r>
      <w:r>
        <w:rPr>
          <w:rStyle w:val="VerbatimChar"/>
        </w:rPr>
        <w:t xml:space="preserve">SchoolAiHistoryManagementServiceTests</w:t>
      </w:r>
      <w:r>
        <w:t xml:space="preserve"> </w:t>
      </w:r>
      <w:r>
        <w:t xml:space="preserve">(erasure). Risk: unlawful or excessive processing of minors' personal data.</w:t>
      </w:r>
    </w:p>
    <w:p>
      <w:pPr>
        <w:pStyle w:val="BodyText"/>
      </w:pPr>
      <w:r>
        <w:t xml:space="preserve">\newpage</w:t>
      </w:r>
    </w:p>
    <w:bookmarkEnd w:id="62"/>
    <w:bookmarkEnd w:id="63"/>
    <w:bookmarkStart w:id="70" w:name="X853baf657e5f21edf25f79deb6448128896a24f"/>
    <w:p>
      <w:pPr>
        <w:pStyle w:val="Heading1"/>
      </w:pPr>
      <w:r>
        <w:rPr>
          <w:rStyle w:val="SectionNumber"/>
          <w:rFonts w:ascii="Spectral" w:hAnsi="Spectral" w:eastAsia="Spectral"/>
          <w:color w:val="132338"/>
        </w:rPr>
        <w:t xml:space="preserve">9</w:t>
      </w:r>
      <w:r>
        <w:rPr>
          <w:rFonts w:ascii="Spectral" w:hAnsi="Spectral" w:eastAsia="Spectral"/>
          <w:color w:val="132338"/>
        </w:rPr>
        <w:tab/>
      </w:r>
      <w:r>
        <w:rPr>
          <w:rFonts w:ascii="Spectral" w:hAnsi="Spectral" w:eastAsia="Spectral"/>
          <w:color w:val="132338"/>
        </w:rPr>
        <w:t xml:space="preserve">8. Verification, Validation, and Traceability</w:t>
      </w:r>
    </w:p>
    <w:bookmarkStart w:id="64" w:name="X9ab6a162e3e40b81f430e5116562394ae5a10a1"/>
    <w:p>
      <w:pPr>
        <w:pStyle w:val="Heading2"/>
      </w:pPr>
      <w:r>
        <w:rPr>
          <w:rStyle w:val="SectionNumber"/>
          <w:rFonts w:ascii="Spectral" w:hAnsi="Spectral" w:eastAsia="Spectral"/>
          <w:color w:val="132338"/>
        </w:rPr>
        <w:t xml:space="preserve">9.1</w:t>
      </w:r>
      <w:r>
        <w:rPr>
          <w:rFonts w:ascii="Spectral" w:hAnsi="Spectral" w:eastAsia="Spectral"/>
          <w:color w:val="132338"/>
        </w:rPr>
        <w:tab/>
      </w:r>
      <w:r>
        <w:rPr>
          <w:rFonts w:ascii="Spectral" w:hAnsi="Spectral" w:eastAsia="Spectral"/>
          <w:color w:val="132338"/>
        </w:rPr>
        <w:t xml:space="preserve">8.1 Verification and Validation Approach (IEEE 1012)</w:t>
      </w:r>
    </w:p>
    <w:p>
      <w:pPr>
        <w:pStyle w:val="FirstParagraph"/>
      </w:pPr>
      <w:r>
        <w:t xml:space="preserve">Verification and Validation (V&amp;V) follow IEEE Std 1012. Each requirement is evaluated against 4 criteria before sign-off:</w:t>
      </w:r>
    </w:p>
    <w:p>
      <w:pPr>
        <w:pStyle w:val="Compact"/>
        <w:numPr>
          <w:ilvl w:val="0"/>
          <w:numId w:val="1117"/>
        </w:numPr>
      </w:pPr>
      <w:r>
        <w:t xml:space="preserve">Correctness — the requirement mirrors the stakeholder intent in</w:t>
      </w:r>
      <w:r>
        <w:t xml:space="preserve"> </w:t>
      </w:r>
      <w:r>
        <w:rPr>
          <w:rStyle w:val="VerbatimChar"/>
        </w:rPr>
        <w:t xml:space="preserve">_context/vision.md</w:t>
      </w:r>
      <w:r>
        <w:t xml:space="preserve">; deviations are logged as anomalies and returned to the module owner.</w:t>
      </w:r>
    </w:p>
    <w:p>
      <w:pPr>
        <w:pStyle w:val="Compact"/>
        <w:numPr>
          <w:ilvl w:val="0"/>
          <w:numId w:val="1117"/>
        </w:numPr>
      </w:pPr>
      <w:r>
        <w:t xml:space="preserve">Consistency — terminology and structure are uniform: the privacy-tier model of Section 2.6 is the model enforced in Section 7 and measured in Section 5; the two-scale performance rule of Section 5 leaves no attribute with two unlabelled numbers.</w:t>
      </w:r>
    </w:p>
    <w:p>
      <w:pPr>
        <w:pStyle w:val="Compact"/>
        <w:numPr>
          <w:ilvl w:val="0"/>
          <w:numId w:val="1117"/>
        </w:numPr>
      </w:pPr>
      <w:r>
        <w:t xml:space="preserve">Completeness — every module in</w:t>
      </w:r>
      <w:r>
        <w:t xml:space="preserve"> </w:t>
      </w:r>
      <w:r>
        <w:rPr>
          <w:rStyle w:val="VerbatimChar"/>
        </w:rPr>
        <w:t xml:space="preserve">_context/features.md</w:t>
      </w:r>
      <w:r>
        <w:t xml:space="preserve"> </w:t>
      </w:r>
      <w:r>
        <w:t xml:space="preserve">has full stimulus-response coverage (101 of 101 identifiers specified), and every edge case named in context (excluded folders, renamed files, missing files, password PDFs, scanned PDFs, malformed PDFs, host drop, revoked profile, exhausted quota) traces to a requirement.</w:t>
      </w:r>
    </w:p>
    <w:p>
      <w:pPr>
        <w:pStyle w:val="Compact"/>
        <w:numPr>
          <w:ilvl w:val="0"/>
          <w:numId w:val="1117"/>
        </w:numPr>
      </w:pPr>
      <w:r>
        <w:t xml:space="preserve">Verifiability — every requirement carries a deterministic oracle. The two v1.0</w:t>
      </w:r>
      <w:r>
        <w:t xml:space="preserve"> </w:t>
      </w:r>
      <w:r>
        <w:rPr>
          <w:rStyle w:val="VerbatimChar"/>
        </w:rPr>
        <w:t xml:space="preserve">[VERIFIABILITY-FAIL]</w:t>
      </w:r>
      <w:r>
        <w:t xml:space="preserve"> </w:t>
      </w:r>
      <w:r>
        <w:t xml:space="preserve">items (FR-AI-003, FR-AI-007) are resolved by scoping the oracle to structural completeness and delegating quality judgement to the Phase 13 AI evaluation harness (</w:t>
      </w:r>
      <w:r>
        <w:rPr>
          <w:rStyle w:val="VerbatimChar"/>
        </w:rPr>
        <w:t xml:space="preserve">Phase13EvaluationHarnessTests</w:t>
      </w:r>
      <w:r>
        <w:t xml:space="preserve">).</w:t>
      </w:r>
    </w:p>
    <w:p>
      <w:pPr>
        <w:pStyle w:val="FirstParagraph"/>
      </w:pPr>
      <w:r>
        <w:t xml:space="preserve">The test base is real: 626 test declarations across 120 declaring files in</w:t>
      </w:r>
      <w:r>
        <w:t xml:space="preserve"> </w:t>
      </w:r>
      <w:r>
        <w:rPr>
          <w:rStyle w:val="VerbatimChar"/>
        </w:rPr>
        <w:t xml:space="preserve">OgmaLibrary.Tests</w:t>
      </w:r>
      <w:r>
        <w:t xml:space="preserve">,</w:t>
      </w:r>
      <w:r>
        <w:t xml:space="preserve"> </w:t>
      </w:r>
      <w:r>
        <w:rPr>
          <w:rStyle w:val="VerbatimChar"/>
        </w:rPr>
        <w:t xml:space="preserve">OgmaLibrary.Tests.Ui</w:t>
      </w:r>
      <w:r>
        <w:t xml:space="preserve">, and</w:t>
      </w:r>
      <w:r>
        <w:t xml:space="preserve"> </w:t>
      </w:r>
      <w:r>
        <w:rPr>
          <w:rStyle w:val="VerbatimChar"/>
        </w:rPr>
        <w:t xml:space="preserve">OgmaLibrary.Tests.Architecture</w:t>
      </w:r>
      <w:r>
        <w:t xml:space="preserve">, plus the golden-corpus harness (</w:t>
      </w:r>
      <w:r>
        <w:rPr>
          <w:rStyle w:val="VerbatimChar"/>
        </w:rPr>
        <w:t xml:space="preserve">SyntheticCorpusGenerator</w:t>
      </w:r>
      <w:r>
        <w:t xml:space="preserve">,</w:t>
      </w:r>
      <w:r>
        <w:t xml:space="preserve"> </w:t>
      </w:r>
      <w:r>
        <w:rPr>
          <w:rStyle w:val="VerbatimChar"/>
        </w:rPr>
        <w:t xml:space="preserve">ManifestVerifier</w:t>
      </w:r>
      <w:r>
        <w:t xml:space="preserve">). Planned</w:t>
      </w:r>
      <w:r>
        <w:t xml:space="preserve"> </w:t>
      </w:r>
      <w:r>
        <w:rPr>
          <w:rStyle w:val="VerbatimChar"/>
        </w:rPr>
        <w:t xml:space="preserve">TC-</w:t>
      </w:r>
      <w:r>
        <w:t xml:space="preserve"> </w:t>
      </w:r>
      <w:r>
        <w:t xml:space="preserve">identifiers below mark verification work not yet written; each is a QA backlog item, not a requirement defect.</w:t>
      </w:r>
    </w:p>
    <w:bookmarkEnd w:id="64"/>
    <w:bookmarkStart w:id="65" w:name="X5569748934680e7a74fcc7d831e8f52733c399a"/>
    <w:p>
      <w:pPr>
        <w:pStyle w:val="Heading2"/>
      </w:pPr>
      <w:r>
        <w:rPr>
          <w:rStyle w:val="SectionNumber"/>
          <w:rFonts w:ascii="Spectral" w:hAnsi="Spectral" w:eastAsia="Spectral"/>
          <w:color w:val="132338"/>
        </w:rPr>
        <w:t xml:space="preserve">9.2</w:t>
      </w:r>
      <w:r>
        <w:rPr>
          <w:rFonts w:ascii="Spectral" w:hAnsi="Spectral" w:eastAsia="Spectral"/>
          <w:color w:val="132338"/>
        </w:rPr>
        <w:tab/>
      </w:r>
      <w:r>
        <w:rPr>
          <w:rFonts w:ascii="Spectral" w:hAnsi="Spectral" w:eastAsia="Spectral"/>
          <w:color w:val="132338"/>
        </w:rPr>
        <w:t xml:space="preserve">8.2 Verification Method per Module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Module</w:t>
            </w:r>
          </w:p>
        </w:tc>
        <w:tc>
          <w:tcPr>
            <w:shd w:fill="132338"/>
          </w:tcPr>
          <w:p>
            <w:pPr>
              <w:pStyle w:val="Compact"/>
            </w:pPr>
            <w:r>
              <w:rPr>
                <w:rFonts w:ascii="Public Sans" w:hAnsi="Public Sans" w:eastAsia="Public Sans"/>
                <w:b/>
                <w:color w:val="FFFFFF"/>
                <w:sz w:val="17"/>
              </w:rPr>
              <w:t xml:space="preserve">Primary verification method</w:t>
            </w:r>
          </w:p>
        </w:tc>
        <w:tc>
          <w:tcPr>
            <w:shd w:fill="132338"/>
          </w:tcPr>
          <w:p>
            <w:pPr>
              <w:pStyle w:val="Compact"/>
            </w:pPr>
            <w:r>
              <w:rPr>
                <w:rFonts w:ascii="Public Sans" w:hAnsi="Public Sans" w:eastAsia="Public Sans"/>
                <w:b/>
                <w:color w:val="FFFFFF"/>
                <w:sz w:val="17"/>
              </w:rPr>
              <w:t xml:space="preserve">Test artifact</w:t>
            </w:r>
          </w:p>
        </w:tc>
      </w:tr>
      <w:tr>
        <w:trPr>
          <w:cantSplit/>
        </w:trPr>
        <w:tc>
          <w:tcPr/>
          <w:p>
            <w:pPr>
              <w:pStyle w:val="Compact"/>
            </w:pPr>
            <w:r>
              <w:t xml:space="preserve">LIB</w:t>
            </w:r>
          </w:p>
        </w:tc>
        <w:tc>
          <w:tcPr/>
          <w:p>
            <w:pPr>
              <w:pStyle w:val="Compact"/>
            </w:pPr>
            <w:r>
              <w:t xml:space="preserve">Fixture-tree scanning and identity round-trip</w:t>
            </w:r>
          </w:p>
        </w:tc>
        <w:tc>
          <w:tcPr/>
          <w:p>
            <w:pPr>
              <w:pStyle w:val="Compact"/>
            </w:pPr>
            <w:r>
              <w:t xml:space="preserve">Folder fixtures with rename, move, delete, excluded cases</w:t>
            </w:r>
          </w:p>
        </w:tc>
      </w:tr>
      <w:tr>
        <w:trPr>
          <w:cantSplit/>
        </w:trPr>
        <w:tc>
          <w:tcPr/>
          <w:p>
            <w:pPr>
              <w:pStyle w:val="Compact"/>
            </w:pPr>
            <w:r>
              <w:t xml:space="preserve">CAT</w:t>
            </w:r>
          </w:p>
        </w:tc>
        <w:tc>
          <w:tcPr/>
          <w:p>
            <w:pPr>
              <w:pStyle w:val="Compact"/>
            </w:pPr>
            <w:r>
              <w:t xml:space="preserve">View-equivalence, filter-conjunction, smart-shelf evaluation</w:t>
            </w:r>
          </w:p>
        </w:tc>
        <w:tc>
          <w:tcPr/>
          <w:p>
            <w:pPr>
              <w:pStyle w:val="Compact"/>
            </w:pPr>
            <w:r>
              <w:t xml:space="preserve">UI automation over a fixed catalogue</w:t>
            </w:r>
          </w:p>
        </w:tc>
      </w:tr>
      <w:tr>
        <w:trPr>
          <w:cantSplit/>
        </w:trPr>
        <w:tc>
          <w:tcPr/>
          <w:p>
            <w:pPr>
              <w:pStyle w:val="Compact"/>
            </w:pPr>
            <w:r>
              <w:t xml:space="preserve">META</w:t>
            </w:r>
          </w:p>
        </w:tc>
        <w:tc>
          <w:tcPr/>
          <w:p>
            <w:pPr>
              <w:pStyle w:val="Compact"/>
            </w:pPr>
            <w:r>
              <w:t xml:space="preserve">Provider-stub lookups, confidence merge, write-back fault injection</w:t>
            </w:r>
          </w:p>
        </w:tc>
        <w:tc>
          <w:tcPr/>
          <w:p>
            <w:pPr>
              <w:pStyle w:val="Compact"/>
            </w:pPr>
            <w:r>
              <w:t xml:space="preserve">Golden corpus with known ISBNs and a malformed PDF</w:t>
            </w:r>
          </w:p>
        </w:tc>
      </w:tr>
      <w:tr>
        <w:trPr>
          <w:cantSplit/>
        </w:trPr>
        <w:tc>
          <w:tcPr/>
          <w:p>
            <w:pPr>
              <w:pStyle w:val="Compact"/>
            </w:pPr>
            <w:r>
              <w:t xml:space="preserve">READ</w:t>
            </w:r>
          </w:p>
        </w:tc>
        <w:tc>
          <w:tcPr/>
          <w:p>
            <w:pPr>
              <w:pStyle w:val="Compact"/>
            </w:pPr>
            <w:r>
              <w:t xml:space="preserve">Reader-state round-trip, annotation durability, OCR corpus</w:t>
            </w:r>
          </w:p>
        </w:tc>
        <w:tc>
          <w:tcPr/>
          <w:p>
            <w:pPr>
              <w:pStyle w:val="Compact"/>
            </w:pPr>
            <w:r>
              <w:t xml:space="preserve">Golden corpus incl. scanned and password-protected files</w:t>
            </w:r>
          </w:p>
        </w:tc>
      </w:tr>
      <w:tr>
        <w:trPr>
          <w:cantSplit/>
        </w:trPr>
        <w:tc>
          <w:tcPr/>
          <w:p>
            <w:pPr>
              <w:pStyle w:val="Compact"/>
            </w:pPr>
            <w:r>
              <w:t xml:space="preserve">SEARCH</w:t>
            </w:r>
          </w:p>
        </w:tc>
        <w:tc>
          <w:tcPr/>
          <w:p>
            <w:pPr>
              <w:pStyle w:val="Compact"/>
            </w:pPr>
            <w:r>
              <w:t xml:space="preserve">Query-replay benchmarks and index-state reconciliation</w:t>
            </w:r>
          </w:p>
        </w:tc>
        <w:tc>
          <w:tcPr/>
          <w:p>
            <w:pPr>
              <w:pStyle w:val="Compact"/>
            </w:pPr>
            <w:r>
              <w:t xml:space="preserve">Fixed query set over the</w:t>
            </w:r>
            <w:r>
              <w:t xml:space="preserve"> </w:t>
            </w:r>
            <w:r>
              <w:rPr>
                <w:rStyle w:val="VerbatimChar"/>
              </w:rPr>
              <w:t xml:space="preserve">gc-perf-2000</w:t>
            </w:r>
            <w:r>
              <w:t xml:space="preserve"> </w:t>
            </w:r>
            <w:r>
              <w:t xml:space="preserve">corpus</w:t>
            </w:r>
          </w:p>
        </w:tc>
      </w:tr>
      <w:tr>
        <w:trPr>
          <w:cantSplit/>
        </w:trPr>
        <w:tc>
          <w:tcPr/>
          <w:p>
            <w:pPr>
              <w:pStyle w:val="Compact"/>
            </w:pPr>
            <w:r>
              <w:t xml:space="preserve">AI</w:t>
            </w:r>
          </w:p>
        </w:tc>
        <w:tc>
          <w:tcPr/>
          <w:p>
            <w:pPr>
              <w:pStyle w:val="Compact"/>
            </w:pPr>
            <w:r>
              <w:t xml:space="preserve">Gateway payload capture, tier enforcement, evaluation harness</w:t>
            </w:r>
          </w:p>
        </w:tc>
        <w:tc>
          <w:tcPr/>
          <w:p>
            <w:pPr>
              <w:pStyle w:val="Compact"/>
            </w:pPr>
            <w:r>
              <w:t xml:space="preserve">Stubbed</w:t>
            </w:r>
            <w:r>
              <w:t xml:space="preserve"> </w:t>
            </w:r>
            <w:r>
              <w:rPr>
                <w:rStyle w:val="VerbatimChar"/>
              </w:rPr>
              <w:t xml:space="preserve">IAiProvider</w:t>
            </w:r>
            <w:r>
              <w:t xml:space="preserve">, egress monitor, Phase 13 harness</w:t>
            </w:r>
          </w:p>
        </w:tc>
      </w:tr>
      <w:tr>
        <w:trPr>
          <w:cantSplit/>
        </w:trPr>
        <w:tc>
          <w:tcPr/>
          <w:p>
            <w:pPr>
              <w:pStyle w:val="Compact"/>
            </w:pPr>
            <w:r>
              <w:t xml:space="preserve">LAN</w:t>
            </w:r>
          </w:p>
        </w:tc>
        <w:tc>
          <w:tcPr/>
          <w:p>
            <w:pPr>
              <w:pStyle w:val="Compact"/>
            </w:pPr>
            <w:r>
              <w:t xml:space="preserve">Endpoint, certificate, discovery, and load tests</w:t>
            </w:r>
          </w:p>
        </w:tc>
        <w:tc>
          <w:tcPr/>
          <w:p>
            <w:pPr>
              <w:pStyle w:val="Compact"/>
            </w:pPr>
            <w:r>
              <w:t xml:space="preserve">LAN integration fixtures,</w:t>
            </w:r>
            <w:r>
              <w:t xml:space="preserve"> </w:t>
            </w:r>
            <w:r>
              <w:rPr>
                <w:rStyle w:val="VerbatimChar"/>
              </w:rPr>
              <w:t xml:space="preserve">LanHostLoadSmokeTests</w:t>
            </w:r>
          </w:p>
        </w:tc>
      </w:tr>
      <w:tr>
        <w:trPr>
          <w:cantSplit/>
        </w:trPr>
        <w:tc>
          <w:tcPr/>
          <w:p>
            <w:pPr>
              <w:pStyle w:val="Compact"/>
            </w:pPr>
            <w:r>
              <w:t xml:space="preserve">CLIENT</w:t>
            </w:r>
          </w:p>
        </w:tc>
        <w:tc>
          <w:tcPr/>
          <w:p>
            <w:pPr>
              <w:pStyle w:val="Compact"/>
            </w:pPr>
            <w:r>
              <w:t xml:space="preserve">Connection, sync, cache, and isolation tests</w:t>
            </w:r>
          </w:p>
        </w:tc>
        <w:tc>
          <w:tcPr/>
          <w:p>
            <w:pPr>
              <w:pStyle w:val="Compact"/>
            </w:pPr>
            <w:r>
              <w:t xml:space="preserve">Two-profile fixtures, fault-injected LAN drop</w:t>
            </w:r>
          </w:p>
        </w:tc>
      </w:tr>
      <w:tr>
        <w:trPr>
          <w:cantSplit/>
        </w:trPr>
        <w:tc>
          <w:tcPr/>
          <w:p>
            <w:pPr>
              <w:pStyle w:val="Compact"/>
            </w:pPr>
            <w:r>
              <w:t xml:space="preserve">ADMIN</w:t>
            </w:r>
          </w:p>
        </w:tc>
        <w:tc>
          <w:tcPr/>
          <w:p>
            <w:pPr>
              <w:pStyle w:val="Compact"/>
            </w:pPr>
            <w:r>
              <w:t xml:space="preserve">Policy, quota, proxy, and grounding tests</w:t>
            </w:r>
          </w:p>
        </w:tc>
        <w:tc>
          <w:tcPr/>
          <w:p>
            <w:pPr>
              <w:pStyle w:val="Compact"/>
            </w:pPr>
            <w:r>
              <w:t xml:space="preserve">Enrollment fixtures,</w:t>
            </w:r>
            <w:r>
              <w:t xml:space="preserve"> </w:t>
            </w:r>
            <w:r>
              <w:rPr>
                <w:rStyle w:val="VerbatimChar"/>
              </w:rPr>
              <w:t xml:space="preserve">AiUsageLedger</w:t>
            </w:r>
            <w:r>
              <w:t xml:space="preserve"> </w:t>
            </w:r>
            <w:r>
              <w:t xml:space="preserve">reconciliation</w:t>
            </w:r>
          </w:p>
        </w:tc>
      </w:tr>
      <w:tr>
        <w:trPr>
          <w:cantSplit/>
        </w:trPr>
        <w:tc>
          <w:tcPr/>
          <w:p>
            <w:pPr>
              <w:pStyle w:val="Compact"/>
            </w:pPr>
            <w:r>
              <w:t xml:space="preserve">EXT</w:t>
            </w:r>
          </w:p>
        </w:tc>
        <w:tc>
          <w:tcPr/>
          <w:p>
            <w:pPr>
              <w:pStyle w:val="Compact"/>
            </w:pPr>
            <w:r>
              <w:t xml:space="preserve">Contract tests per plugin interface</w:t>
            </w:r>
          </w:p>
        </w:tc>
        <w:tc>
          <w:tcPr/>
          <w:p>
            <w:pPr>
              <w:pStyle w:val="Compact"/>
            </w:pPr>
            <w:r>
              <w:t xml:space="preserve">Test plugin per interface (planned beyond advisor)</w:t>
            </w:r>
          </w:p>
        </w:tc>
      </w:tr>
      <w:tr>
        <w:trPr>
          <w:cantSplit/>
        </w:trPr>
        <w:tc>
          <w:tcPr/>
          <w:p>
            <w:pPr>
              <w:pStyle w:val="Compact"/>
            </w:pPr>
            <w:r>
              <w:t xml:space="preserve">UX</w:t>
            </w:r>
          </w:p>
        </w:tc>
        <w:tc>
          <w:tcPr/>
          <w:p>
            <w:pPr>
              <w:pStyle w:val="Compact"/>
            </w:pPr>
            <w:r>
              <w:t xml:space="preserve">Scripted journeys, state matrices, accessibility audits</w:t>
            </w:r>
          </w:p>
        </w:tc>
        <w:tc>
          <w:tcPr/>
          <w:p>
            <w:pPr>
              <w:pStyle w:val="Compact"/>
            </w:pPr>
            <w:r>
              <w:t xml:space="preserve">Phase 20 journey scripts, Phase 21 audit tooling</w:t>
            </w:r>
          </w:p>
        </w:tc>
      </w:tr>
    </w:tbl>
    <w:p>
      <w:pPr>
        <w:pStyle w:val="BodyText"/>
      </w:pPr>
      <w:r>
        <w:t xml:space="preserve">The</w:t>
      </w:r>
      <w:r>
        <w:t xml:space="preserve"> </w:t>
      </w:r>
      <w:r>
        <w:rPr>
          <w:i/>
          <w:iCs/>
        </w:rPr>
        <w:t xml:space="preserve">golden corpus</w:t>
      </w:r>
      <w:r>
        <w:t xml:space="preserve"> </w:t>
      </w:r>
      <w:r>
        <w:t xml:space="preserve">(simple, scanned, password-protected, very large, two-column, rotated, non-English, malformed PDFs) is shared across modules;</w:t>
      </w:r>
      <w:r>
        <w:t xml:space="preserve"> </w:t>
      </w:r>
      <w:r>
        <w:rPr>
          <w:rStyle w:val="VerbatimChar"/>
        </w:rPr>
        <w:t xml:space="preserve">GoldenCorpusTests</w:t>
      </w:r>
      <w:r>
        <w:t xml:space="preserve"> </w:t>
      </w:r>
      <w:r>
        <w:t xml:space="preserve">and</w:t>
      </w:r>
      <w:r>
        <w:t xml:space="preserve"> </w:t>
      </w:r>
      <w:r>
        <w:rPr>
          <w:rStyle w:val="VerbatimChar"/>
        </w:rPr>
        <w:t xml:space="preserve">OcrGoldenCorpusTests</w:t>
      </w:r>
      <w:r>
        <w:t xml:space="preserve"> </w:t>
      </w:r>
      <w:r>
        <w:t xml:space="preserve">execute it.</w:t>
      </w:r>
    </w:p>
    <w:bookmarkEnd w:id="65"/>
    <w:bookmarkStart w:id="66" w:name="X8d91b6bd3ab400ecfd58cb2b4d2fafeb4c8e19c"/>
    <w:p>
      <w:pPr>
        <w:pStyle w:val="Heading2"/>
      </w:pPr>
      <w:r>
        <w:rPr>
          <w:rStyle w:val="SectionNumber"/>
          <w:rFonts w:ascii="Spectral" w:hAnsi="Spectral" w:eastAsia="Spectral"/>
          <w:color w:val="132338"/>
        </w:rPr>
        <w:t xml:space="preserve">9.3</w:t>
      </w:r>
      <w:r>
        <w:rPr>
          <w:rFonts w:ascii="Spectral" w:hAnsi="Spectral" w:eastAsia="Spectral"/>
          <w:color w:val="132338"/>
        </w:rPr>
        <w:tab/>
      </w:r>
      <w:r>
        <w:rPr>
          <w:rFonts w:ascii="Spectral" w:hAnsi="Spectral" w:eastAsia="Spectral"/>
          <w:color w:val="132338"/>
        </w:rPr>
        <w:t xml:space="preserve">8.3 Metadata Confidence Model</w:t>
      </w:r>
    </w:p>
    <w:p>
      <w:pPr>
        <w:pStyle w:val="FirstParagraph"/>
      </w:pPr>
      <w:r>
        <w:t xml:space="preserve">The merge policy (FR-META-003) resolves competing candidate values by confidence. For candidate value</w:t>
      </w:r>
      <w:r>
        <w:t xml:space="preserve"> </w:t>
      </w:r>
      <m:oMath>
        <m:r>
          <m:t>v</m:t>
        </m:r>
      </m:oMath>
      <w:r>
        <w:t xml:space="preserve"> </w:t>
      </w:r>
      <w:r>
        <w:t xml:space="preserve">from provider</w:t>
      </w:r>
      <w:r>
        <w:t xml:space="preserve"> </w:t>
      </w:r>
      <m:oMath>
        <m:r>
          <m:t>p</m:t>
        </m:r>
      </m:oMath>
      <w:r>
        <w:t xml:space="preserve">:</w:t>
      </w:r>
    </w:p>
    <w:p>
      <w:pPr>
        <w:pStyle w:val="BodyText"/>
      </w:pPr>
      <m:oMathPara>
        <m:oMathParaPr>
          <m:jc m:val="center"/>
        </m:oMathParaPr>
        <m:oMath>
          <m:r>
            <m:t>C</m:t>
          </m:r>
          <m:r>
            <m:t>o</m:t>
          </m:r>
          <m:r>
            <m:t>n</m:t>
          </m:r>
          <m:r>
            <m:t>f</m:t>
          </m:r>
          <m:r>
            <m:t>i</m:t>
          </m:r>
          <m:r>
            <m:t>d</m:t>
          </m:r>
          <m:r>
            <m:t>e</m:t>
          </m:r>
          <m:r>
            <m:t>n</m:t>
          </m:r>
          <m:r>
            <m:t>c</m:t>
          </m:r>
          <m:r>
            <m:t>e</m:t>
          </m:r>
          <m:r>
            <m:rPr>
              <m:sty m:val="p"/>
            </m:rPr>
            <m:t>(</m:t>
          </m:r>
          <m:r>
            <m:t>v</m:t>
          </m:r>
          <m:r>
            <m:rPr>
              <m:sty m:val="p"/>
            </m:rPr>
            <m:t>)</m:t>
          </m:r>
          <m:r>
            <m:rPr>
              <m:sty m:val="p"/>
            </m:rPr>
            <m:t>=</m:t>
          </m:r>
          <m:sSub>
            <m:e>
              <m:r>
                <m:t>w</m:t>
              </m:r>
            </m:e>
            <m:sub>
              <m:r>
                <m:t>p</m:t>
              </m:r>
            </m:sub>
          </m:sSub>
          <m:r>
            <m:rPr>
              <m:sty m:val="p"/>
            </m:rPr>
            <m:t>×</m:t>
          </m:r>
          <m:sSub>
            <m:e>
              <m:r>
                <m:t>m</m:t>
              </m:r>
            </m:e>
            <m:sub>
              <m:r>
                <m:t>v</m:t>
              </m:r>
            </m:sub>
          </m:sSub>
        </m:oMath>
      </m:oMathPara>
    </w:p>
    <w:p>
      <w:pPr>
        <w:pStyle w:val="FirstParagraph"/>
      </w:pPr>
      <w:r>
        <w:t xml:space="preserve">where</w:t>
      </w:r>
      <w:r>
        <w:t xml:space="preserve"> </w:t>
      </w:r>
      <m:oMath>
        <m:sSub>
          <m:e>
            <m:r>
              <m:t>w</m:t>
            </m:r>
          </m:e>
          <m:sub>
            <m:r>
              <m:t>p</m:t>
            </m:r>
          </m:sub>
        </m:sSub>
        <m:r>
          <m:rPr>
            <m:sty m:val="p"/>
          </m:rPr>
          <m:t>∈</m:t>
        </m:r>
        <m:r>
          <m:rPr>
            <m:sty m:val="p"/>
          </m:rPr>
          <m:t>[</m:t>
        </m:r>
        <m:r>
          <m:t>0</m:t>
        </m:r>
        <m:r>
          <m:rPr>
            <m:sty m:val="p"/>
          </m:rPr>
          <m:t>,</m:t>
        </m:r>
        <m:r>
          <m:t>1</m:t>
        </m:r>
        <m:r>
          <m:rPr>
            <m:sty m:val="p"/>
          </m:rPr>
          <m:t>]</m:t>
        </m:r>
      </m:oMath>
      <w:r>
        <w:t xml:space="preserve"> </w:t>
      </w:r>
      <w:r>
        <w:t xml:space="preserve">is the provider trust weight and</w:t>
      </w:r>
      <w:r>
        <w:t xml:space="preserve"> </w:t>
      </w:r>
      <m:oMath>
        <m:sSub>
          <m:e>
            <m:r>
              <m:t>m</m:t>
            </m:r>
          </m:e>
          <m:sub>
            <m:r>
              <m:t>v</m:t>
            </m:r>
          </m:sub>
        </m:sSub>
        <m:r>
          <m:rPr>
            <m:sty m:val="p"/>
          </m:rPr>
          <m:t>∈</m:t>
        </m:r>
        <m:r>
          <m:rPr>
            <m:sty m:val="p"/>
          </m:rPr>
          <m:t>[</m:t>
        </m:r>
        <m:r>
          <m:t>0</m:t>
        </m:r>
        <m:r>
          <m:rPr>
            <m:sty m:val="p"/>
          </m:rPr>
          <m:t>,</m:t>
        </m:r>
        <m:r>
          <m:t>1</m:t>
        </m:r>
        <m:r>
          <m:rPr>
            <m:sty m:val="p"/>
          </m:rPr>
          <m:t>]</m:t>
        </m:r>
      </m:oMath>
      <w:r>
        <w:t xml:space="preserve"> </w:t>
      </w:r>
      <w:r>
        <w:t xml:space="preserve">the field-match quality (exact ISBN match scores above fuzzy title match). The merged field takes</w:t>
      </w:r>
      <w:r>
        <w:t xml:space="preserve"> </w:t>
      </w:r>
      <m:oMath>
        <m:sSup>
          <m:e>
            <m:r>
              <m:t>v</m:t>
            </m:r>
          </m:e>
          <m:sup>
            <m:r>
              <m:rPr>
                <m:sty m:val="p"/>
              </m:rPr>
              <m:t>*</m:t>
            </m:r>
          </m:sup>
        </m:sSup>
        <m:r>
          <m:rPr>
            <m:sty m:val="p"/>
          </m:rPr>
          <m:t>=</m:t>
        </m:r>
        <m:r>
          <m:rPr>
            <m:sty m:val="p"/>
          </m:rPr>
          <m:t>arg</m:t>
        </m:r>
        <m:sSub>
          <m:e>
            <m:r>
              <m:rPr>
                <m:sty m:val="p"/>
              </m:rPr>
              <m:t>max</m:t>
            </m:r>
          </m:e>
          <m:sub>
            <m:r>
              <m:t>v</m:t>
            </m:r>
          </m:sub>
        </m:sSub>
        <m:r>
          <m:t>C</m:t>
        </m:r>
        <m:r>
          <m:t>o</m:t>
        </m:r>
        <m:r>
          <m:t>n</m:t>
        </m:r>
        <m:r>
          <m:t>f</m:t>
        </m:r>
        <m:r>
          <m:t>i</m:t>
        </m:r>
        <m:r>
          <m:t>d</m:t>
        </m:r>
        <m:r>
          <m:t>e</m:t>
        </m:r>
        <m:r>
          <m:t>n</m:t>
        </m:r>
        <m:r>
          <m:t>c</m:t>
        </m:r>
        <m:r>
          <m:t>e</m:t>
        </m:r>
        <m:r>
          <m:rPr>
            <m:sty m:val="p"/>
          </m:rPr>
          <m:t>(</m:t>
        </m:r>
        <m:r>
          <m:t>v</m:t>
        </m:r>
        <m:r>
          <m:rPr>
            <m:sty m:val="p"/>
          </m:rPr>
          <m:t>)</m:t>
        </m:r>
      </m:oMath>
      <w:r>
        <w:t xml:space="preserve">; the user may override any field, persisted with a user-decision provenance entry (FR-META-004). The concrete default weights and the match-scoring function are implemented configuration in the merge service and are pinned by</w:t>
      </w:r>
      <w:r>
        <w:t xml:space="preserve"> </w:t>
      </w:r>
      <w:r>
        <w:rPr>
          <w:rStyle w:val="VerbatimChar"/>
        </w:rPr>
        <w:t xml:space="preserve">ConfidenceMergeTests</w:t>
      </w:r>
      <w:r>
        <w:t xml:space="preserve">, which is the numeric oracle for this model; changing a default weight is a code change that fails those tests until they are updated deliberately. This closes the v1.0 context gap on provider weights.</w:t>
      </w:r>
    </w:p>
    <w:bookmarkEnd w:id="66"/>
    <w:bookmarkStart w:id="67" w:name="X9c8355b9033ef2aa26397d7325b37bc875c21f5"/>
    <w:p>
      <w:pPr>
        <w:pStyle w:val="Heading2"/>
      </w:pPr>
      <w:r>
        <w:rPr>
          <w:rStyle w:val="SectionNumber"/>
          <w:rFonts w:ascii="Spectral" w:hAnsi="Spectral" w:eastAsia="Spectral"/>
          <w:color w:val="132338"/>
        </w:rPr>
        <w:t xml:space="preserve">9.4</w:t>
      </w:r>
      <w:r>
        <w:rPr>
          <w:rFonts w:ascii="Spectral" w:hAnsi="Spectral" w:eastAsia="Spectral"/>
          <w:color w:val="132338"/>
        </w:rPr>
        <w:tab/>
      </w:r>
      <w:r>
        <w:rPr>
          <w:rFonts w:ascii="Spectral" w:hAnsi="Spectral" w:eastAsia="Spectral"/>
          <w:color w:val="132338"/>
        </w:rPr>
        <w:t xml:space="preserve">8.4 Per-Requirement Traceability</w:t>
      </w:r>
    </w:p>
    <w:p>
      <w:pPr>
        <w:pStyle w:val="FirstParagraph"/>
      </w:pPr>
      <w:r>
        <w:t xml:space="preserve">Every functional requirement, its business goal(s), its verification artifact, and its implementation status. Test names are real classes under</w:t>
      </w:r>
      <w:r>
        <w:t xml:space="preserve"> </w:t>
      </w:r>
      <w:r>
        <w:rPr>
          <w:rStyle w:val="VerbatimChar"/>
        </w:rPr>
        <w:t xml:space="preserve">C:\wamp64\www\Ogma-Library\tests\</w:t>
      </w:r>
      <w:r>
        <w:t xml:space="preserve">;</w:t>
      </w:r>
      <w:r>
        <w:t xml:space="preserve"> </w:t>
      </w:r>
      <w:r>
        <w:rPr>
          <w:rStyle w:val="VerbatimChar"/>
        </w:rPr>
        <w:t xml:space="preserve">TC-</w:t>
      </w:r>
      <w:r>
        <w:t xml:space="preserve"> </w:t>
      </w:r>
      <w:r>
        <w:t xml:space="preserve">entries are planned test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FR</w:t>
            </w:r>
          </w:p>
        </w:tc>
        <w:tc>
          <w:tcPr>
            <w:shd w:fill="132338"/>
          </w:tcPr>
          <w:p>
            <w:pPr>
              <w:pStyle w:val="Compact"/>
            </w:pPr>
            <w:r>
              <w:rPr>
                <w:rFonts w:ascii="Public Sans" w:hAnsi="Public Sans" w:eastAsia="Public Sans"/>
                <w:b/>
                <w:color w:val="FFFFFF"/>
                <w:sz w:val="17"/>
              </w:rPr>
              <w:t xml:space="preserve">Tier</w:t>
            </w:r>
          </w:p>
        </w:tc>
        <w:tc>
          <w:tcPr>
            <w:shd w:fill="132338"/>
          </w:tcPr>
          <w:p>
            <w:pPr>
              <w:pStyle w:val="Compact"/>
            </w:pPr>
            <w:r>
              <w:rPr>
                <w:rFonts w:ascii="Public Sans" w:hAnsi="Public Sans" w:eastAsia="Public Sans"/>
                <w:b/>
                <w:color w:val="FFFFFF"/>
                <w:sz w:val="17"/>
              </w:rPr>
              <w:t xml:space="preserve">BG</w:t>
            </w:r>
          </w:p>
        </w:tc>
        <w:tc>
          <w:tcPr>
            <w:shd w:fill="132338"/>
          </w:tcPr>
          <w:p>
            <w:pPr>
              <w:pStyle w:val="Compact"/>
            </w:pPr>
            <w:r>
              <w:rPr>
                <w:rFonts w:ascii="Public Sans" w:hAnsi="Public Sans" w:eastAsia="Public Sans"/>
                <w:b/>
                <w:color w:val="FFFFFF"/>
                <w:sz w:val="17"/>
              </w:rPr>
              <w:t xml:space="preserve">Verified by</w:t>
            </w:r>
          </w:p>
        </w:tc>
        <w:tc>
          <w:tcPr>
            <w:shd w:fill="132338"/>
          </w:tcPr>
          <w:p>
            <w:pPr>
              <w:pStyle w:val="Compact"/>
            </w:pPr>
            <w:r>
              <w:rPr>
                <w:rFonts w:ascii="Public Sans" w:hAnsi="Public Sans" w:eastAsia="Public Sans"/>
                <w:b/>
                <w:color w:val="FFFFFF"/>
                <w:sz w:val="17"/>
              </w:rPr>
              <w:t xml:space="preserve">Status</w:t>
            </w:r>
          </w:p>
        </w:tc>
      </w:tr>
      <w:tr>
        <w:trPr>
          <w:cantSplit/>
        </w:trPr>
        <w:tc>
          <w:tcPr/>
          <w:p>
            <w:pPr>
              <w:pStyle w:val="Compact"/>
            </w:pPr>
            <w:r>
              <w:t xml:space="preserve">FR-LIB-001</w:t>
            </w:r>
          </w:p>
        </w:tc>
        <w:tc>
          <w:tcPr/>
          <w:p>
            <w:pPr>
              <w:pStyle w:val="Compact"/>
            </w:pPr>
            <w:r>
              <w:t xml:space="preserve">MVP</w:t>
            </w:r>
          </w:p>
        </w:tc>
        <w:tc>
          <w:tcPr/>
          <w:p>
            <w:pPr>
              <w:pStyle w:val="Compact"/>
            </w:pPr>
            <w:r>
              <w:t xml:space="preserve">BG-001, BG-004</w:t>
            </w:r>
          </w:p>
        </w:tc>
        <w:tc>
          <w:tcPr/>
          <w:p>
            <w:pPr>
              <w:pStyle w:val="Compact"/>
            </w:pPr>
            <w:r>
              <w:t xml:space="preserve">IngestionPipelineTests, ScanProgressTests</w:t>
            </w:r>
          </w:p>
        </w:tc>
        <w:tc>
          <w:tcPr/>
          <w:p>
            <w:pPr>
              <w:pStyle w:val="Compact"/>
            </w:pPr>
            <w:r>
              <w:t xml:space="preserve">Code/test evidence</w:t>
            </w:r>
          </w:p>
        </w:tc>
      </w:tr>
      <w:tr>
        <w:trPr>
          <w:cantSplit/>
        </w:trPr>
        <w:tc>
          <w:tcPr/>
          <w:p>
            <w:pPr>
              <w:pStyle w:val="Compact"/>
            </w:pPr>
            <w:r>
              <w:t xml:space="preserve">FR-LIB-002</w:t>
            </w:r>
          </w:p>
        </w:tc>
        <w:tc>
          <w:tcPr/>
          <w:p>
            <w:pPr>
              <w:pStyle w:val="Compact"/>
            </w:pPr>
            <w:r>
              <w:t xml:space="preserve">MVP</w:t>
            </w:r>
          </w:p>
        </w:tc>
        <w:tc>
          <w:tcPr/>
          <w:p>
            <w:pPr>
              <w:pStyle w:val="Compact"/>
            </w:pPr>
            <w:r>
              <w:t xml:space="preserve">BG-001</w:t>
            </w:r>
          </w:p>
        </w:tc>
        <w:tc>
          <w:tcPr/>
          <w:p>
            <w:pPr>
              <w:pStyle w:val="Compact"/>
            </w:pPr>
            <w:r>
              <w:t xml:space="preserve">IngestionPipelineTests</w:t>
            </w:r>
          </w:p>
        </w:tc>
        <w:tc>
          <w:tcPr/>
          <w:p>
            <w:pPr>
              <w:pStyle w:val="Compact"/>
            </w:pPr>
            <w:r>
              <w:t xml:space="preserve">Code/test evidence</w:t>
            </w:r>
          </w:p>
        </w:tc>
      </w:tr>
      <w:tr>
        <w:trPr>
          <w:cantSplit/>
        </w:trPr>
        <w:tc>
          <w:tcPr/>
          <w:p>
            <w:pPr>
              <w:pStyle w:val="Compact"/>
            </w:pPr>
            <w:r>
              <w:t xml:space="preserve">FR-LIB-003</w:t>
            </w:r>
          </w:p>
        </w:tc>
        <w:tc>
          <w:tcPr/>
          <w:p>
            <w:pPr>
              <w:pStyle w:val="Compact"/>
            </w:pPr>
            <w:r>
              <w:t xml:space="preserve">MVP</w:t>
            </w:r>
          </w:p>
        </w:tc>
        <w:tc>
          <w:tcPr/>
          <w:p>
            <w:pPr>
              <w:pStyle w:val="Compact"/>
            </w:pPr>
            <w:r>
              <w:t xml:space="preserve">BG-004</w:t>
            </w:r>
          </w:p>
        </w:tc>
        <w:tc>
          <w:tcPr/>
          <w:p>
            <w:pPr>
              <w:pStyle w:val="Compact"/>
            </w:pPr>
            <w:r>
              <w:t xml:space="preserve">BookIdentityServiceTests, BookFileLocatorTests</w:t>
            </w:r>
          </w:p>
        </w:tc>
        <w:tc>
          <w:tcPr/>
          <w:p>
            <w:pPr>
              <w:pStyle w:val="Compact"/>
            </w:pPr>
            <w:r>
              <w:t xml:space="preserve">Code/test evidence</w:t>
            </w:r>
          </w:p>
        </w:tc>
      </w:tr>
      <w:tr>
        <w:trPr>
          <w:cantSplit/>
        </w:trPr>
        <w:tc>
          <w:tcPr/>
          <w:p>
            <w:pPr>
              <w:pStyle w:val="Compact"/>
            </w:pPr>
            <w:r>
              <w:t xml:space="preserve">FR-LIB-004</w:t>
            </w:r>
          </w:p>
        </w:tc>
        <w:tc>
          <w:tcPr/>
          <w:p>
            <w:pPr>
              <w:pStyle w:val="Compact"/>
            </w:pPr>
            <w:r>
              <w:t xml:space="preserve">MVP</w:t>
            </w:r>
          </w:p>
        </w:tc>
        <w:tc>
          <w:tcPr/>
          <w:p>
            <w:pPr>
              <w:pStyle w:val="Compact"/>
            </w:pPr>
            <w:r>
              <w:t xml:space="preserve">BG-004</w:t>
            </w:r>
          </w:p>
        </w:tc>
        <w:tc>
          <w:tcPr/>
          <w:p>
            <w:pPr>
              <w:pStyle w:val="Compact"/>
            </w:pPr>
            <w:r>
              <w:t xml:space="preserve">UnavailableFileFlagTests</w:t>
            </w:r>
          </w:p>
        </w:tc>
        <w:tc>
          <w:tcPr/>
          <w:p>
            <w:pPr>
              <w:pStyle w:val="Compact"/>
            </w:pPr>
            <w:r>
              <w:t xml:space="preserve">Code/test evidence</w:t>
            </w:r>
          </w:p>
        </w:tc>
      </w:tr>
      <w:tr>
        <w:trPr>
          <w:cantSplit/>
        </w:trPr>
        <w:tc>
          <w:tcPr/>
          <w:p>
            <w:pPr>
              <w:pStyle w:val="Compact"/>
            </w:pPr>
            <w:r>
              <w:t xml:space="preserve">FR-LIB-005</w:t>
            </w:r>
          </w:p>
        </w:tc>
        <w:tc>
          <w:tcPr/>
          <w:p>
            <w:pPr>
              <w:pStyle w:val="Compact"/>
            </w:pPr>
            <w:r>
              <w:t xml:space="preserve">MVP</w:t>
            </w:r>
          </w:p>
        </w:tc>
        <w:tc>
          <w:tcPr/>
          <w:p>
            <w:pPr>
              <w:pStyle w:val="Compact"/>
            </w:pPr>
            <w:r>
              <w:t xml:space="preserve">BG-001</w:t>
            </w:r>
          </w:p>
        </w:tc>
        <w:tc>
          <w:tcPr/>
          <w:p>
            <w:pPr>
              <w:pStyle w:val="Compact"/>
            </w:pPr>
            <w:r>
              <w:t xml:space="preserve">SpineTextureGeneratorTests, JobManagementTests</w:t>
            </w:r>
          </w:p>
        </w:tc>
        <w:tc>
          <w:tcPr/>
          <w:p>
            <w:pPr>
              <w:pStyle w:val="Compact"/>
            </w:pPr>
            <w:r>
              <w:t xml:space="preserve">Code/test evidence</w:t>
            </w:r>
          </w:p>
        </w:tc>
      </w:tr>
      <w:tr>
        <w:trPr>
          <w:cantSplit/>
        </w:trPr>
        <w:tc>
          <w:tcPr/>
          <w:p>
            <w:pPr>
              <w:pStyle w:val="Compact"/>
            </w:pPr>
            <w:r>
              <w:t xml:space="preserve">FR-LIB-006</w:t>
            </w:r>
          </w:p>
        </w:tc>
        <w:tc>
          <w:tcPr/>
          <w:p>
            <w:pPr>
              <w:pStyle w:val="Compact"/>
            </w:pPr>
            <w:r>
              <w:t xml:space="preserve">MVP</w:t>
            </w:r>
          </w:p>
        </w:tc>
        <w:tc>
          <w:tcPr/>
          <w:p>
            <w:pPr>
              <w:pStyle w:val="Compact"/>
            </w:pPr>
            <w:r>
              <w:t xml:space="preserve">BG-004</w:t>
            </w:r>
          </w:p>
        </w:tc>
        <w:tc>
          <w:tcPr/>
          <w:p>
            <w:pPr>
              <w:pStyle w:val="Compact"/>
            </w:pPr>
            <w:r>
              <w:t xml:space="preserve">IncrementalRescanTests</w:t>
            </w:r>
          </w:p>
        </w:tc>
        <w:tc>
          <w:tcPr/>
          <w:p>
            <w:pPr>
              <w:pStyle w:val="Compact"/>
            </w:pPr>
            <w:r>
              <w:t xml:space="preserve">Code/test evidence</w:t>
            </w:r>
          </w:p>
        </w:tc>
      </w:tr>
      <w:tr>
        <w:trPr>
          <w:cantSplit/>
        </w:trPr>
        <w:tc>
          <w:tcPr/>
          <w:p>
            <w:pPr>
              <w:pStyle w:val="Compact"/>
            </w:pPr>
            <w:r>
              <w:t xml:space="preserve">FR-LIB-007</w:t>
            </w:r>
          </w:p>
        </w:tc>
        <w:tc>
          <w:tcPr/>
          <w:p>
            <w:pPr>
              <w:pStyle w:val="Compact"/>
            </w:pPr>
            <w:r>
              <w:t xml:space="preserve">V1</w:t>
            </w:r>
          </w:p>
        </w:tc>
        <w:tc>
          <w:tcPr/>
          <w:p>
            <w:pPr>
              <w:pStyle w:val="Compact"/>
            </w:pPr>
            <w:r>
              <w:t xml:space="preserve">BG-001</w:t>
            </w:r>
          </w:p>
        </w:tc>
        <w:tc>
          <w:tcPr/>
          <w:p>
            <w:pPr>
              <w:pStyle w:val="Compact"/>
            </w:pPr>
            <w:r>
              <w:t xml:space="preserve">ScanHealthTests</w:t>
            </w:r>
          </w:p>
        </w:tc>
        <w:tc>
          <w:tcPr/>
          <w:p>
            <w:pPr>
              <w:pStyle w:val="Compact"/>
            </w:pPr>
            <w:r>
              <w:t xml:space="preserve">Code/test evidence</w:t>
            </w:r>
          </w:p>
        </w:tc>
      </w:tr>
      <w:tr>
        <w:trPr>
          <w:cantSplit/>
        </w:trPr>
        <w:tc>
          <w:tcPr/>
          <w:p>
            <w:pPr>
              <w:pStyle w:val="Compact"/>
            </w:pPr>
            <w:r>
              <w:t xml:space="preserve">FR-CAT-001</w:t>
            </w:r>
          </w:p>
        </w:tc>
        <w:tc>
          <w:tcPr/>
          <w:p>
            <w:pPr>
              <w:pStyle w:val="Compact"/>
            </w:pPr>
            <w:r>
              <w:t xml:space="preserve">MVP</w:t>
            </w:r>
          </w:p>
        </w:tc>
        <w:tc>
          <w:tcPr/>
          <w:p>
            <w:pPr>
              <w:pStyle w:val="Compact"/>
            </w:pPr>
            <w:r>
              <w:t xml:space="preserve">BG-001, BG-002</w:t>
            </w:r>
          </w:p>
        </w:tc>
        <w:tc>
          <w:tcPr/>
          <w:p>
            <w:pPr>
              <w:pStyle w:val="Compact"/>
            </w:pPr>
            <w:r>
              <w:t xml:space="preserve">CatalogueGridTests, Bookshelf3DViewModelTests</w:t>
            </w:r>
          </w:p>
        </w:tc>
        <w:tc>
          <w:tcPr/>
          <w:p>
            <w:pPr>
              <w:pStyle w:val="Compact"/>
            </w:pPr>
            <w:r>
              <w:t xml:space="preserve">Code/test evidence</w:t>
            </w:r>
          </w:p>
        </w:tc>
      </w:tr>
      <w:tr>
        <w:trPr>
          <w:cantSplit/>
        </w:trPr>
        <w:tc>
          <w:tcPr/>
          <w:p>
            <w:pPr>
              <w:pStyle w:val="Compact"/>
            </w:pPr>
            <w:r>
              <w:t xml:space="preserve">FR-CAT-002</w:t>
            </w:r>
          </w:p>
        </w:tc>
        <w:tc>
          <w:tcPr/>
          <w:p>
            <w:pPr>
              <w:pStyle w:val="Compact"/>
            </w:pPr>
            <w:r>
              <w:t xml:space="preserve">MVP</w:t>
            </w:r>
          </w:p>
        </w:tc>
        <w:tc>
          <w:tcPr/>
          <w:p>
            <w:pPr>
              <w:pStyle w:val="Compact"/>
            </w:pPr>
            <w:r>
              <w:t xml:space="preserve">BG-001</w:t>
            </w:r>
          </w:p>
        </w:tc>
        <w:tc>
          <w:tcPr/>
          <w:p>
            <w:pPr>
              <w:pStyle w:val="Compact"/>
            </w:pPr>
            <w:r>
              <w:t xml:space="preserve">CatalogueFilterTests</w:t>
            </w:r>
          </w:p>
        </w:tc>
        <w:tc>
          <w:tcPr/>
          <w:p>
            <w:pPr>
              <w:pStyle w:val="Compact"/>
            </w:pPr>
            <w:r>
              <w:t xml:space="preserve">Code/test evidence</w:t>
            </w:r>
          </w:p>
        </w:tc>
      </w:tr>
      <w:tr>
        <w:trPr>
          <w:cantSplit/>
        </w:trPr>
        <w:tc>
          <w:tcPr/>
          <w:p>
            <w:pPr>
              <w:pStyle w:val="Compact"/>
            </w:pPr>
            <w:r>
              <w:t xml:space="preserve">FR-CAT-003</w:t>
            </w:r>
          </w:p>
        </w:tc>
        <w:tc>
          <w:tcPr/>
          <w:p>
            <w:pPr>
              <w:pStyle w:val="Compact"/>
            </w:pPr>
            <w:r>
              <w:t xml:space="preserve">MVP</w:t>
            </w:r>
          </w:p>
        </w:tc>
        <w:tc>
          <w:tcPr/>
          <w:p>
            <w:pPr>
              <w:pStyle w:val="Compact"/>
            </w:pPr>
            <w:r>
              <w:t xml:space="preserve">BG-001, BG-002</w:t>
            </w:r>
          </w:p>
        </w:tc>
        <w:tc>
          <w:tcPr/>
          <w:p>
            <w:pPr>
              <w:pStyle w:val="Compact"/>
            </w:pPr>
            <w:r>
              <w:t xml:space="preserve">ShelfTests</w:t>
            </w:r>
          </w:p>
        </w:tc>
        <w:tc>
          <w:tcPr/>
          <w:p>
            <w:pPr>
              <w:pStyle w:val="Compact"/>
            </w:pPr>
            <w:r>
              <w:t xml:space="preserve">Code/test evidence</w:t>
            </w:r>
          </w:p>
        </w:tc>
      </w:tr>
      <w:tr>
        <w:trPr>
          <w:cantSplit/>
        </w:trPr>
        <w:tc>
          <w:tcPr/>
          <w:p>
            <w:pPr>
              <w:pStyle w:val="Compact"/>
            </w:pPr>
            <w:r>
              <w:t xml:space="preserve">FR-CAT-004</w:t>
            </w:r>
          </w:p>
        </w:tc>
        <w:tc>
          <w:tcPr/>
          <w:p>
            <w:pPr>
              <w:pStyle w:val="Compact"/>
            </w:pPr>
            <w:r>
              <w:t xml:space="preserve">MVP</w:t>
            </w:r>
          </w:p>
        </w:tc>
        <w:tc>
          <w:tcPr/>
          <w:p>
            <w:pPr>
              <w:pStyle w:val="Compact"/>
            </w:pPr>
            <w:r>
              <w:t xml:space="preserve">BG-001</w:t>
            </w:r>
          </w:p>
        </w:tc>
        <w:tc>
          <w:tcPr/>
          <w:p>
            <w:pPr>
              <w:pStyle w:val="Compact"/>
            </w:pPr>
            <w:r>
              <w:t xml:space="preserve">BookDetailViewModelTests</w:t>
            </w:r>
          </w:p>
        </w:tc>
        <w:tc>
          <w:tcPr/>
          <w:p>
            <w:pPr>
              <w:pStyle w:val="Compact"/>
            </w:pPr>
            <w:r>
              <w:t xml:space="preserve">Code/test evidence</w:t>
            </w:r>
          </w:p>
        </w:tc>
      </w:tr>
      <w:tr>
        <w:trPr>
          <w:cantSplit/>
        </w:trPr>
        <w:tc>
          <w:tcPr/>
          <w:p>
            <w:pPr>
              <w:pStyle w:val="Compact"/>
            </w:pPr>
            <w:r>
              <w:t xml:space="preserve">FR-CAT-005</w:t>
            </w:r>
          </w:p>
        </w:tc>
        <w:tc>
          <w:tcPr/>
          <w:p>
            <w:pPr>
              <w:pStyle w:val="Compact"/>
            </w:pPr>
            <w:r>
              <w:t xml:space="preserve">V1</w:t>
            </w:r>
          </w:p>
        </w:tc>
        <w:tc>
          <w:tcPr/>
          <w:p>
            <w:pPr>
              <w:pStyle w:val="Compact"/>
            </w:pPr>
            <w:r>
              <w:t xml:space="preserve">BG-002</w:t>
            </w:r>
          </w:p>
        </w:tc>
        <w:tc>
          <w:tcPr/>
          <w:p>
            <w:pPr>
              <w:pStyle w:val="Compact"/>
            </w:pPr>
            <w:r>
              <w:t xml:space="preserve">TC-CAT-005 (planned)</w:t>
            </w:r>
          </w:p>
        </w:tc>
        <w:tc>
          <w:tcPr/>
          <w:p>
            <w:pPr>
              <w:pStyle w:val="Compact"/>
            </w:pPr>
            <w:r>
              <w:t xml:space="preserve">Code/test evidence</w:t>
            </w:r>
          </w:p>
        </w:tc>
      </w:tr>
      <w:tr>
        <w:trPr>
          <w:cantSplit/>
        </w:trPr>
        <w:tc>
          <w:tcPr/>
          <w:p>
            <w:pPr>
              <w:pStyle w:val="Compact"/>
            </w:pPr>
            <w:r>
              <w:t xml:space="preserve">FR-CAT-006</w:t>
            </w:r>
          </w:p>
        </w:tc>
        <w:tc>
          <w:tcPr/>
          <w:p>
            <w:pPr>
              <w:pStyle w:val="Compact"/>
            </w:pPr>
            <w:r>
              <w:t xml:space="preserve">V1</w:t>
            </w:r>
          </w:p>
        </w:tc>
        <w:tc>
          <w:tcPr/>
          <w:p>
            <w:pPr>
              <w:pStyle w:val="Compact"/>
            </w:pPr>
            <w:r>
              <w:t xml:space="preserve">BG-001, BG-002</w:t>
            </w:r>
          </w:p>
        </w:tc>
        <w:tc>
          <w:tcPr/>
          <w:p>
            <w:pPr>
              <w:pStyle w:val="Compact"/>
            </w:pPr>
            <w:r>
              <w:t xml:space="preserve">SmartShelfEvaluatorTests</w:t>
            </w:r>
          </w:p>
        </w:tc>
        <w:tc>
          <w:tcPr/>
          <w:p>
            <w:pPr>
              <w:pStyle w:val="Compact"/>
            </w:pPr>
            <w:r>
              <w:t xml:space="preserve">Code/test evidence</w:t>
            </w:r>
          </w:p>
        </w:tc>
      </w:tr>
      <w:tr>
        <w:trPr>
          <w:cantSplit/>
        </w:trPr>
        <w:tc>
          <w:tcPr/>
          <w:p>
            <w:pPr>
              <w:pStyle w:val="Compact"/>
            </w:pPr>
            <w:r>
              <w:t xml:space="preserve">FR-CAT-007</w:t>
            </w:r>
          </w:p>
        </w:tc>
        <w:tc>
          <w:tcPr/>
          <w:p>
            <w:pPr>
              <w:pStyle w:val="Compact"/>
            </w:pPr>
            <w:r>
              <w:t xml:space="preserve">V2</w:t>
            </w:r>
          </w:p>
        </w:tc>
        <w:tc>
          <w:tcPr/>
          <w:p>
            <w:pPr>
              <w:pStyle w:val="Compact"/>
            </w:pPr>
            <w:r>
              <w:t xml:space="preserve">BG-004</w:t>
            </w:r>
          </w:p>
        </w:tc>
        <w:tc>
          <w:tcPr/>
          <w:p>
            <w:pPr>
              <w:pStyle w:val="Compact"/>
            </w:pPr>
            <w:r>
              <w:t xml:space="preserve">TC-CAT-007 (planned)</w:t>
            </w:r>
          </w:p>
        </w:tc>
        <w:tc>
          <w:tcPr/>
          <w:p>
            <w:pPr>
              <w:pStyle w:val="Compact"/>
            </w:pPr>
            <w:r>
              <w:t xml:space="preserve">Not started</w:t>
            </w:r>
          </w:p>
        </w:tc>
      </w:tr>
      <w:tr>
        <w:trPr>
          <w:cantSplit/>
        </w:trPr>
        <w:tc>
          <w:tcPr/>
          <w:p>
            <w:pPr>
              <w:pStyle w:val="Compact"/>
            </w:pPr>
            <w:r>
              <w:t xml:space="preserve">FR-META-001</w:t>
            </w:r>
          </w:p>
        </w:tc>
        <w:tc>
          <w:tcPr/>
          <w:p>
            <w:pPr>
              <w:pStyle w:val="Compact"/>
            </w:pPr>
            <w:r>
              <w:t xml:space="preserve">MVP</w:t>
            </w:r>
          </w:p>
        </w:tc>
        <w:tc>
          <w:tcPr/>
          <w:p>
            <w:pPr>
              <w:pStyle w:val="Compact"/>
            </w:pPr>
            <w:r>
              <w:t xml:space="preserve">BG-001</w:t>
            </w:r>
          </w:p>
        </w:tc>
        <w:tc>
          <w:tcPr/>
          <w:p>
            <w:pPr>
              <w:pStyle w:val="Compact"/>
            </w:pPr>
            <w:r>
              <w:t xml:space="preserve">IsbnDetectionTests</w:t>
            </w:r>
          </w:p>
        </w:tc>
        <w:tc>
          <w:tcPr/>
          <w:p>
            <w:pPr>
              <w:pStyle w:val="Compact"/>
            </w:pPr>
            <w:r>
              <w:t xml:space="preserve">Code/test evidence</w:t>
            </w:r>
          </w:p>
        </w:tc>
      </w:tr>
      <w:tr>
        <w:trPr>
          <w:cantSplit/>
        </w:trPr>
        <w:tc>
          <w:tcPr/>
          <w:p>
            <w:pPr>
              <w:pStyle w:val="Compact"/>
            </w:pPr>
            <w:r>
              <w:t xml:space="preserve">FR-META-002</w:t>
            </w:r>
          </w:p>
        </w:tc>
        <w:tc>
          <w:tcPr/>
          <w:p>
            <w:pPr>
              <w:pStyle w:val="Compact"/>
            </w:pPr>
            <w:r>
              <w:t xml:space="preserve">MVP</w:t>
            </w:r>
          </w:p>
        </w:tc>
        <w:tc>
          <w:tcPr/>
          <w:p>
            <w:pPr>
              <w:pStyle w:val="Compact"/>
            </w:pPr>
            <w:r>
              <w:t xml:space="preserve">BG-001</w:t>
            </w:r>
          </w:p>
        </w:tc>
        <w:tc>
          <w:tcPr/>
          <w:p>
            <w:pPr>
              <w:pStyle w:val="Compact"/>
            </w:pPr>
            <w:r>
              <w:t xml:space="preserve">ProviderClientTests</w:t>
            </w:r>
          </w:p>
        </w:tc>
        <w:tc>
          <w:tcPr/>
          <w:p>
            <w:pPr>
              <w:pStyle w:val="Compact"/>
            </w:pPr>
            <w:r>
              <w:t xml:space="preserve">Code/test evidence</w:t>
            </w:r>
          </w:p>
        </w:tc>
      </w:tr>
      <w:tr>
        <w:trPr>
          <w:cantSplit/>
        </w:trPr>
        <w:tc>
          <w:tcPr/>
          <w:p>
            <w:pPr>
              <w:pStyle w:val="Compact"/>
            </w:pPr>
            <w:r>
              <w:t xml:space="preserve">FR-META-003</w:t>
            </w:r>
          </w:p>
        </w:tc>
        <w:tc>
          <w:tcPr/>
          <w:p>
            <w:pPr>
              <w:pStyle w:val="Compact"/>
            </w:pPr>
            <w:r>
              <w:t xml:space="preserve">MVP</w:t>
            </w:r>
          </w:p>
        </w:tc>
        <w:tc>
          <w:tcPr/>
          <w:p>
            <w:pPr>
              <w:pStyle w:val="Compact"/>
            </w:pPr>
            <w:r>
              <w:t xml:space="preserve">BG-001, BG-004</w:t>
            </w:r>
          </w:p>
        </w:tc>
        <w:tc>
          <w:tcPr/>
          <w:p>
            <w:pPr>
              <w:pStyle w:val="Compact"/>
            </w:pPr>
            <w:r>
              <w:t xml:space="preserve">ConfidenceMergeTests</w:t>
            </w:r>
          </w:p>
        </w:tc>
        <w:tc>
          <w:tcPr/>
          <w:p>
            <w:pPr>
              <w:pStyle w:val="Compact"/>
            </w:pPr>
            <w:r>
              <w:t xml:space="preserve">Code/test evidence</w:t>
            </w:r>
          </w:p>
        </w:tc>
      </w:tr>
      <w:tr>
        <w:trPr>
          <w:cantSplit/>
        </w:trPr>
        <w:tc>
          <w:tcPr/>
          <w:p>
            <w:pPr>
              <w:pStyle w:val="Compact"/>
            </w:pPr>
            <w:r>
              <w:t xml:space="preserve">FR-META-004</w:t>
            </w:r>
          </w:p>
        </w:tc>
        <w:tc>
          <w:tcPr/>
          <w:p>
            <w:pPr>
              <w:pStyle w:val="Compact"/>
            </w:pPr>
            <w:r>
              <w:t xml:space="preserve">V1</w:t>
            </w:r>
          </w:p>
        </w:tc>
        <w:tc>
          <w:tcPr/>
          <w:p>
            <w:pPr>
              <w:pStyle w:val="Compact"/>
            </w:pPr>
            <w:r>
              <w:t xml:space="preserve">BG-004</w:t>
            </w:r>
          </w:p>
        </w:tc>
        <w:tc>
          <w:tcPr/>
          <w:p>
            <w:pPr>
              <w:pStyle w:val="Compact"/>
            </w:pPr>
            <w:r>
              <w:t xml:space="preserve">ConfidenceMergeTests, MetadataApplyTests</w:t>
            </w:r>
          </w:p>
        </w:tc>
        <w:tc>
          <w:tcPr/>
          <w:p>
            <w:pPr>
              <w:pStyle w:val="Compact"/>
            </w:pPr>
            <w:r>
              <w:t xml:space="preserve">Code/test evidence</w:t>
            </w:r>
          </w:p>
        </w:tc>
      </w:tr>
      <w:tr>
        <w:trPr>
          <w:cantSplit/>
        </w:trPr>
        <w:tc>
          <w:tcPr/>
          <w:p>
            <w:pPr>
              <w:pStyle w:val="Compact"/>
            </w:pPr>
            <w:r>
              <w:t xml:space="preserve">FR-META-005</w:t>
            </w:r>
          </w:p>
        </w:tc>
        <w:tc>
          <w:tcPr/>
          <w:p>
            <w:pPr>
              <w:pStyle w:val="Compact"/>
            </w:pPr>
            <w:r>
              <w:t xml:space="preserve">V1</w:t>
            </w:r>
          </w:p>
        </w:tc>
        <w:tc>
          <w:tcPr/>
          <w:p>
            <w:pPr>
              <w:pStyle w:val="Compact"/>
            </w:pPr>
            <w:r>
              <w:t xml:space="preserve">BG-004</w:t>
            </w:r>
          </w:p>
        </w:tc>
        <w:tc>
          <w:tcPr/>
          <w:p>
            <w:pPr>
              <w:pStyle w:val="Compact"/>
            </w:pPr>
            <w:r>
              <w:t xml:space="preserve">PdfWriteBackTests</w:t>
            </w:r>
          </w:p>
        </w:tc>
        <w:tc>
          <w:tcPr/>
          <w:p>
            <w:pPr>
              <w:pStyle w:val="Compact"/>
            </w:pPr>
            <w:r>
              <w:t xml:space="preserve">Code/test evidence</w:t>
            </w:r>
          </w:p>
        </w:tc>
      </w:tr>
      <w:tr>
        <w:trPr>
          <w:cantSplit/>
        </w:trPr>
        <w:tc>
          <w:tcPr/>
          <w:p>
            <w:pPr>
              <w:pStyle w:val="Compact"/>
            </w:pPr>
            <w:r>
              <w:t xml:space="preserve">FR-META-006</w:t>
            </w:r>
          </w:p>
        </w:tc>
        <w:tc>
          <w:tcPr/>
          <w:p>
            <w:pPr>
              <w:pStyle w:val="Compact"/>
            </w:pPr>
            <w:r>
              <w:t xml:space="preserve">V1</w:t>
            </w:r>
          </w:p>
        </w:tc>
        <w:tc>
          <w:tcPr/>
          <w:p>
            <w:pPr>
              <w:pStyle w:val="Compact"/>
            </w:pPr>
            <w:r>
              <w:t xml:space="preserve">BG-001</w:t>
            </w:r>
          </w:p>
        </w:tc>
        <w:tc>
          <w:tcPr/>
          <w:p>
            <w:pPr>
              <w:pStyle w:val="Compact"/>
            </w:pPr>
            <w:r>
              <w:t xml:space="preserve">RateLimitedHttpClientTests, JobManagementTests</w:t>
            </w:r>
          </w:p>
        </w:tc>
        <w:tc>
          <w:tcPr/>
          <w:p>
            <w:pPr>
              <w:pStyle w:val="Compact"/>
            </w:pPr>
            <w:r>
              <w:t xml:space="preserve">Code/test evidence</w:t>
            </w:r>
          </w:p>
        </w:tc>
      </w:tr>
      <w:tr>
        <w:trPr>
          <w:cantSplit/>
        </w:trPr>
        <w:tc>
          <w:tcPr/>
          <w:p>
            <w:pPr>
              <w:pStyle w:val="Compact"/>
            </w:pPr>
            <w:r>
              <w:t xml:space="preserve">FR-META-007</w:t>
            </w:r>
          </w:p>
        </w:tc>
        <w:tc>
          <w:tcPr/>
          <w:p>
            <w:pPr>
              <w:pStyle w:val="Compact"/>
            </w:pPr>
            <w:r>
              <w:t xml:space="preserve">V1</w:t>
            </w:r>
          </w:p>
        </w:tc>
        <w:tc>
          <w:tcPr/>
          <w:p>
            <w:pPr>
              <w:pStyle w:val="Compact"/>
            </w:pPr>
            <w:r>
              <w:t xml:space="preserve">BG-001</w:t>
            </w:r>
          </w:p>
        </w:tc>
        <w:tc>
          <w:tcPr/>
          <w:p>
            <w:pPr>
              <w:pStyle w:val="Compact"/>
            </w:pPr>
            <w:r>
              <w:t xml:space="preserve">HealthDashboardTests</w:t>
            </w:r>
          </w:p>
        </w:tc>
        <w:tc>
          <w:tcPr/>
          <w:p>
            <w:pPr>
              <w:pStyle w:val="Compact"/>
            </w:pPr>
            <w:r>
              <w:t xml:space="preserve">Code/test evidence</w:t>
            </w:r>
          </w:p>
        </w:tc>
      </w:tr>
      <w:tr>
        <w:trPr>
          <w:cantSplit/>
        </w:trPr>
        <w:tc>
          <w:tcPr/>
          <w:p>
            <w:pPr>
              <w:pStyle w:val="Compact"/>
            </w:pPr>
            <w:r>
              <w:t xml:space="preserve">FR-META-008</w:t>
            </w:r>
          </w:p>
        </w:tc>
        <w:tc>
          <w:tcPr/>
          <w:p>
            <w:pPr>
              <w:pStyle w:val="Compact"/>
            </w:pPr>
            <w:r>
              <w:t xml:space="preserve">V1</w:t>
            </w:r>
          </w:p>
        </w:tc>
        <w:tc>
          <w:tcPr/>
          <w:p>
            <w:pPr>
              <w:pStyle w:val="Compact"/>
            </w:pPr>
            <w:r>
              <w:t xml:space="preserve">BG-001, BG-004</w:t>
            </w:r>
          </w:p>
        </w:tc>
        <w:tc>
          <w:tcPr/>
          <w:p>
            <w:pPr>
              <w:pStyle w:val="Compact"/>
            </w:pPr>
            <w:r>
              <w:t xml:space="preserve">HealthDashboardTests, HealthDashboardRenderTests</w:t>
            </w:r>
          </w:p>
        </w:tc>
        <w:tc>
          <w:tcPr/>
          <w:p>
            <w:pPr>
              <w:pStyle w:val="Compact"/>
            </w:pPr>
            <w:r>
              <w:t xml:space="preserve">Code/test evidence</w:t>
            </w:r>
          </w:p>
        </w:tc>
      </w:tr>
      <w:tr>
        <w:trPr>
          <w:cantSplit/>
        </w:trPr>
        <w:tc>
          <w:tcPr/>
          <w:p>
            <w:pPr>
              <w:pStyle w:val="Compact"/>
            </w:pPr>
            <w:r>
              <w:t xml:space="preserve">FR-READ-001</w:t>
            </w:r>
          </w:p>
        </w:tc>
        <w:tc>
          <w:tcPr/>
          <w:p>
            <w:pPr>
              <w:pStyle w:val="Compact"/>
            </w:pPr>
            <w:r>
              <w:t xml:space="preserve">MVP</w:t>
            </w:r>
          </w:p>
        </w:tc>
        <w:tc>
          <w:tcPr/>
          <w:p>
            <w:pPr>
              <w:pStyle w:val="Compact"/>
            </w:pPr>
            <w:r>
              <w:t xml:space="preserve">BG-002</w:t>
            </w:r>
          </w:p>
        </w:tc>
        <w:tc>
          <w:tcPr/>
          <w:p>
            <w:pPr>
              <w:pStyle w:val="Compact"/>
            </w:pPr>
            <w:r>
              <w:t xml:space="preserve">ReadingProgressServiceTests, ReaderSessionServiceTests</w:t>
            </w:r>
          </w:p>
        </w:tc>
        <w:tc>
          <w:tcPr/>
          <w:p>
            <w:pPr>
              <w:pStyle w:val="Compact"/>
            </w:pPr>
            <w:r>
              <w:t xml:space="preserve">Code/test evidence</w:t>
            </w:r>
          </w:p>
        </w:tc>
      </w:tr>
      <w:tr>
        <w:trPr>
          <w:cantSplit/>
        </w:trPr>
        <w:tc>
          <w:tcPr/>
          <w:p>
            <w:pPr>
              <w:pStyle w:val="Compact"/>
            </w:pPr>
            <w:r>
              <w:t xml:space="preserve">FR-READ-002</w:t>
            </w:r>
          </w:p>
        </w:tc>
        <w:tc>
          <w:tcPr/>
          <w:p>
            <w:pPr>
              <w:pStyle w:val="Compact"/>
            </w:pPr>
            <w:r>
              <w:t xml:space="preserve">MVP</w:t>
            </w:r>
          </w:p>
        </w:tc>
        <w:tc>
          <w:tcPr/>
          <w:p>
            <w:pPr>
              <w:pStyle w:val="Compact"/>
            </w:pPr>
            <w:r>
              <w:t xml:space="preserve">BG-002</w:t>
            </w:r>
          </w:p>
        </w:tc>
        <w:tc>
          <w:tcPr/>
          <w:p>
            <w:pPr>
              <w:pStyle w:val="Compact"/>
            </w:pPr>
            <w:r>
              <w:t xml:space="preserve">NavigationHistoryTests, ShellReaderNavigationTests</w:t>
            </w:r>
          </w:p>
        </w:tc>
        <w:tc>
          <w:tcPr/>
          <w:p>
            <w:pPr>
              <w:pStyle w:val="Compact"/>
            </w:pPr>
            <w:r>
              <w:t xml:space="preserve">Code/test evidence</w:t>
            </w:r>
          </w:p>
        </w:tc>
      </w:tr>
      <w:tr>
        <w:trPr>
          <w:cantSplit/>
        </w:trPr>
        <w:tc>
          <w:tcPr/>
          <w:p>
            <w:pPr>
              <w:pStyle w:val="Compact"/>
            </w:pPr>
            <w:r>
              <w:t xml:space="preserve">FR-READ-003</w:t>
            </w:r>
          </w:p>
        </w:tc>
        <w:tc>
          <w:tcPr/>
          <w:p>
            <w:pPr>
              <w:pStyle w:val="Compact"/>
            </w:pPr>
            <w:r>
              <w:t xml:space="preserve">MVP</w:t>
            </w:r>
          </w:p>
        </w:tc>
        <w:tc>
          <w:tcPr/>
          <w:p>
            <w:pPr>
              <w:pStyle w:val="Compact"/>
            </w:pPr>
            <w:r>
              <w:t xml:space="preserve">BG-002</w:t>
            </w:r>
          </w:p>
        </w:tc>
        <w:tc>
          <w:tcPr/>
          <w:p>
            <w:pPr>
              <w:pStyle w:val="Compact"/>
            </w:pPr>
            <w:r>
              <w:t xml:space="preserve">ReaderSessionServiceTests</w:t>
            </w:r>
          </w:p>
        </w:tc>
        <w:tc>
          <w:tcPr/>
          <w:p>
            <w:pPr>
              <w:pStyle w:val="Compact"/>
            </w:pPr>
            <w:r>
              <w:t xml:space="preserve">Code/test evidence</w:t>
            </w:r>
          </w:p>
        </w:tc>
      </w:tr>
      <w:tr>
        <w:trPr>
          <w:cantSplit/>
        </w:trPr>
        <w:tc>
          <w:tcPr/>
          <w:p>
            <w:pPr>
              <w:pStyle w:val="Compact"/>
            </w:pPr>
            <w:r>
              <w:t xml:space="preserve">FR-READ-004</w:t>
            </w:r>
          </w:p>
        </w:tc>
        <w:tc>
          <w:tcPr/>
          <w:p>
            <w:pPr>
              <w:pStyle w:val="Compact"/>
            </w:pPr>
            <w:r>
              <w:t xml:space="preserve">MVP</w:t>
            </w:r>
          </w:p>
        </w:tc>
        <w:tc>
          <w:tcPr/>
          <w:p>
            <w:pPr>
              <w:pStyle w:val="Compact"/>
            </w:pPr>
            <w:r>
              <w:t xml:space="preserve">BG-002</w:t>
            </w:r>
          </w:p>
        </w:tc>
        <w:tc>
          <w:tcPr/>
          <w:p>
            <w:pPr>
              <w:pStyle w:val="Compact"/>
            </w:pPr>
            <w:r>
              <w:t xml:space="preserve">ReaderViewRenderTests</w:t>
            </w:r>
          </w:p>
        </w:tc>
        <w:tc>
          <w:tcPr/>
          <w:p>
            <w:pPr>
              <w:pStyle w:val="Compact"/>
            </w:pPr>
            <w:r>
              <w:t xml:space="preserve">Code/test evidence</w:t>
            </w:r>
          </w:p>
        </w:tc>
      </w:tr>
      <w:tr>
        <w:trPr>
          <w:cantSplit/>
        </w:trPr>
        <w:tc>
          <w:tcPr/>
          <w:p>
            <w:pPr>
              <w:pStyle w:val="Compact"/>
            </w:pPr>
            <w:r>
              <w:t xml:space="preserve">FR-READ-005</w:t>
            </w:r>
          </w:p>
        </w:tc>
        <w:tc>
          <w:tcPr/>
          <w:p>
            <w:pPr>
              <w:pStyle w:val="Compact"/>
            </w:pPr>
            <w:r>
              <w:t xml:space="preserve">MVP</w:t>
            </w:r>
          </w:p>
        </w:tc>
        <w:tc>
          <w:tcPr/>
          <w:p>
            <w:pPr>
              <w:pStyle w:val="Compact"/>
            </w:pPr>
            <w:r>
              <w:t xml:space="preserve">BG-002</w:t>
            </w:r>
          </w:p>
        </w:tc>
        <w:tc>
          <w:tcPr/>
          <w:p>
            <w:pPr>
              <w:pStyle w:val="Compact"/>
            </w:pPr>
            <w:r>
              <w:t xml:space="preserve">ReaderViewRenderTests</w:t>
            </w:r>
          </w:p>
        </w:tc>
        <w:tc>
          <w:tcPr/>
          <w:p>
            <w:pPr>
              <w:pStyle w:val="Compact"/>
            </w:pPr>
            <w:r>
              <w:t xml:space="preserve">Code/test evidence</w:t>
            </w:r>
          </w:p>
        </w:tc>
      </w:tr>
      <w:tr>
        <w:trPr>
          <w:cantSplit/>
        </w:trPr>
        <w:tc>
          <w:tcPr/>
          <w:p>
            <w:pPr>
              <w:pStyle w:val="Compact"/>
            </w:pPr>
            <w:r>
              <w:t xml:space="preserve">FR-READ-006</w:t>
            </w:r>
          </w:p>
        </w:tc>
        <w:tc>
          <w:tcPr/>
          <w:p>
            <w:pPr>
              <w:pStyle w:val="Compact"/>
            </w:pPr>
            <w:r>
              <w:t xml:space="preserve">MVP</w:t>
            </w:r>
          </w:p>
        </w:tc>
        <w:tc>
          <w:tcPr/>
          <w:p>
            <w:pPr>
              <w:pStyle w:val="Compact"/>
            </w:pPr>
            <w:r>
              <w:t xml:space="preserve">BG-002</w:t>
            </w:r>
          </w:p>
        </w:tc>
        <w:tc>
          <w:tcPr/>
          <w:p>
            <w:pPr>
              <w:pStyle w:val="Compact"/>
            </w:pPr>
            <w:r>
              <w:t xml:space="preserve">InDocumentSearchTests</w:t>
            </w:r>
          </w:p>
        </w:tc>
        <w:tc>
          <w:tcPr/>
          <w:p>
            <w:pPr>
              <w:pStyle w:val="Compact"/>
            </w:pPr>
            <w:r>
              <w:t xml:space="preserve">Code/test evidence</w:t>
            </w:r>
          </w:p>
        </w:tc>
      </w:tr>
      <w:tr>
        <w:trPr>
          <w:cantSplit/>
        </w:trPr>
        <w:tc>
          <w:tcPr/>
          <w:p>
            <w:pPr>
              <w:pStyle w:val="Compact"/>
            </w:pPr>
            <w:r>
              <w:t xml:space="preserve">FR-READ-007</w:t>
            </w:r>
          </w:p>
        </w:tc>
        <w:tc>
          <w:tcPr/>
          <w:p>
            <w:pPr>
              <w:pStyle w:val="Compact"/>
            </w:pPr>
            <w:r>
              <w:t xml:space="preserve">MVP</w:t>
            </w:r>
          </w:p>
        </w:tc>
        <w:tc>
          <w:tcPr/>
          <w:p>
            <w:pPr>
              <w:pStyle w:val="Compact"/>
            </w:pPr>
            <w:r>
              <w:t xml:space="preserve">BG-002</w:t>
            </w:r>
          </w:p>
        </w:tc>
        <w:tc>
          <w:tcPr/>
          <w:p>
            <w:pPr>
              <w:pStyle w:val="Compact"/>
            </w:pPr>
            <w:r>
              <w:t xml:space="preserve">Phase09AnnotationTests</w:t>
            </w:r>
          </w:p>
        </w:tc>
        <w:tc>
          <w:tcPr/>
          <w:p>
            <w:pPr>
              <w:pStyle w:val="Compact"/>
            </w:pPr>
            <w:r>
              <w:t xml:space="preserve">Code/test evidence</w:t>
            </w:r>
          </w:p>
        </w:tc>
      </w:tr>
      <w:tr>
        <w:trPr>
          <w:cantSplit/>
        </w:trPr>
        <w:tc>
          <w:tcPr/>
          <w:p>
            <w:pPr>
              <w:pStyle w:val="Compact"/>
            </w:pPr>
            <w:r>
              <w:t xml:space="preserve">FR-READ-008</w:t>
            </w:r>
          </w:p>
        </w:tc>
        <w:tc>
          <w:tcPr/>
          <w:p>
            <w:pPr>
              <w:pStyle w:val="Compact"/>
            </w:pPr>
            <w:r>
              <w:t xml:space="preserve">MVP</w:t>
            </w:r>
          </w:p>
        </w:tc>
        <w:tc>
          <w:tcPr/>
          <w:p>
            <w:pPr>
              <w:pStyle w:val="Compact"/>
            </w:pPr>
            <w:r>
              <w:t xml:space="preserve">BG-002, BG-004</w:t>
            </w:r>
          </w:p>
        </w:tc>
        <w:tc>
          <w:tcPr/>
          <w:p>
            <w:pPr>
              <w:pStyle w:val="Compact"/>
            </w:pPr>
            <w:r>
              <w:t xml:space="preserve">Phase09AnnotationTests</w:t>
            </w:r>
          </w:p>
        </w:tc>
        <w:tc>
          <w:tcPr/>
          <w:p>
            <w:pPr>
              <w:pStyle w:val="Compact"/>
            </w:pPr>
            <w:r>
              <w:t xml:space="preserve">Code/test evidence</w:t>
            </w:r>
          </w:p>
        </w:tc>
      </w:tr>
      <w:tr>
        <w:trPr>
          <w:cantSplit/>
        </w:trPr>
        <w:tc>
          <w:tcPr/>
          <w:p>
            <w:pPr>
              <w:pStyle w:val="Compact"/>
            </w:pPr>
            <w:r>
              <w:t xml:space="preserve">FR-READ-009</w:t>
            </w:r>
          </w:p>
        </w:tc>
        <w:tc>
          <w:tcPr/>
          <w:p>
            <w:pPr>
              <w:pStyle w:val="Compact"/>
            </w:pPr>
            <w:r>
              <w:t xml:space="preserve">V1</w:t>
            </w:r>
          </w:p>
        </w:tc>
        <w:tc>
          <w:tcPr/>
          <w:p>
            <w:pPr>
              <w:pStyle w:val="Compact"/>
            </w:pPr>
            <w:r>
              <w:t xml:space="preserve">BG-002</w:t>
            </w:r>
          </w:p>
        </w:tc>
        <w:tc>
          <w:tcPr/>
          <w:p>
            <w:pPr>
              <w:pStyle w:val="Compact"/>
            </w:pPr>
            <w:r>
              <w:t xml:space="preserve">PdfiumAdapterPasswordTests, PasswordProviderTests</w:t>
            </w:r>
          </w:p>
        </w:tc>
        <w:tc>
          <w:tcPr/>
          <w:p>
            <w:pPr>
              <w:pStyle w:val="Compact"/>
            </w:pPr>
            <w:r>
              <w:t xml:space="preserve">Code/test evidence</w:t>
            </w:r>
          </w:p>
        </w:tc>
      </w:tr>
      <w:tr>
        <w:trPr>
          <w:cantSplit/>
        </w:trPr>
        <w:tc>
          <w:tcPr/>
          <w:p>
            <w:pPr>
              <w:pStyle w:val="Compact"/>
            </w:pPr>
            <w:r>
              <w:t xml:space="preserve">FR-READ-010</w:t>
            </w:r>
          </w:p>
        </w:tc>
        <w:tc>
          <w:tcPr/>
          <w:p>
            <w:pPr>
              <w:pStyle w:val="Compact"/>
            </w:pPr>
            <w:r>
              <w:t xml:space="preserve">V1</w:t>
            </w:r>
          </w:p>
        </w:tc>
        <w:tc>
          <w:tcPr/>
          <w:p>
            <w:pPr>
              <w:pStyle w:val="Compact"/>
            </w:pPr>
            <w:r>
              <w:t xml:space="preserve">BG-002</w:t>
            </w:r>
          </w:p>
        </w:tc>
        <w:tc>
          <w:tcPr/>
          <w:p>
            <w:pPr>
              <w:pStyle w:val="Compact"/>
            </w:pPr>
            <w:r>
              <w:t xml:space="preserve">OcrJobProcessorTests, OcrGoldenCorpusTests</w:t>
            </w:r>
          </w:p>
        </w:tc>
        <w:tc>
          <w:tcPr/>
          <w:p>
            <w:pPr>
              <w:pStyle w:val="Compact"/>
            </w:pPr>
            <w:r>
              <w:t xml:space="preserve">Code/test evidence</w:t>
            </w:r>
          </w:p>
        </w:tc>
      </w:tr>
      <w:tr>
        <w:trPr>
          <w:cantSplit/>
        </w:trPr>
        <w:tc>
          <w:tcPr/>
          <w:p>
            <w:pPr>
              <w:pStyle w:val="Compact"/>
            </w:pPr>
            <w:r>
              <w:t xml:space="preserve">FR-READ-011</w:t>
            </w:r>
          </w:p>
        </w:tc>
        <w:tc>
          <w:tcPr/>
          <w:p>
            <w:pPr>
              <w:pStyle w:val="Compact"/>
            </w:pPr>
            <w:r>
              <w:t xml:space="preserve">V1</w:t>
            </w:r>
          </w:p>
        </w:tc>
        <w:tc>
          <w:tcPr/>
          <w:p>
            <w:pPr>
              <w:pStyle w:val="Compact"/>
            </w:pPr>
            <w:r>
              <w:t xml:space="preserve">BG-002</w:t>
            </w:r>
          </w:p>
        </w:tc>
        <w:tc>
          <w:tcPr/>
          <w:p>
            <w:pPr>
              <w:pStyle w:val="Compact"/>
            </w:pPr>
            <w:r>
              <w:t xml:space="preserve">Phase09AnnotationTests</w:t>
            </w:r>
          </w:p>
        </w:tc>
        <w:tc>
          <w:tcPr/>
          <w:p>
            <w:pPr>
              <w:pStyle w:val="Compact"/>
            </w:pPr>
            <w:r>
              <w:t xml:space="preserve">Code/test evidence</w:t>
            </w:r>
          </w:p>
        </w:tc>
      </w:tr>
      <w:tr>
        <w:trPr>
          <w:cantSplit/>
        </w:trPr>
        <w:tc>
          <w:tcPr/>
          <w:p>
            <w:pPr>
              <w:pStyle w:val="Compact"/>
            </w:pPr>
            <w:r>
              <w:t xml:space="preserve">FR-READ-012</w:t>
            </w:r>
          </w:p>
        </w:tc>
        <w:tc>
          <w:tcPr/>
          <w:p>
            <w:pPr>
              <w:pStyle w:val="Compact"/>
            </w:pPr>
            <w:r>
              <w:t xml:space="preserve">V2</w:t>
            </w:r>
          </w:p>
        </w:tc>
        <w:tc>
          <w:tcPr/>
          <w:p>
            <w:pPr>
              <w:pStyle w:val="Compact"/>
            </w:pPr>
            <w:r>
              <w:t xml:space="preserve">BG-002</w:t>
            </w:r>
          </w:p>
        </w:tc>
        <w:tc>
          <w:tcPr/>
          <w:p>
            <w:pPr>
              <w:pStyle w:val="Compact"/>
            </w:pPr>
            <w:r>
              <w:t xml:space="preserve">TC-READ-012 (planned)</w:t>
            </w:r>
          </w:p>
        </w:tc>
        <w:tc>
          <w:tcPr/>
          <w:p>
            <w:pPr>
              <w:pStyle w:val="Compact"/>
            </w:pPr>
            <w:r>
              <w:t xml:space="preserve">Not started</w:t>
            </w:r>
          </w:p>
        </w:tc>
      </w:tr>
      <w:tr>
        <w:trPr>
          <w:cantSplit/>
        </w:trPr>
        <w:tc>
          <w:tcPr/>
          <w:p>
            <w:pPr>
              <w:pStyle w:val="Compact"/>
            </w:pPr>
            <w:r>
              <w:t xml:space="preserve">FR-READ-013</w:t>
            </w:r>
          </w:p>
        </w:tc>
        <w:tc>
          <w:tcPr/>
          <w:p>
            <w:pPr>
              <w:pStyle w:val="Compact"/>
            </w:pPr>
            <w:r>
              <w:t xml:space="preserve">V1</w:t>
            </w:r>
          </w:p>
        </w:tc>
        <w:tc>
          <w:tcPr/>
          <w:p>
            <w:pPr>
              <w:pStyle w:val="Compact"/>
            </w:pPr>
            <w:r>
              <w:t xml:space="preserve">BG-002, BG-004</w:t>
            </w:r>
          </w:p>
        </w:tc>
        <w:tc>
          <w:tcPr/>
          <w:p>
            <w:pPr>
              <w:pStyle w:val="Compact"/>
            </w:pPr>
            <w:r>
              <w:t xml:space="preserve">TC-READ-013 (planned)</w:t>
            </w:r>
          </w:p>
        </w:tc>
        <w:tc>
          <w:tcPr/>
          <w:p>
            <w:pPr>
              <w:pStyle w:val="Compact"/>
            </w:pPr>
            <w:r>
              <w:t xml:space="preserve">Code/test evidence</w:t>
            </w:r>
          </w:p>
        </w:tc>
      </w:tr>
      <w:tr>
        <w:trPr>
          <w:cantSplit/>
        </w:trPr>
        <w:tc>
          <w:tcPr/>
          <w:p>
            <w:pPr>
              <w:pStyle w:val="Compact"/>
            </w:pPr>
            <w:r>
              <w:t xml:space="preserve">FR-READ-014</w:t>
            </w:r>
          </w:p>
        </w:tc>
        <w:tc>
          <w:tcPr/>
          <w:p>
            <w:pPr>
              <w:pStyle w:val="Compact"/>
            </w:pPr>
            <w:r>
              <w:t xml:space="preserve">V1</w:t>
            </w:r>
          </w:p>
        </w:tc>
        <w:tc>
          <w:tcPr/>
          <w:p>
            <w:pPr>
              <w:pStyle w:val="Compact"/>
            </w:pPr>
            <w:r>
              <w:t xml:space="preserve">BG-002</w:t>
            </w:r>
          </w:p>
        </w:tc>
        <w:tc>
          <w:tcPr/>
          <w:p>
            <w:pPr>
              <w:pStyle w:val="Compact"/>
            </w:pPr>
            <w:r>
              <w:t xml:space="preserve">Phase09AnnotationTests</w:t>
            </w:r>
          </w:p>
        </w:tc>
        <w:tc>
          <w:tcPr/>
          <w:p>
            <w:pPr>
              <w:pStyle w:val="Compact"/>
            </w:pPr>
            <w:r>
              <w:t xml:space="preserve">Code/test evidence</w:t>
            </w:r>
          </w:p>
        </w:tc>
      </w:tr>
      <w:tr>
        <w:trPr>
          <w:cantSplit/>
        </w:trPr>
        <w:tc>
          <w:tcPr/>
          <w:p>
            <w:pPr>
              <w:pStyle w:val="Compact"/>
            </w:pPr>
            <w:r>
              <w:t xml:space="preserve">FR-READ-015</w:t>
            </w:r>
          </w:p>
        </w:tc>
        <w:tc>
          <w:tcPr/>
          <w:p>
            <w:pPr>
              <w:pStyle w:val="Compact"/>
            </w:pPr>
            <w:r>
              <w:t xml:space="preserve">V1</w:t>
            </w:r>
          </w:p>
        </w:tc>
        <w:tc>
          <w:tcPr/>
          <w:p>
            <w:pPr>
              <w:pStyle w:val="Compact"/>
            </w:pPr>
            <w:r>
              <w:t xml:space="preserve">BG-002</w:t>
            </w:r>
          </w:p>
        </w:tc>
        <w:tc>
          <w:tcPr/>
          <w:p>
            <w:pPr>
              <w:pStyle w:val="Compact"/>
            </w:pPr>
            <w:r>
              <w:t xml:space="preserve">Phase09AnnotationTests</w:t>
            </w:r>
          </w:p>
        </w:tc>
        <w:tc>
          <w:tcPr/>
          <w:p>
            <w:pPr>
              <w:pStyle w:val="Compact"/>
            </w:pPr>
            <w:r>
              <w:t xml:space="preserve">Code/test evidence</w:t>
            </w:r>
          </w:p>
        </w:tc>
      </w:tr>
      <w:tr>
        <w:trPr>
          <w:cantSplit/>
        </w:trPr>
        <w:tc>
          <w:tcPr/>
          <w:p>
            <w:pPr>
              <w:pStyle w:val="Compact"/>
            </w:pPr>
            <w:r>
              <w:t xml:space="preserve">FR-SEARCH-001</w:t>
            </w:r>
          </w:p>
        </w:tc>
        <w:tc>
          <w:tcPr/>
          <w:p>
            <w:pPr>
              <w:pStyle w:val="Compact"/>
            </w:pPr>
            <w:r>
              <w:t xml:space="preserve">MVP</w:t>
            </w:r>
          </w:p>
        </w:tc>
        <w:tc>
          <w:tcPr/>
          <w:p>
            <w:pPr>
              <w:pStyle w:val="Compact"/>
            </w:pPr>
            <w:r>
              <w:t xml:space="preserve">BG-002</w:t>
            </w:r>
          </w:p>
        </w:tc>
        <w:tc>
          <w:tcPr/>
          <w:p>
            <w:pPr>
              <w:pStyle w:val="Compact"/>
            </w:pPr>
            <w:r>
              <w:t xml:space="preserve">MetadataSearchServiceTests</w:t>
            </w:r>
          </w:p>
        </w:tc>
        <w:tc>
          <w:tcPr/>
          <w:p>
            <w:pPr>
              <w:pStyle w:val="Compact"/>
            </w:pPr>
            <w:r>
              <w:t xml:space="preserve">Code/test evidence</w:t>
            </w:r>
          </w:p>
        </w:tc>
      </w:tr>
      <w:tr>
        <w:trPr>
          <w:cantSplit/>
        </w:trPr>
        <w:tc>
          <w:tcPr/>
          <w:p>
            <w:pPr>
              <w:pStyle w:val="Compact"/>
            </w:pPr>
            <w:r>
              <w:t xml:space="preserve">FR-SEARCH-002</w:t>
            </w:r>
          </w:p>
        </w:tc>
        <w:tc>
          <w:tcPr/>
          <w:p>
            <w:pPr>
              <w:pStyle w:val="Compact"/>
            </w:pPr>
            <w:r>
              <w:t xml:space="preserve">V1</w:t>
            </w:r>
          </w:p>
        </w:tc>
        <w:tc>
          <w:tcPr/>
          <w:p>
            <w:pPr>
              <w:pStyle w:val="Compact"/>
            </w:pPr>
            <w:r>
              <w:t xml:space="preserve">BG-002</w:t>
            </w:r>
          </w:p>
        </w:tc>
        <w:tc>
          <w:tcPr/>
          <w:p>
            <w:pPr>
              <w:pStyle w:val="Compact"/>
            </w:pPr>
            <w:r>
              <w:t xml:space="preserve">FtsIndexServiceTests</w:t>
            </w:r>
          </w:p>
        </w:tc>
        <w:tc>
          <w:tcPr/>
          <w:p>
            <w:pPr>
              <w:pStyle w:val="Compact"/>
            </w:pPr>
            <w:r>
              <w:t xml:space="preserve">Code/test evidence</w:t>
            </w:r>
          </w:p>
        </w:tc>
      </w:tr>
      <w:tr>
        <w:trPr>
          <w:cantSplit/>
        </w:trPr>
        <w:tc>
          <w:tcPr/>
          <w:p>
            <w:pPr>
              <w:pStyle w:val="Compact"/>
            </w:pPr>
            <w:r>
              <w:t xml:space="preserve">FR-SEARCH-003</w:t>
            </w:r>
          </w:p>
        </w:tc>
        <w:tc>
          <w:tcPr/>
          <w:p>
            <w:pPr>
              <w:pStyle w:val="Compact"/>
            </w:pPr>
            <w:r>
              <w:t xml:space="preserve">V1</w:t>
            </w:r>
          </w:p>
        </w:tc>
        <w:tc>
          <w:tcPr/>
          <w:p>
            <w:pPr>
              <w:pStyle w:val="Compact"/>
            </w:pPr>
            <w:r>
              <w:t xml:space="preserve">BG-002</w:t>
            </w:r>
          </w:p>
        </w:tc>
        <w:tc>
          <w:tcPr/>
          <w:p>
            <w:pPr>
              <w:pStyle w:val="Compact"/>
            </w:pPr>
            <w:r>
              <w:t xml:space="preserve">MatchLocationServiceTests</w:t>
            </w:r>
          </w:p>
        </w:tc>
        <w:tc>
          <w:tcPr/>
          <w:p>
            <w:pPr>
              <w:pStyle w:val="Compact"/>
            </w:pPr>
            <w:r>
              <w:t xml:space="preserve">Code/test evidence</w:t>
            </w:r>
          </w:p>
        </w:tc>
      </w:tr>
      <w:tr>
        <w:trPr>
          <w:cantSplit/>
        </w:trPr>
        <w:tc>
          <w:tcPr/>
          <w:p>
            <w:pPr>
              <w:pStyle w:val="Compact"/>
            </w:pPr>
            <w:r>
              <w:t xml:space="preserve">FR-SEARCH-004</w:t>
            </w:r>
          </w:p>
        </w:tc>
        <w:tc>
          <w:tcPr/>
          <w:p>
            <w:pPr>
              <w:pStyle w:val="Compact"/>
            </w:pPr>
            <w:r>
              <w:t xml:space="preserve">V1</w:t>
            </w:r>
          </w:p>
        </w:tc>
        <w:tc>
          <w:tcPr/>
          <w:p>
            <w:pPr>
              <w:pStyle w:val="Compact"/>
            </w:pPr>
            <w:r>
              <w:t xml:space="preserve">BG-002, BG-003</w:t>
            </w:r>
          </w:p>
        </w:tc>
        <w:tc>
          <w:tcPr/>
          <w:p>
            <w:pPr>
              <w:pStyle w:val="Compact"/>
            </w:pPr>
            <w:r>
              <w:t xml:space="preserve">SemanticSearchServiceTests</w:t>
            </w:r>
          </w:p>
        </w:tc>
        <w:tc>
          <w:tcPr/>
          <w:p>
            <w:pPr>
              <w:pStyle w:val="Compact"/>
            </w:pPr>
            <w:r>
              <w:t xml:space="preserve">Code/test evidence</w:t>
            </w:r>
          </w:p>
        </w:tc>
      </w:tr>
      <w:tr>
        <w:trPr>
          <w:cantSplit/>
        </w:trPr>
        <w:tc>
          <w:tcPr/>
          <w:p>
            <w:pPr>
              <w:pStyle w:val="Compact"/>
            </w:pPr>
            <w:r>
              <w:t xml:space="preserve">FR-SEARCH-005</w:t>
            </w:r>
          </w:p>
        </w:tc>
        <w:tc>
          <w:tcPr/>
          <w:p>
            <w:pPr>
              <w:pStyle w:val="Compact"/>
            </w:pPr>
            <w:r>
              <w:t xml:space="preserve">V1</w:t>
            </w:r>
          </w:p>
        </w:tc>
        <w:tc>
          <w:tcPr/>
          <w:p>
            <w:pPr>
              <w:pStyle w:val="Compact"/>
            </w:pPr>
            <w:r>
              <w:t xml:space="preserve">BG-002, BG-003</w:t>
            </w:r>
          </w:p>
        </w:tc>
        <w:tc>
          <w:tcPr/>
          <w:p>
            <w:pPr>
              <w:pStyle w:val="Compact"/>
            </w:pPr>
            <w:r>
              <w:t xml:space="preserve">HybridRankingServiceTests</w:t>
            </w:r>
          </w:p>
        </w:tc>
        <w:tc>
          <w:tcPr/>
          <w:p>
            <w:pPr>
              <w:pStyle w:val="Compact"/>
            </w:pPr>
            <w:r>
              <w:t xml:space="preserve">Code/test evidence</w:t>
            </w:r>
          </w:p>
        </w:tc>
      </w:tr>
      <w:tr>
        <w:trPr>
          <w:cantSplit/>
        </w:trPr>
        <w:tc>
          <w:tcPr/>
          <w:p>
            <w:pPr>
              <w:pStyle w:val="Compact"/>
            </w:pPr>
            <w:r>
              <w:t xml:space="preserve">FR-SEARCH-006</w:t>
            </w:r>
          </w:p>
        </w:tc>
        <w:tc>
          <w:tcPr/>
          <w:p>
            <w:pPr>
              <w:pStyle w:val="Compact"/>
            </w:pPr>
            <w:r>
              <w:t xml:space="preserve">V1</w:t>
            </w:r>
          </w:p>
        </w:tc>
        <w:tc>
          <w:tcPr/>
          <w:p>
            <w:pPr>
              <w:pStyle w:val="Compact"/>
            </w:pPr>
            <w:r>
              <w:t xml:space="preserve">BG-002</w:t>
            </w:r>
          </w:p>
        </w:tc>
        <w:tc>
          <w:tcPr/>
          <w:p>
            <w:pPr>
              <w:pStyle w:val="Compact"/>
            </w:pPr>
            <w:r>
              <w:t xml:space="preserve">IndexManagerServiceTests</w:t>
            </w:r>
          </w:p>
        </w:tc>
        <w:tc>
          <w:tcPr/>
          <w:p>
            <w:pPr>
              <w:pStyle w:val="Compact"/>
            </w:pPr>
            <w:r>
              <w:t xml:space="preserve">Code/test evidence</w:t>
            </w:r>
          </w:p>
        </w:tc>
      </w:tr>
      <w:tr>
        <w:trPr>
          <w:cantSplit/>
        </w:trPr>
        <w:tc>
          <w:tcPr/>
          <w:p>
            <w:pPr>
              <w:pStyle w:val="Compact"/>
            </w:pPr>
            <w:r>
              <w:t xml:space="preserve">FR-AI-001</w:t>
            </w:r>
          </w:p>
        </w:tc>
        <w:tc>
          <w:tcPr/>
          <w:p>
            <w:pPr>
              <w:pStyle w:val="Compact"/>
            </w:pPr>
            <w:r>
              <w:t xml:space="preserve">MVP</w:t>
            </w:r>
          </w:p>
        </w:tc>
        <w:tc>
          <w:tcPr/>
          <w:p>
            <w:pPr>
              <w:pStyle w:val="Compact"/>
            </w:pPr>
            <w:r>
              <w:t xml:space="preserve">BG-005</w:t>
            </w:r>
          </w:p>
        </w:tc>
        <w:tc>
          <w:tcPr/>
          <w:p>
            <w:pPr>
              <w:pStyle w:val="Compact"/>
            </w:pPr>
            <w:r>
              <w:t xml:space="preserve">AiGatewayTests</w:t>
            </w:r>
          </w:p>
        </w:tc>
        <w:tc>
          <w:tcPr/>
          <w:p>
            <w:pPr>
              <w:pStyle w:val="Compact"/>
            </w:pPr>
            <w:r>
              <w:t xml:space="preserve">Code/test evidence</w:t>
            </w:r>
          </w:p>
        </w:tc>
      </w:tr>
      <w:tr>
        <w:trPr>
          <w:cantSplit/>
        </w:trPr>
        <w:tc>
          <w:tcPr/>
          <w:p>
            <w:pPr>
              <w:pStyle w:val="Compact"/>
            </w:pPr>
            <w:r>
              <w:t xml:space="preserve">FR-AI-002</w:t>
            </w:r>
          </w:p>
        </w:tc>
        <w:tc>
          <w:tcPr/>
          <w:p>
            <w:pPr>
              <w:pStyle w:val="Compact"/>
            </w:pPr>
            <w:r>
              <w:t xml:space="preserve">MVP</w:t>
            </w:r>
          </w:p>
        </w:tc>
        <w:tc>
          <w:tcPr/>
          <w:p>
            <w:pPr>
              <w:pStyle w:val="Compact"/>
            </w:pPr>
            <w:r>
              <w:t xml:space="preserve">BG-003</w:t>
            </w:r>
          </w:p>
        </w:tc>
        <w:tc>
          <w:tcPr/>
          <w:p>
            <w:pPr>
              <w:pStyle w:val="Compact"/>
            </w:pPr>
            <w:r>
              <w:t xml:space="preserve">AiProviderAdapterTests, AiContractTests</w:t>
            </w:r>
          </w:p>
        </w:tc>
        <w:tc>
          <w:tcPr/>
          <w:p>
            <w:pPr>
              <w:pStyle w:val="Compact"/>
            </w:pPr>
            <w:r>
              <w:t xml:space="preserve">Code/test evidence</w:t>
            </w:r>
          </w:p>
        </w:tc>
      </w:tr>
      <w:tr>
        <w:trPr>
          <w:cantSplit/>
        </w:trPr>
        <w:tc>
          <w:tcPr/>
          <w:p>
            <w:pPr>
              <w:pStyle w:val="Compact"/>
            </w:pPr>
            <w:r>
              <w:t xml:space="preserve">FR-AI-003</w:t>
            </w:r>
          </w:p>
        </w:tc>
        <w:tc>
          <w:tcPr/>
          <w:p>
            <w:pPr>
              <w:pStyle w:val="Compact"/>
            </w:pPr>
            <w:r>
              <w:t xml:space="preserve">MVP</w:t>
            </w:r>
          </w:p>
        </w:tc>
        <w:tc>
          <w:tcPr/>
          <w:p>
            <w:pPr>
              <w:pStyle w:val="Compact"/>
            </w:pPr>
            <w:r>
              <w:t xml:space="preserve">BG-003</w:t>
            </w:r>
          </w:p>
        </w:tc>
        <w:tc>
          <w:tcPr/>
          <w:p>
            <w:pPr>
              <w:pStyle w:val="Compact"/>
            </w:pPr>
            <w:r>
              <w:t xml:space="preserve">AdvisorServiceTests, RecommendationPipelineTests</w:t>
            </w:r>
          </w:p>
        </w:tc>
        <w:tc>
          <w:tcPr/>
          <w:p>
            <w:pPr>
              <w:pStyle w:val="Compact"/>
            </w:pPr>
            <w:r>
              <w:t xml:space="preserve">Code/test evidence</w:t>
            </w:r>
          </w:p>
        </w:tc>
      </w:tr>
      <w:tr>
        <w:trPr>
          <w:cantSplit/>
        </w:trPr>
        <w:tc>
          <w:tcPr/>
          <w:p>
            <w:pPr>
              <w:pStyle w:val="Compact"/>
            </w:pPr>
            <w:r>
              <w:t xml:space="preserve">FR-AI-004</w:t>
            </w:r>
          </w:p>
        </w:tc>
        <w:tc>
          <w:tcPr/>
          <w:p>
            <w:pPr>
              <w:pStyle w:val="Compact"/>
            </w:pPr>
            <w:r>
              <w:t xml:space="preserve">MVP</w:t>
            </w:r>
          </w:p>
        </w:tc>
        <w:tc>
          <w:tcPr/>
          <w:p>
            <w:pPr>
              <w:pStyle w:val="Compact"/>
            </w:pPr>
            <w:r>
              <w:t xml:space="preserve">BG-005</w:t>
            </w:r>
          </w:p>
        </w:tc>
        <w:tc>
          <w:tcPr/>
          <w:p>
            <w:pPr>
              <w:pStyle w:val="Compact"/>
            </w:pPr>
            <w:r>
              <w:t xml:space="preserve">AiGatewayIntegrationTests</w:t>
            </w:r>
          </w:p>
        </w:tc>
        <w:tc>
          <w:tcPr/>
          <w:p>
            <w:pPr>
              <w:pStyle w:val="Compact"/>
            </w:pPr>
            <w:r>
              <w:t xml:space="preserve">Code/test evidence</w:t>
            </w:r>
          </w:p>
        </w:tc>
      </w:tr>
      <w:tr>
        <w:trPr>
          <w:cantSplit/>
        </w:trPr>
        <w:tc>
          <w:tcPr/>
          <w:p>
            <w:pPr>
              <w:pStyle w:val="Compact"/>
            </w:pPr>
            <w:r>
              <w:t xml:space="preserve">FR-AI-005</w:t>
            </w:r>
          </w:p>
        </w:tc>
        <w:tc>
          <w:tcPr/>
          <w:p>
            <w:pPr>
              <w:pStyle w:val="Compact"/>
            </w:pPr>
            <w:r>
              <w:t xml:space="preserve">V1</w:t>
            </w:r>
          </w:p>
        </w:tc>
        <w:tc>
          <w:tcPr/>
          <w:p>
            <w:pPr>
              <w:pStyle w:val="Compact"/>
            </w:pPr>
            <w:r>
              <w:t xml:space="preserve">BG-005</w:t>
            </w:r>
          </w:p>
        </w:tc>
        <w:tc>
          <w:tcPr/>
          <w:p>
            <w:pPr>
              <w:pStyle w:val="Compact"/>
            </w:pPr>
            <w:r>
              <w:t xml:space="preserve">PayloadPreviewViewModelTests</w:t>
            </w:r>
          </w:p>
        </w:tc>
        <w:tc>
          <w:tcPr/>
          <w:p>
            <w:pPr>
              <w:pStyle w:val="Compact"/>
            </w:pPr>
            <w:r>
              <w:t xml:space="preserve">Code/test evidence</w:t>
            </w:r>
          </w:p>
        </w:tc>
      </w:tr>
      <w:tr>
        <w:trPr>
          <w:cantSplit/>
        </w:trPr>
        <w:tc>
          <w:tcPr/>
          <w:p>
            <w:pPr>
              <w:pStyle w:val="Compact"/>
            </w:pPr>
            <w:r>
              <w:t xml:space="preserve">FR-AI-006</w:t>
            </w:r>
          </w:p>
        </w:tc>
        <w:tc>
          <w:tcPr/>
          <w:p>
            <w:pPr>
              <w:pStyle w:val="Compact"/>
            </w:pPr>
            <w:r>
              <w:t xml:space="preserve">V1</w:t>
            </w:r>
          </w:p>
        </w:tc>
        <w:tc>
          <w:tcPr/>
          <w:p>
            <w:pPr>
              <w:pStyle w:val="Compact"/>
            </w:pPr>
            <w:r>
              <w:t xml:space="preserve">BG-003, BG-005</w:t>
            </w:r>
          </w:p>
        </w:tc>
        <w:tc>
          <w:tcPr/>
          <w:p>
            <w:pPr>
              <w:pStyle w:val="Compact"/>
            </w:pPr>
            <w:r>
              <w:t xml:space="preserve">EmbeddingGenerationServiceTests</w:t>
            </w:r>
          </w:p>
        </w:tc>
        <w:tc>
          <w:tcPr/>
          <w:p>
            <w:pPr>
              <w:pStyle w:val="Compact"/>
            </w:pPr>
            <w:r>
              <w:t xml:space="preserve">Code/test evidence</w:t>
            </w:r>
          </w:p>
        </w:tc>
      </w:tr>
      <w:tr>
        <w:trPr>
          <w:cantSplit/>
        </w:trPr>
        <w:tc>
          <w:tcPr/>
          <w:p>
            <w:pPr>
              <w:pStyle w:val="Compact"/>
            </w:pPr>
            <w:r>
              <w:t xml:space="preserve">FR-AI-007</w:t>
            </w:r>
          </w:p>
        </w:tc>
        <w:tc>
          <w:tcPr/>
          <w:p>
            <w:pPr>
              <w:pStyle w:val="Compact"/>
            </w:pPr>
            <w:r>
              <w:t xml:space="preserve">V1</w:t>
            </w:r>
          </w:p>
        </w:tc>
        <w:tc>
          <w:tcPr/>
          <w:p>
            <w:pPr>
              <w:pStyle w:val="Compact"/>
            </w:pPr>
            <w:r>
              <w:t xml:space="preserve">BG-003</w:t>
            </w:r>
          </w:p>
        </w:tc>
        <w:tc>
          <w:tcPr/>
          <w:p>
            <w:pPr>
              <w:pStyle w:val="Compact"/>
            </w:pPr>
            <w:r>
              <w:t xml:space="preserve">ReadingPlanPipelineTests</w:t>
            </w:r>
          </w:p>
        </w:tc>
        <w:tc>
          <w:tcPr/>
          <w:p>
            <w:pPr>
              <w:pStyle w:val="Compact"/>
            </w:pPr>
            <w:r>
              <w:t xml:space="preserve">Code/test evidence</w:t>
            </w:r>
          </w:p>
        </w:tc>
      </w:tr>
      <w:tr>
        <w:trPr>
          <w:cantSplit/>
        </w:trPr>
        <w:tc>
          <w:tcPr/>
          <w:p>
            <w:pPr>
              <w:pStyle w:val="Compact"/>
            </w:pPr>
            <w:r>
              <w:t xml:space="preserve">FR-AI-008</w:t>
            </w:r>
          </w:p>
        </w:tc>
        <w:tc>
          <w:tcPr/>
          <w:p>
            <w:pPr>
              <w:pStyle w:val="Compact"/>
            </w:pPr>
            <w:r>
              <w:t xml:space="preserve">V2</w:t>
            </w:r>
          </w:p>
        </w:tc>
        <w:tc>
          <w:tcPr/>
          <w:p>
            <w:pPr>
              <w:pStyle w:val="Compact"/>
            </w:pPr>
            <w:r>
              <w:t xml:space="preserve">BG-003</w:t>
            </w:r>
          </w:p>
        </w:tc>
        <w:tc>
          <w:tcPr/>
          <w:p>
            <w:pPr>
              <w:pStyle w:val="Compact"/>
            </w:pPr>
            <w:r>
              <w:t xml:space="preserve">TC-AI-008 (planned)</w:t>
            </w:r>
          </w:p>
        </w:tc>
        <w:tc>
          <w:tcPr/>
          <w:p>
            <w:pPr>
              <w:pStyle w:val="Compact"/>
            </w:pPr>
            <w:r>
              <w:t xml:space="preserve">Not started</w:t>
            </w:r>
          </w:p>
        </w:tc>
      </w:tr>
      <w:tr>
        <w:trPr>
          <w:cantSplit/>
        </w:trPr>
        <w:tc>
          <w:tcPr/>
          <w:p>
            <w:pPr>
              <w:pStyle w:val="Compact"/>
            </w:pPr>
            <w:r>
              <w:t xml:space="preserve">FR-AI-009</w:t>
            </w:r>
          </w:p>
        </w:tc>
        <w:tc>
          <w:tcPr/>
          <w:p>
            <w:pPr>
              <w:pStyle w:val="Compact"/>
            </w:pPr>
            <w:r>
              <w:t xml:space="preserve">V1</w:t>
            </w:r>
          </w:p>
        </w:tc>
        <w:tc>
          <w:tcPr/>
          <w:p>
            <w:pPr>
              <w:pStyle w:val="Compact"/>
            </w:pPr>
            <w:r>
              <w:t xml:space="preserve">BG-005</w:t>
            </w:r>
          </w:p>
        </w:tc>
        <w:tc>
          <w:tcPr/>
          <w:p>
            <w:pPr>
              <w:pStyle w:val="Compact"/>
            </w:pPr>
            <w:r>
              <w:t xml:space="preserve">AiPersistenceTests, EmbeddingErasureTests</w:t>
            </w:r>
          </w:p>
        </w:tc>
        <w:tc>
          <w:tcPr/>
          <w:p>
            <w:pPr>
              <w:pStyle w:val="Compact"/>
            </w:pPr>
            <w:r>
              <w:t xml:space="preserve">Code/test evidence</w:t>
            </w:r>
          </w:p>
        </w:tc>
      </w:tr>
      <w:tr>
        <w:trPr>
          <w:cantSplit/>
        </w:trPr>
        <w:tc>
          <w:tcPr/>
          <w:p>
            <w:pPr>
              <w:pStyle w:val="Compact"/>
            </w:pPr>
            <w:r>
              <w:t xml:space="preserve">FR-AI-010</w:t>
            </w:r>
          </w:p>
        </w:tc>
        <w:tc>
          <w:tcPr/>
          <w:p>
            <w:pPr>
              <w:pStyle w:val="Compact"/>
            </w:pPr>
            <w:r>
              <w:t xml:space="preserve">V1</w:t>
            </w:r>
          </w:p>
        </w:tc>
        <w:tc>
          <w:tcPr/>
          <w:p>
            <w:pPr>
              <w:pStyle w:val="Compact"/>
            </w:pPr>
            <w:r>
              <w:t xml:space="preserve">BG-003, BG-005</w:t>
            </w:r>
          </w:p>
        </w:tc>
        <w:tc>
          <w:tcPr/>
          <w:p>
            <w:pPr>
              <w:pStyle w:val="Compact"/>
            </w:pPr>
            <w:r>
              <w:t xml:space="preserve">AiGatewayTests</w:t>
            </w:r>
          </w:p>
        </w:tc>
        <w:tc>
          <w:tcPr/>
          <w:p>
            <w:pPr>
              <w:pStyle w:val="Compact"/>
            </w:pPr>
            <w:r>
              <w:t xml:space="preserve">Code/test evidence</w:t>
            </w:r>
          </w:p>
        </w:tc>
      </w:tr>
      <w:tr>
        <w:trPr>
          <w:cantSplit/>
        </w:trPr>
        <w:tc>
          <w:tcPr/>
          <w:p>
            <w:pPr>
              <w:pStyle w:val="Compact"/>
            </w:pPr>
            <w:r>
              <w:t xml:space="preserve">FR-AI-011</w:t>
            </w:r>
          </w:p>
        </w:tc>
        <w:tc>
          <w:tcPr/>
          <w:p>
            <w:pPr>
              <w:pStyle w:val="Compact"/>
            </w:pPr>
            <w:r>
              <w:t xml:space="preserve">V1</w:t>
            </w:r>
          </w:p>
        </w:tc>
        <w:tc>
          <w:tcPr/>
          <w:p>
            <w:pPr>
              <w:pStyle w:val="Compact"/>
            </w:pPr>
            <w:r>
              <w:t xml:space="preserve">BG-005</w:t>
            </w:r>
          </w:p>
        </w:tc>
        <w:tc>
          <w:tcPr/>
          <w:p>
            <w:pPr>
              <w:pStyle w:val="Compact"/>
            </w:pPr>
            <w:r>
              <w:t xml:space="preserve">PrivacyCenterViewModelTests</w:t>
            </w:r>
          </w:p>
        </w:tc>
        <w:tc>
          <w:tcPr/>
          <w:p>
            <w:pPr>
              <w:pStyle w:val="Compact"/>
            </w:pPr>
            <w:r>
              <w:t xml:space="preserve">Code/test evidence</w:t>
            </w:r>
          </w:p>
        </w:tc>
      </w:tr>
      <w:tr>
        <w:trPr>
          <w:cantSplit/>
        </w:trPr>
        <w:tc>
          <w:tcPr/>
          <w:p>
            <w:pPr>
              <w:pStyle w:val="Compact"/>
            </w:pPr>
            <w:r>
              <w:t xml:space="preserve">FR-LAN-001</w:t>
            </w:r>
          </w:p>
        </w:tc>
        <w:tc>
          <w:tcPr/>
          <w:p>
            <w:pPr>
              <w:pStyle w:val="Compact"/>
            </w:pPr>
            <w:r>
              <w:t xml:space="preserve">V2</w:t>
            </w:r>
          </w:p>
        </w:tc>
        <w:tc>
          <w:tcPr/>
          <w:p>
            <w:pPr>
              <w:pStyle w:val="Compact"/>
            </w:pPr>
            <w:r>
              <w:t xml:space="preserve">BG-002, BG-005</w:t>
            </w:r>
          </w:p>
        </w:tc>
        <w:tc>
          <w:tcPr/>
          <w:p>
            <w:pPr>
              <w:pStyle w:val="Compact"/>
            </w:pPr>
            <w:r>
              <w:t xml:space="preserve">LanHostScaffoldTests, LanBindAddressSelectorTests</w:t>
            </w:r>
          </w:p>
        </w:tc>
        <w:tc>
          <w:tcPr/>
          <w:p>
            <w:pPr>
              <w:pStyle w:val="Compact"/>
            </w:pPr>
            <w:r>
              <w:t xml:space="preserve">Code/test evidence</w:t>
            </w:r>
          </w:p>
        </w:tc>
      </w:tr>
      <w:tr>
        <w:trPr>
          <w:cantSplit/>
        </w:trPr>
        <w:tc>
          <w:tcPr/>
          <w:p>
            <w:pPr>
              <w:pStyle w:val="Compact"/>
            </w:pPr>
            <w:r>
              <w:t xml:space="preserve">FR-LAN-002</w:t>
            </w:r>
          </w:p>
        </w:tc>
        <w:tc>
          <w:tcPr/>
          <w:p>
            <w:pPr>
              <w:pStyle w:val="Compact"/>
            </w:pPr>
            <w:r>
              <w:t xml:space="preserve">V2</w:t>
            </w:r>
          </w:p>
        </w:tc>
        <w:tc>
          <w:tcPr/>
          <w:p>
            <w:pPr>
              <w:pStyle w:val="Compact"/>
            </w:pPr>
            <w:r>
              <w:t xml:space="preserve">BG-002, BG-005</w:t>
            </w:r>
          </w:p>
        </w:tc>
        <w:tc>
          <w:tcPr/>
          <w:p>
            <w:pPr>
              <w:pStyle w:val="Compact"/>
            </w:pPr>
            <w:r>
              <w:t xml:space="preserve">LanHostEndpointTests, LanClientAddressPolicyTests</w:t>
            </w:r>
          </w:p>
        </w:tc>
        <w:tc>
          <w:tcPr/>
          <w:p>
            <w:pPr>
              <w:pStyle w:val="Compact"/>
            </w:pPr>
            <w:r>
              <w:t xml:space="preserve">Code/test evidence</w:t>
            </w:r>
          </w:p>
        </w:tc>
      </w:tr>
      <w:tr>
        <w:trPr>
          <w:cantSplit/>
        </w:trPr>
        <w:tc>
          <w:tcPr/>
          <w:p>
            <w:pPr>
              <w:pStyle w:val="Compact"/>
            </w:pPr>
            <w:r>
              <w:t xml:space="preserve">FR-LAN-003</w:t>
            </w:r>
          </w:p>
        </w:tc>
        <w:tc>
          <w:tcPr/>
          <w:p>
            <w:pPr>
              <w:pStyle w:val="Compact"/>
            </w:pPr>
            <w:r>
              <w:t xml:space="preserve">V2</w:t>
            </w:r>
          </w:p>
        </w:tc>
        <w:tc>
          <w:tcPr/>
          <w:p>
            <w:pPr>
              <w:pStyle w:val="Compact"/>
            </w:pPr>
            <w:r>
              <w:t xml:space="preserve">BG-002</w:t>
            </w:r>
          </w:p>
        </w:tc>
        <w:tc>
          <w:tcPr/>
          <w:p>
            <w:pPr>
              <w:pStyle w:val="Compact"/>
            </w:pPr>
            <w:r>
              <w:t xml:space="preserve">MdnsAdvertiserTests, MdnsResolverTests</w:t>
            </w:r>
          </w:p>
        </w:tc>
        <w:tc>
          <w:tcPr/>
          <w:p>
            <w:pPr>
              <w:pStyle w:val="Compact"/>
            </w:pPr>
            <w:r>
              <w:t xml:space="preserve">Code/test evidence</w:t>
            </w:r>
          </w:p>
        </w:tc>
      </w:tr>
      <w:tr>
        <w:trPr>
          <w:cantSplit/>
        </w:trPr>
        <w:tc>
          <w:tcPr/>
          <w:p>
            <w:pPr>
              <w:pStyle w:val="Compact"/>
            </w:pPr>
            <w:r>
              <w:t xml:space="preserve">FR-LAN-004</w:t>
            </w:r>
          </w:p>
        </w:tc>
        <w:tc>
          <w:tcPr/>
          <w:p>
            <w:pPr>
              <w:pStyle w:val="Compact"/>
            </w:pPr>
            <w:r>
              <w:t xml:space="preserve">V2</w:t>
            </w:r>
          </w:p>
        </w:tc>
        <w:tc>
          <w:tcPr/>
          <w:p>
            <w:pPr>
              <w:pStyle w:val="Compact"/>
            </w:pPr>
            <w:r>
              <w:t xml:space="preserve">BG-005</w:t>
            </w:r>
          </w:p>
        </w:tc>
        <w:tc>
          <w:tcPr/>
          <w:p>
            <w:pPr>
              <w:pStyle w:val="Compact"/>
            </w:pPr>
            <w:r>
              <w:t xml:space="preserve">LanHostCertificateProvisionerTests, HostTrustServiceTests</w:t>
            </w:r>
          </w:p>
        </w:tc>
        <w:tc>
          <w:tcPr/>
          <w:p>
            <w:pPr>
              <w:pStyle w:val="Compact"/>
            </w:pPr>
            <w:r>
              <w:t xml:space="preserve">Code/test evidence</w:t>
            </w:r>
          </w:p>
        </w:tc>
      </w:tr>
      <w:tr>
        <w:trPr>
          <w:cantSplit/>
        </w:trPr>
        <w:tc>
          <w:tcPr/>
          <w:p>
            <w:pPr>
              <w:pStyle w:val="Compact"/>
            </w:pPr>
            <w:r>
              <w:t xml:space="preserve">FR-LAN-005</w:t>
            </w:r>
          </w:p>
        </w:tc>
        <w:tc>
          <w:tcPr/>
          <w:p>
            <w:pPr>
              <w:pStyle w:val="Compact"/>
            </w:pPr>
            <w:r>
              <w:t xml:space="preserve">V2</w:t>
            </w:r>
          </w:p>
        </w:tc>
        <w:tc>
          <w:tcPr/>
          <w:p>
            <w:pPr>
              <w:pStyle w:val="Compact"/>
            </w:pPr>
            <w:r>
              <w:t xml:space="preserve">BG-005</w:t>
            </w:r>
          </w:p>
        </w:tc>
        <w:tc>
          <w:tcPr/>
          <w:p>
            <w:pPr>
              <w:pStyle w:val="Compact"/>
            </w:pPr>
            <w:r>
              <w:t xml:space="preserve">ClassroomJoinParserTests, ClassroomCredentialStoreTests</w:t>
            </w:r>
          </w:p>
        </w:tc>
        <w:tc>
          <w:tcPr/>
          <w:p>
            <w:pPr>
              <w:pStyle w:val="Compact"/>
            </w:pPr>
            <w:r>
              <w:t xml:space="preserve">Code/test evidence</w:t>
            </w:r>
          </w:p>
        </w:tc>
      </w:tr>
      <w:tr>
        <w:trPr>
          <w:cantSplit/>
        </w:trPr>
        <w:tc>
          <w:tcPr/>
          <w:p>
            <w:pPr>
              <w:pStyle w:val="Compact"/>
            </w:pPr>
            <w:r>
              <w:t xml:space="preserve">FR-LAN-006</w:t>
            </w:r>
          </w:p>
        </w:tc>
        <w:tc>
          <w:tcPr/>
          <w:p>
            <w:pPr>
              <w:pStyle w:val="Compact"/>
            </w:pPr>
            <w:r>
              <w:t xml:space="preserve">V2</w:t>
            </w:r>
          </w:p>
        </w:tc>
        <w:tc>
          <w:tcPr/>
          <w:p>
            <w:pPr>
              <w:pStyle w:val="Compact"/>
            </w:pPr>
            <w:r>
              <w:t xml:space="preserve">BG-002, BG-005</w:t>
            </w:r>
          </w:p>
        </w:tc>
        <w:tc>
          <w:tcPr/>
          <w:p>
            <w:pPr>
              <w:pStyle w:val="Compact"/>
            </w:pPr>
            <w:r>
              <w:t xml:space="preserve">LanBookFileResolverTests, LanPageRenderLimiterTests</w:t>
            </w:r>
          </w:p>
        </w:tc>
        <w:tc>
          <w:tcPr/>
          <w:p>
            <w:pPr>
              <w:pStyle w:val="Compact"/>
            </w:pPr>
            <w:r>
              <w:t xml:space="preserve">Code/test evidence</w:t>
            </w:r>
          </w:p>
        </w:tc>
      </w:tr>
      <w:tr>
        <w:trPr>
          <w:cantSplit/>
        </w:trPr>
        <w:tc>
          <w:tcPr/>
          <w:p>
            <w:pPr>
              <w:pStyle w:val="Compact"/>
            </w:pPr>
            <w:r>
              <w:t xml:space="preserve">FR-LAN-007</w:t>
            </w:r>
          </w:p>
        </w:tc>
        <w:tc>
          <w:tcPr/>
          <w:p>
            <w:pPr>
              <w:pStyle w:val="Compact"/>
            </w:pPr>
            <w:r>
              <w:t xml:space="preserve">V2</w:t>
            </w:r>
          </w:p>
        </w:tc>
        <w:tc>
          <w:tcPr/>
          <w:p>
            <w:pPr>
              <w:pStyle w:val="Compact"/>
            </w:pPr>
            <w:r>
              <w:t xml:space="preserve">BG-005</w:t>
            </w:r>
          </w:p>
        </w:tc>
        <w:tc>
          <w:tcPr/>
          <w:p>
            <w:pPr>
              <w:pStyle w:val="Compact"/>
            </w:pPr>
            <w:r>
              <w:t xml:space="preserve">LanHostPersistenceTests, HostSharingViewModelTests</w:t>
            </w:r>
          </w:p>
        </w:tc>
        <w:tc>
          <w:tcPr/>
          <w:p>
            <w:pPr>
              <w:pStyle w:val="Compact"/>
            </w:pPr>
            <w:r>
              <w:t xml:space="preserve">Code/test evidence</w:t>
            </w:r>
          </w:p>
        </w:tc>
      </w:tr>
      <w:tr>
        <w:trPr>
          <w:cantSplit/>
        </w:trPr>
        <w:tc>
          <w:tcPr/>
          <w:p>
            <w:pPr>
              <w:pStyle w:val="Compact"/>
            </w:pPr>
            <w:r>
              <w:t xml:space="preserve">FR-LAN-008</w:t>
            </w:r>
          </w:p>
        </w:tc>
        <w:tc>
          <w:tcPr/>
          <w:p>
            <w:pPr>
              <w:pStyle w:val="Compact"/>
            </w:pPr>
            <w:r>
              <w:t xml:space="preserve">V2</w:t>
            </w:r>
          </w:p>
        </w:tc>
        <w:tc>
          <w:tcPr/>
          <w:p>
            <w:pPr>
              <w:pStyle w:val="Compact"/>
            </w:pPr>
            <w:r>
              <w:t xml:space="preserve">BG-002, BG-004</w:t>
            </w:r>
          </w:p>
        </w:tc>
        <w:tc>
          <w:tcPr/>
          <w:p>
            <w:pPr>
              <w:pStyle w:val="Compact"/>
            </w:pPr>
            <w:r>
              <w:t xml:space="preserve">ClassroomConnectionServiceTests, OfflineCacheServiceTests</w:t>
            </w:r>
          </w:p>
        </w:tc>
        <w:tc>
          <w:tcPr/>
          <w:p>
            <w:pPr>
              <w:pStyle w:val="Compact"/>
            </w:pPr>
            <w:r>
              <w:t xml:space="preserve">Code/test evidence</w:t>
            </w:r>
          </w:p>
        </w:tc>
      </w:tr>
      <w:tr>
        <w:trPr>
          <w:cantSplit/>
        </w:trPr>
        <w:tc>
          <w:tcPr/>
          <w:p>
            <w:pPr>
              <w:pStyle w:val="Compact"/>
            </w:pPr>
            <w:r>
              <w:t xml:space="preserve">FR-LAN-009</w:t>
            </w:r>
          </w:p>
        </w:tc>
        <w:tc>
          <w:tcPr/>
          <w:p>
            <w:pPr>
              <w:pStyle w:val="Compact"/>
            </w:pPr>
            <w:r>
              <w:t xml:space="preserve">V2</w:t>
            </w:r>
          </w:p>
        </w:tc>
        <w:tc>
          <w:tcPr/>
          <w:p>
            <w:pPr>
              <w:pStyle w:val="Compact"/>
            </w:pPr>
            <w:r>
              <w:t xml:space="preserve">BG-005</w:t>
            </w:r>
          </w:p>
        </w:tc>
        <w:tc>
          <w:tcPr/>
          <w:p>
            <w:pPr>
              <w:pStyle w:val="Compact"/>
            </w:pPr>
            <w:r>
              <w:t xml:space="preserve">SchoolAdminCatalogueServiceTests, LanBookFileResolverTests</w:t>
            </w:r>
          </w:p>
        </w:tc>
        <w:tc>
          <w:tcPr/>
          <w:p>
            <w:pPr>
              <w:pStyle w:val="Compact"/>
            </w:pPr>
            <w:r>
              <w:t xml:space="preserve">Code/test evidence</w:t>
            </w:r>
          </w:p>
        </w:tc>
      </w:tr>
      <w:tr>
        <w:trPr>
          <w:cantSplit/>
        </w:trPr>
        <w:tc>
          <w:tcPr/>
          <w:p>
            <w:pPr>
              <w:pStyle w:val="Compact"/>
            </w:pPr>
            <w:r>
              <w:t xml:space="preserve">FR-LAN-010</w:t>
            </w:r>
          </w:p>
        </w:tc>
        <w:tc>
          <w:tcPr/>
          <w:p>
            <w:pPr>
              <w:pStyle w:val="Compact"/>
            </w:pPr>
            <w:r>
              <w:t xml:space="preserve">V2</w:t>
            </w:r>
          </w:p>
        </w:tc>
        <w:tc>
          <w:tcPr/>
          <w:p>
            <w:pPr>
              <w:pStyle w:val="Compact"/>
            </w:pPr>
            <w:r>
              <w:t xml:space="preserve">BG-005</w:t>
            </w:r>
          </w:p>
        </w:tc>
        <w:tc>
          <w:tcPr/>
          <w:p>
            <w:pPr>
              <w:pStyle w:val="Compact"/>
            </w:pPr>
            <w:r>
              <w:t xml:space="preserve">AuditRepositoryTests, LanHostEndpointTests</w:t>
            </w:r>
          </w:p>
        </w:tc>
        <w:tc>
          <w:tcPr/>
          <w:p>
            <w:pPr>
              <w:pStyle w:val="Compact"/>
            </w:pPr>
            <w:r>
              <w:t xml:space="preserve">Code/test evidence</w:t>
            </w:r>
          </w:p>
        </w:tc>
      </w:tr>
      <w:tr>
        <w:trPr>
          <w:cantSplit/>
        </w:trPr>
        <w:tc>
          <w:tcPr/>
          <w:p>
            <w:pPr>
              <w:pStyle w:val="Compact"/>
            </w:pPr>
            <w:r>
              <w:t xml:space="preserve">FR-CLIENT-001</w:t>
            </w:r>
          </w:p>
        </w:tc>
        <w:tc>
          <w:tcPr/>
          <w:p>
            <w:pPr>
              <w:pStyle w:val="Compact"/>
            </w:pPr>
            <w:r>
              <w:t xml:space="preserve">V2</w:t>
            </w:r>
          </w:p>
        </w:tc>
        <w:tc>
          <w:tcPr/>
          <w:p>
            <w:pPr>
              <w:pStyle w:val="Compact"/>
            </w:pPr>
            <w:r>
              <w:t xml:space="preserve">BG-001, BG-002</w:t>
            </w:r>
          </w:p>
        </w:tc>
        <w:tc>
          <w:tcPr/>
          <w:p>
            <w:pPr>
              <w:pStyle w:val="Compact"/>
            </w:pPr>
            <w:r>
              <w:t xml:space="preserve">ClassroomConnectionServiceTests, ClassroomCatalogueReadModelTests</w:t>
            </w:r>
          </w:p>
        </w:tc>
        <w:tc>
          <w:tcPr/>
          <w:p>
            <w:pPr>
              <w:pStyle w:val="Compact"/>
            </w:pPr>
            <w:r>
              <w:t xml:space="preserve">Code/test evidence</w:t>
            </w:r>
          </w:p>
        </w:tc>
      </w:tr>
      <w:tr>
        <w:trPr>
          <w:cantSplit/>
        </w:trPr>
        <w:tc>
          <w:tcPr/>
          <w:p>
            <w:pPr>
              <w:pStyle w:val="Compact"/>
            </w:pPr>
            <w:r>
              <w:t xml:space="preserve">FR-CLIENT-002</w:t>
            </w:r>
          </w:p>
        </w:tc>
        <w:tc>
          <w:tcPr/>
          <w:p>
            <w:pPr>
              <w:pStyle w:val="Compact"/>
            </w:pPr>
            <w:r>
              <w:t xml:space="preserve">V2</w:t>
            </w:r>
          </w:p>
        </w:tc>
        <w:tc>
          <w:tcPr/>
          <w:p>
            <w:pPr>
              <w:pStyle w:val="Compact"/>
            </w:pPr>
            <w:r>
              <w:t xml:space="preserve">BG-002, BG-005</w:t>
            </w:r>
          </w:p>
        </w:tc>
        <w:tc>
          <w:tcPr/>
          <w:p>
            <w:pPr>
              <w:pStyle w:val="Compact"/>
            </w:pPr>
            <w:r>
              <w:t xml:space="preserve">ProfileServiceTests, StudentPrivateRepositoryTests</w:t>
            </w:r>
          </w:p>
        </w:tc>
        <w:tc>
          <w:tcPr/>
          <w:p>
            <w:pPr>
              <w:pStyle w:val="Compact"/>
            </w:pPr>
            <w:r>
              <w:t xml:space="preserve">Code/test evidence</w:t>
            </w:r>
          </w:p>
        </w:tc>
      </w:tr>
      <w:tr>
        <w:trPr>
          <w:cantSplit/>
        </w:trPr>
        <w:tc>
          <w:tcPr/>
          <w:p>
            <w:pPr>
              <w:pStyle w:val="Compact"/>
            </w:pPr>
            <w:r>
              <w:t xml:space="preserve">FR-CLIENT-003</w:t>
            </w:r>
          </w:p>
        </w:tc>
        <w:tc>
          <w:tcPr/>
          <w:p>
            <w:pPr>
              <w:pStyle w:val="Compact"/>
            </w:pPr>
            <w:r>
              <w:t xml:space="preserve">V2</w:t>
            </w:r>
          </w:p>
        </w:tc>
        <w:tc>
          <w:tcPr/>
          <w:p>
            <w:pPr>
              <w:pStyle w:val="Compact"/>
            </w:pPr>
            <w:r>
              <w:t xml:space="preserve">BG-005</w:t>
            </w:r>
          </w:p>
        </w:tc>
        <w:tc>
          <w:tcPr/>
          <w:p>
            <w:pPr>
              <w:pStyle w:val="Compact"/>
            </w:pPr>
            <w:r>
              <w:t xml:space="preserve">ProfileServiceTests</w:t>
            </w:r>
          </w:p>
        </w:tc>
        <w:tc>
          <w:tcPr/>
          <w:p>
            <w:pPr>
              <w:pStyle w:val="Compact"/>
            </w:pPr>
            <w:r>
              <w:t xml:space="preserve">Code/test evidence</w:t>
            </w:r>
          </w:p>
        </w:tc>
      </w:tr>
      <w:tr>
        <w:trPr>
          <w:cantSplit/>
        </w:trPr>
        <w:tc>
          <w:tcPr/>
          <w:p>
            <w:pPr>
              <w:pStyle w:val="Compact"/>
            </w:pPr>
            <w:r>
              <w:t xml:space="preserve">FR-CLIENT-004</w:t>
            </w:r>
          </w:p>
        </w:tc>
        <w:tc>
          <w:tcPr/>
          <w:p>
            <w:pPr>
              <w:pStyle w:val="Compact"/>
            </w:pPr>
            <w:r>
              <w:t xml:space="preserve">V2</w:t>
            </w:r>
          </w:p>
        </w:tc>
        <w:tc>
          <w:tcPr/>
          <w:p>
            <w:pPr>
              <w:pStyle w:val="Compact"/>
            </w:pPr>
            <w:r>
              <w:t xml:space="preserve">BG-002, BG-004</w:t>
            </w:r>
          </w:p>
        </w:tc>
        <w:tc>
          <w:tcPr/>
          <w:p>
            <w:pPr>
              <w:pStyle w:val="Compact"/>
            </w:pPr>
            <w:r>
              <w:t xml:space="preserve">ClassroomBookFileLocatorTests, ClassroomBookFileMaterializerTests</w:t>
            </w:r>
          </w:p>
        </w:tc>
        <w:tc>
          <w:tcPr/>
          <w:p>
            <w:pPr>
              <w:pStyle w:val="Compact"/>
            </w:pPr>
            <w:r>
              <w:t xml:space="preserve">Code/test evidence</w:t>
            </w:r>
          </w:p>
        </w:tc>
      </w:tr>
      <w:tr>
        <w:trPr>
          <w:cantSplit/>
        </w:trPr>
        <w:tc>
          <w:tcPr/>
          <w:p>
            <w:pPr>
              <w:pStyle w:val="Compact"/>
            </w:pPr>
            <w:r>
              <w:t xml:space="preserve">FR-CLIENT-005</w:t>
            </w:r>
          </w:p>
        </w:tc>
        <w:tc>
          <w:tcPr/>
          <w:p>
            <w:pPr>
              <w:pStyle w:val="Compact"/>
            </w:pPr>
            <w:r>
              <w:t xml:space="preserve">V2</w:t>
            </w:r>
          </w:p>
        </w:tc>
        <w:tc>
          <w:tcPr/>
          <w:p>
            <w:pPr>
              <w:pStyle w:val="Compact"/>
            </w:pPr>
            <w:r>
              <w:t xml:space="preserve">BG-002</w:t>
            </w:r>
          </w:p>
        </w:tc>
        <w:tc>
          <w:tcPr/>
          <w:p>
            <w:pPr>
              <w:pStyle w:val="Compact"/>
            </w:pPr>
            <w:r>
              <w:t xml:space="preserve">OfflineCacheServiceTests, CachingLibraryHostClientTests</w:t>
            </w:r>
          </w:p>
        </w:tc>
        <w:tc>
          <w:tcPr/>
          <w:p>
            <w:pPr>
              <w:pStyle w:val="Compact"/>
            </w:pPr>
            <w:r>
              <w:t xml:space="preserve">Code/test evidence</w:t>
            </w:r>
          </w:p>
        </w:tc>
      </w:tr>
      <w:tr>
        <w:trPr>
          <w:cantSplit/>
        </w:trPr>
        <w:tc>
          <w:tcPr/>
          <w:p>
            <w:pPr>
              <w:pStyle w:val="Compact"/>
            </w:pPr>
            <w:r>
              <w:t xml:space="preserve">FR-CLIENT-006</w:t>
            </w:r>
          </w:p>
        </w:tc>
        <w:tc>
          <w:tcPr/>
          <w:p>
            <w:pPr>
              <w:pStyle w:val="Compact"/>
            </w:pPr>
            <w:r>
              <w:t xml:space="preserve">V2</w:t>
            </w:r>
          </w:p>
        </w:tc>
        <w:tc>
          <w:tcPr/>
          <w:p>
            <w:pPr>
              <w:pStyle w:val="Compact"/>
            </w:pPr>
            <w:r>
              <w:t xml:space="preserve">BG-002, BG-004</w:t>
            </w:r>
          </w:p>
        </w:tc>
        <w:tc>
          <w:tcPr/>
          <w:p>
            <w:pPr>
              <w:pStyle w:val="Compact"/>
            </w:pPr>
            <w:r>
              <w:t xml:space="preserve">ClassroomSyncServiceTests, ClassroomSyncBlobCodecTests</w:t>
            </w:r>
          </w:p>
        </w:tc>
        <w:tc>
          <w:tcPr/>
          <w:p>
            <w:pPr>
              <w:pStyle w:val="Compact"/>
            </w:pPr>
            <w:r>
              <w:t xml:space="preserve">Code/test evidence</w:t>
            </w:r>
          </w:p>
        </w:tc>
      </w:tr>
      <w:tr>
        <w:trPr>
          <w:cantSplit/>
        </w:trPr>
        <w:tc>
          <w:tcPr/>
          <w:p>
            <w:pPr>
              <w:pStyle w:val="Compact"/>
            </w:pPr>
            <w:r>
              <w:t xml:space="preserve">FR-CLIENT-007</w:t>
            </w:r>
          </w:p>
        </w:tc>
        <w:tc>
          <w:tcPr/>
          <w:p>
            <w:pPr>
              <w:pStyle w:val="Compact"/>
            </w:pPr>
            <w:r>
              <w:t xml:space="preserve">V2</w:t>
            </w:r>
          </w:p>
        </w:tc>
        <w:tc>
          <w:tcPr/>
          <w:p>
            <w:pPr>
              <w:pStyle w:val="Compact"/>
            </w:pPr>
            <w:r>
              <w:t xml:space="preserve">BG-002, BG-003</w:t>
            </w:r>
          </w:p>
        </w:tc>
        <w:tc>
          <w:tcPr/>
          <w:p>
            <w:pPr>
              <w:pStyle w:val="Compact"/>
            </w:pPr>
            <w:r>
              <w:t xml:space="preserve">StudentSmartSearchViewModelTests</w:t>
            </w:r>
          </w:p>
        </w:tc>
        <w:tc>
          <w:tcPr/>
          <w:p>
            <w:pPr>
              <w:pStyle w:val="Compact"/>
            </w:pPr>
            <w:r>
              <w:t xml:space="preserve">Code/test evidence</w:t>
            </w:r>
          </w:p>
        </w:tc>
      </w:tr>
      <w:tr>
        <w:trPr>
          <w:cantSplit/>
        </w:trPr>
        <w:tc>
          <w:tcPr/>
          <w:p>
            <w:pPr>
              <w:pStyle w:val="Compact"/>
            </w:pPr>
            <w:r>
              <w:t xml:space="preserve">FR-CLIENT-008</w:t>
            </w:r>
          </w:p>
        </w:tc>
        <w:tc>
          <w:tcPr/>
          <w:p>
            <w:pPr>
              <w:pStyle w:val="Compact"/>
            </w:pPr>
            <w:r>
              <w:t xml:space="preserve">V2</w:t>
            </w:r>
          </w:p>
        </w:tc>
        <w:tc>
          <w:tcPr/>
          <w:p>
            <w:pPr>
              <w:pStyle w:val="Compact"/>
            </w:pPr>
            <w:r>
              <w:t xml:space="preserve">BG-005</w:t>
            </w:r>
          </w:p>
        </w:tc>
        <w:tc>
          <w:tcPr/>
          <w:p>
            <w:pPr>
              <w:pStyle w:val="Compact"/>
            </w:pPr>
            <w:r>
              <w:t xml:space="preserve">StudentPrivateRepositoryTests</w:t>
            </w:r>
          </w:p>
        </w:tc>
        <w:tc>
          <w:tcPr/>
          <w:p>
            <w:pPr>
              <w:pStyle w:val="Compact"/>
            </w:pPr>
            <w:r>
              <w:t xml:space="preserve">Code/test evidence</w:t>
            </w:r>
          </w:p>
        </w:tc>
      </w:tr>
      <w:tr>
        <w:trPr>
          <w:cantSplit/>
        </w:trPr>
        <w:tc>
          <w:tcPr/>
          <w:p>
            <w:pPr>
              <w:pStyle w:val="Compact"/>
            </w:pPr>
            <w:r>
              <w:t xml:space="preserve">FR-CLIENT-009</w:t>
            </w:r>
          </w:p>
        </w:tc>
        <w:tc>
          <w:tcPr/>
          <w:p>
            <w:pPr>
              <w:pStyle w:val="Compact"/>
            </w:pPr>
            <w:r>
              <w:t xml:space="preserve">V2</w:t>
            </w:r>
          </w:p>
        </w:tc>
        <w:tc>
          <w:tcPr/>
          <w:p>
            <w:pPr>
              <w:pStyle w:val="Compact"/>
            </w:pPr>
            <w:r>
              <w:t xml:space="preserve">BG-004, BG-005</w:t>
            </w:r>
          </w:p>
        </w:tc>
        <w:tc>
          <w:tcPr/>
          <w:p>
            <w:pPr>
              <w:pStyle w:val="Compact"/>
            </w:pPr>
            <w:r>
              <w:t xml:space="preserve">SchoolProfileEnrollmentServiceTests</w:t>
            </w:r>
          </w:p>
        </w:tc>
        <w:tc>
          <w:tcPr/>
          <w:p>
            <w:pPr>
              <w:pStyle w:val="Compact"/>
            </w:pPr>
            <w:r>
              <w:t xml:space="preserve">Code/test evidence</w:t>
            </w:r>
          </w:p>
        </w:tc>
      </w:tr>
      <w:tr>
        <w:trPr>
          <w:cantSplit/>
        </w:trPr>
        <w:tc>
          <w:tcPr/>
          <w:p>
            <w:pPr>
              <w:pStyle w:val="Compact"/>
            </w:pPr>
            <w:r>
              <w:t xml:space="preserve">FR-CLIENT-010</w:t>
            </w:r>
          </w:p>
        </w:tc>
        <w:tc>
          <w:tcPr/>
          <w:p>
            <w:pPr>
              <w:pStyle w:val="Compact"/>
            </w:pPr>
            <w:r>
              <w:t xml:space="preserve">V2</w:t>
            </w:r>
          </w:p>
        </w:tc>
        <w:tc>
          <w:tcPr/>
          <w:p>
            <w:pPr>
              <w:pStyle w:val="Compact"/>
            </w:pPr>
            <w:r>
              <w:t xml:space="preserve">BG-004</w:t>
            </w:r>
          </w:p>
        </w:tc>
        <w:tc>
          <w:tcPr/>
          <w:p>
            <w:pPr>
              <w:pStyle w:val="Compact"/>
            </w:pPr>
            <w:r>
              <w:t xml:space="preserve">ClassroomModeServiceTests, LibraryHostHttpClientTests</w:t>
            </w:r>
          </w:p>
        </w:tc>
        <w:tc>
          <w:tcPr/>
          <w:p>
            <w:pPr>
              <w:pStyle w:val="Compact"/>
            </w:pPr>
            <w:r>
              <w:t xml:space="preserve">Code/test evidence</w:t>
            </w:r>
          </w:p>
        </w:tc>
      </w:tr>
      <w:tr>
        <w:trPr>
          <w:cantSplit/>
        </w:trPr>
        <w:tc>
          <w:tcPr/>
          <w:p>
            <w:pPr>
              <w:pStyle w:val="Compact"/>
            </w:pPr>
            <w:r>
              <w:t xml:space="preserve">FR-CLIENT-011</w:t>
            </w:r>
          </w:p>
        </w:tc>
        <w:tc>
          <w:tcPr/>
          <w:p>
            <w:pPr>
              <w:pStyle w:val="Compact"/>
            </w:pPr>
            <w:r>
              <w:t xml:space="preserve">V2</w:t>
            </w:r>
          </w:p>
        </w:tc>
        <w:tc>
          <w:tcPr/>
          <w:p>
            <w:pPr>
              <w:pStyle w:val="Compact"/>
            </w:pPr>
            <w:r>
              <w:t xml:space="preserve">BG-002</w:t>
            </w:r>
          </w:p>
        </w:tc>
        <w:tc>
          <w:tcPr/>
          <w:p>
            <w:pPr>
              <w:pStyle w:val="Compact"/>
            </w:pPr>
            <w:r>
              <w:t xml:space="preserve">ClassroomConnectionServiceTests, CachingLibraryHostClientTests</w:t>
            </w:r>
          </w:p>
        </w:tc>
        <w:tc>
          <w:tcPr/>
          <w:p>
            <w:pPr>
              <w:pStyle w:val="Compact"/>
            </w:pPr>
            <w:r>
              <w:t xml:space="preserve">Code/test evidence</w:t>
            </w:r>
          </w:p>
        </w:tc>
      </w:tr>
      <w:tr>
        <w:trPr>
          <w:cantSplit/>
        </w:trPr>
        <w:tc>
          <w:tcPr/>
          <w:p>
            <w:pPr>
              <w:pStyle w:val="Compact"/>
            </w:pPr>
            <w:r>
              <w:t xml:space="preserve">FR-CLIENT-012</w:t>
            </w:r>
          </w:p>
        </w:tc>
        <w:tc>
          <w:tcPr/>
          <w:p>
            <w:pPr>
              <w:pStyle w:val="Compact"/>
            </w:pPr>
            <w:r>
              <w:t xml:space="preserve">V2</w:t>
            </w:r>
          </w:p>
        </w:tc>
        <w:tc>
          <w:tcPr/>
          <w:p>
            <w:pPr>
              <w:pStyle w:val="Compact"/>
            </w:pPr>
            <w:r>
              <w:t xml:space="preserve">BG-002, BG-005</w:t>
            </w:r>
          </w:p>
        </w:tc>
        <w:tc>
          <w:tcPr/>
          <w:p>
            <w:pPr>
              <w:pStyle w:val="Compact"/>
            </w:pPr>
            <w:r>
              <w:t xml:space="preserve">TC-CLIENT-012 (planned)</w:t>
            </w:r>
          </w:p>
        </w:tc>
        <w:tc>
          <w:tcPr/>
          <w:p>
            <w:pPr>
              <w:pStyle w:val="Compact"/>
            </w:pPr>
            <w:r>
              <w:t xml:space="preserve">Code/test evidence</w:t>
            </w:r>
          </w:p>
        </w:tc>
      </w:tr>
      <w:tr>
        <w:trPr>
          <w:cantSplit/>
        </w:trPr>
        <w:tc>
          <w:tcPr/>
          <w:p>
            <w:pPr>
              <w:pStyle w:val="Compact"/>
            </w:pPr>
            <w:r>
              <w:t xml:space="preserve">FR-CLIENT-013</w:t>
            </w:r>
          </w:p>
        </w:tc>
        <w:tc>
          <w:tcPr/>
          <w:p>
            <w:pPr>
              <w:pStyle w:val="Compact"/>
            </w:pPr>
            <w:r>
              <w:t xml:space="preserve">V2</w:t>
            </w:r>
          </w:p>
        </w:tc>
        <w:tc>
          <w:tcPr/>
          <w:p>
            <w:pPr>
              <w:pStyle w:val="Compact"/>
            </w:pPr>
            <w:r>
              <w:t xml:space="preserve">BG-005</w:t>
            </w:r>
          </w:p>
        </w:tc>
        <w:tc>
          <w:tcPr/>
          <w:p>
            <w:pPr>
              <w:pStyle w:val="Compact"/>
            </w:pPr>
            <w:r>
              <w:t xml:space="preserve">TC-CLIENT-013 (planned)</w:t>
            </w:r>
          </w:p>
        </w:tc>
        <w:tc>
          <w:tcPr/>
          <w:p>
            <w:pPr>
              <w:pStyle w:val="Compact"/>
            </w:pPr>
            <w:r>
              <w:t xml:space="preserve">Code/test evidence</w:t>
            </w:r>
          </w:p>
        </w:tc>
      </w:tr>
      <w:tr>
        <w:trPr>
          <w:cantSplit/>
        </w:trPr>
        <w:tc>
          <w:tcPr/>
          <w:p>
            <w:pPr>
              <w:pStyle w:val="Compact"/>
            </w:pPr>
            <w:r>
              <w:t xml:space="preserve">FR-ADMIN-001</w:t>
            </w:r>
          </w:p>
        </w:tc>
        <w:tc>
          <w:tcPr/>
          <w:p>
            <w:pPr>
              <w:pStyle w:val="Compact"/>
            </w:pPr>
            <w:r>
              <w:t xml:space="preserve">V2</w:t>
            </w:r>
          </w:p>
        </w:tc>
        <w:tc>
          <w:tcPr/>
          <w:p>
            <w:pPr>
              <w:pStyle w:val="Compact"/>
            </w:pPr>
            <w:r>
              <w:t xml:space="preserve">BG-001</w:t>
            </w:r>
          </w:p>
        </w:tc>
        <w:tc>
          <w:tcPr/>
          <w:p>
            <w:pPr>
              <w:pStyle w:val="Compact"/>
            </w:pPr>
            <w:r>
              <w:t xml:space="preserve">SchoolAdminCatalogueServiceTests</w:t>
            </w:r>
          </w:p>
        </w:tc>
        <w:tc>
          <w:tcPr/>
          <w:p>
            <w:pPr>
              <w:pStyle w:val="Compact"/>
            </w:pPr>
            <w:r>
              <w:t xml:space="preserve">Code/test evidence</w:t>
            </w:r>
          </w:p>
        </w:tc>
      </w:tr>
      <w:tr>
        <w:trPr>
          <w:cantSplit/>
        </w:trPr>
        <w:tc>
          <w:tcPr/>
          <w:p>
            <w:pPr>
              <w:pStyle w:val="Compact"/>
            </w:pPr>
            <w:r>
              <w:t xml:space="preserve">FR-ADMIN-002</w:t>
            </w:r>
          </w:p>
        </w:tc>
        <w:tc>
          <w:tcPr/>
          <w:p>
            <w:pPr>
              <w:pStyle w:val="Compact"/>
            </w:pPr>
            <w:r>
              <w:t xml:space="preserve">V2</w:t>
            </w:r>
          </w:p>
        </w:tc>
        <w:tc>
          <w:tcPr/>
          <w:p>
            <w:pPr>
              <w:pStyle w:val="Compact"/>
            </w:pPr>
            <w:r>
              <w:t xml:space="preserve">BG-001, BG-002</w:t>
            </w:r>
          </w:p>
        </w:tc>
        <w:tc>
          <w:tcPr/>
          <w:p>
            <w:pPr>
              <w:pStyle w:val="Compact"/>
            </w:pPr>
            <w:r>
              <w:t xml:space="preserve">SchoolAdminCatalogueServiceTests</w:t>
            </w:r>
          </w:p>
        </w:tc>
        <w:tc>
          <w:tcPr/>
          <w:p>
            <w:pPr>
              <w:pStyle w:val="Compact"/>
            </w:pPr>
            <w:r>
              <w:t xml:space="preserve">Code/test evidence</w:t>
            </w:r>
          </w:p>
        </w:tc>
      </w:tr>
      <w:tr>
        <w:trPr>
          <w:cantSplit/>
        </w:trPr>
        <w:tc>
          <w:tcPr/>
          <w:p>
            <w:pPr>
              <w:pStyle w:val="Compact"/>
            </w:pPr>
            <w:r>
              <w:t xml:space="preserve">FR-ADMIN-003</w:t>
            </w:r>
          </w:p>
        </w:tc>
        <w:tc>
          <w:tcPr/>
          <w:p>
            <w:pPr>
              <w:pStyle w:val="Compact"/>
            </w:pPr>
            <w:r>
              <w:t xml:space="preserve">V2</w:t>
            </w:r>
          </w:p>
        </w:tc>
        <w:tc>
          <w:tcPr/>
          <w:p>
            <w:pPr>
              <w:pStyle w:val="Compact"/>
            </w:pPr>
            <w:r>
              <w:t xml:space="preserve">BG-005</w:t>
            </w:r>
          </w:p>
        </w:tc>
        <w:tc>
          <w:tcPr/>
          <w:p>
            <w:pPr>
              <w:pStyle w:val="Compact"/>
            </w:pPr>
            <w:r>
              <w:t xml:space="preserve">SchoolProfileEnrollmentServiceTests</w:t>
            </w:r>
          </w:p>
        </w:tc>
        <w:tc>
          <w:tcPr/>
          <w:p>
            <w:pPr>
              <w:pStyle w:val="Compact"/>
            </w:pPr>
            <w:r>
              <w:t xml:space="preserve">Code/test evidence</w:t>
            </w:r>
          </w:p>
        </w:tc>
      </w:tr>
      <w:tr>
        <w:trPr>
          <w:cantSplit/>
        </w:trPr>
        <w:tc>
          <w:tcPr/>
          <w:p>
            <w:pPr>
              <w:pStyle w:val="Compact"/>
            </w:pPr>
            <w:r>
              <w:t xml:space="preserve">FR-ADMIN-004</w:t>
            </w:r>
          </w:p>
        </w:tc>
        <w:tc>
          <w:tcPr/>
          <w:p>
            <w:pPr>
              <w:pStyle w:val="Compact"/>
            </w:pPr>
            <w:r>
              <w:t xml:space="preserve">V2</w:t>
            </w:r>
          </w:p>
        </w:tc>
        <w:tc>
          <w:tcPr/>
          <w:p>
            <w:pPr>
              <w:pStyle w:val="Compact"/>
            </w:pPr>
            <w:r>
              <w:t xml:space="preserve">BG-005</w:t>
            </w:r>
          </w:p>
        </w:tc>
        <w:tc>
          <w:tcPr/>
          <w:p>
            <w:pPr>
              <w:pStyle w:val="Compact"/>
            </w:pPr>
            <w:r>
              <w:t xml:space="preserve">ClassroomCredentialStoreTests, AiProxyEndpointHandlerTests</w:t>
            </w:r>
          </w:p>
        </w:tc>
        <w:tc>
          <w:tcPr/>
          <w:p>
            <w:pPr>
              <w:pStyle w:val="Compact"/>
            </w:pPr>
            <w:r>
              <w:t xml:space="preserve">Code/test evidence</w:t>
            </w:r>
          </w:p>
        </w:tc>
      </w:tr>
      <w:tr>
        <w:trPr>
          <w:cantSplit/>
        </w:trPr>
        <w:tc>
          <w:tcPr/>
          <w:p>
            <w:pPr>
              <w:pStyle w:val="Compact"/>
            </w:pPr>
            <w:r>
              <w:t xml:space="preserve">FR-ADMIN-005</w:t>
            </w:r>
          </w:p>
        </w:tc>
        <w:tc>
          <w:tcPr/>
          <w:p>
            <w:pPr>
              <w:pStyle w:val="Compact"/>
            </w:pPr>
            <w:r>
              <w:t xml:space="preserve">V2</w:t>
            </w:r>
          </w:p>
        </w:tc>
        <w:tc>
          <w:tcPr/>
          <w:p>
            <w:pPr>
              <w:pStyle w:val="Compact"/>
            </w:pPr>
            <w:r>
              <w:t xml:space="preserve">BG-003, BG-005</w:t>
            </w:r>
          </w:p>
        </w:tc>
        <w:tc>
          <w:tcPr/>
          <w:p>
            <w:pPr>
              <w:pStyle w:val="Compact"/>
            </w:pPr>
            <w:r>
              <w:t xml:space="preserve">AiProxyEndpointHandlerTests</w:t>
            </w:r>
          </w:p>
        </w:tc>
        <w:tc>
          <w:tcPr/>
          <w:p>
            <w:pPr>
              <w:pStyle w:val="Compact"/>
            </w:pPr>
            <w:r>
              <w:t xml:space="preserve">Code/test evidence</w:t>
            </w:r>
          </w:p>
        </w:tc>
      </w:tr>
      <w:tr>
        <w:trPr>
          <w:cantSplit/>
        </w:trPr>
        <w:tc>
          <w:tcPr/>
          <w:p>
            <w:pPr>
              <w:pStyle w:val="Compact"/>
            </w:pPr>
            <w:r>
              <w:t xml:space="preserve">FR-ADMIN-006</w:t>
            </w:r>
          </w:p>
        </w:tc>
        <w:tc>
          <w:tcPr/>
          <w:p>
            <w:pPr>
              <w:pStyle w:val="Compact"/>
            </w:pPr>
            <w:r>
              <w:t xml:space="preserve">V2</w:t>
            </w:r>
          </w:p>
        </w:tc>
        <w:tc>
          <w:tcPr/>
          <w:p>
            <w:pPr>
              <w:pStyle w:val="Compact"/>
            </w:pPr>
            <w:r>
              <w:t xml:space="preserve">BG-005</w:t>
            </w:r>
          </w:p>
        </w:tc>
        <w:tc>
          <w:tcPr/>
          <w:p>
            <w:pPr>
              <w:pStyle w:val="Compact"/>
            </w:pPr>
            <w:r>
              <w:t xml:space="preserve">SchoolAiPolicyServiceTests</w:t>
            </w:r>
          </w:p>
        </w:tc>
        <w:tc>
          <w:tcPr/>
          <w:p>
            <w:pPr>
              <w:pStyle w:val="Compact"/>
            </w:pPr>
            <w:r>
              <w:t xml:space="preserve">Code/test evidence</w:t>
            </w:r>
          </w:p>
        </w:tc>
      </w:tr>
      <w:tr>
        <w:trPr>
          <w:cantSplit/>
        </w:trPr>
        <w:tc>
          <w:tcPr/>
          <w:p>
            <w:pPr>
              <w:pStyle w:val="Compact"/>
            </w:pPr>
            <w:r>
              <w:t xml:space="preserve">FR-ADMIN-007</w:t>
            </w:r>
          </w:p>
        </w:tc>
        <w:tc>
          <w:tcPr/>
          <w:p>
            <w:pPr>
              <w:pStyle w:val="Compact"/>
            </w:pPr>
            <w:r>
              <w:t xml:space="preserve">V2</w:t>
            </w:r>
          </w:p>
        </w:tc>
        <w:tc>
          <w:tcPr/>
          <w:p>
            <w:pPr>
              <w:pStyle w:val="Compact"/>
            </w:pPr>
            <w:r>
              <w:t xml:space="preserve">BG-005</w:t>
            </w:r>
          </w:p>
        </w:tc>
        <w:tc>
          <w:tcPr/>
          <w:p>
            <w:pPr>
              <w:pStyle w:val="Compact"/>
            </w:pPr>
            <w:r>
              <w:t xml:space="preserve">PayloadPreviewViewModelTests, StudentSmartSearchViewModelTests</w:t>
            </w:r>
          </w:p>
        </w:tc>
        <w:tc>
          <w:tcPr/>
          <w:p>
            <w:pPr>
              <w:pStyle w:val="Compact"/>
            </w:pPr>
            <w:r>
              <w:t xml:space="preserve">Code/test evidence</w:t>
            </w:r>
          </w:p>
        </w:tc>
      </w:tr>
      <w:tr>
        <w:trPr>
          <w:cantSplit/>
        </w:trPr>
        <w:tc>
          <w:tcPr/>
          <w:p>
            <w:pPr>
              <w:pStyle w:val="Compact"/>
            </w:pPr>
            <w:r>
              <w:t xml:space="preserve">FR-ADMIN-008</w:t>
            </w:r>
          </w:p>
        </w:tc>
        <w:tc>
          <w:tcPr/>
          <w:p>
            <w:pPr>
              <w:pStyle w:val="Compact"/>
            </w:pPr>
            <w:r>
              <w:t xml:space="preserve">V2</w:t>
            </w:r>
          </w:p>
        </w:tc>
        <w:tc>
          <w:tcPr/>
          <w:p>
            <w:pPr>
              <w:pStyle w:val="Compact"/>
            </w:pPr>
            <w:r>
              <w:t xml:space="preserve">BG-005</w:t>
            </w:r>
          </w:p>
        </w:tc>
        <w:tc>
          <w:tcPr/>
          <w:p>
            <w:pPr>
              <w:pStyle w:val="Compact"/>
            </w:pPr>
            <w:r>
              <w:t xml:space="preserve">SchoolAiPolicyServiceTests</w:t>
            </w:r>
          </w:p>
        </w:tc>
        <w:tc>
          <w:tcPr/>
          <w:p>
            <w:pPr>
              <w:pStyle w:val="Compact"/>
            </w:pPr>
            <w:r>
              <w:t xml:space="preserve">Code/test evidence</w:t>
            </w:r>
          </w:p>
        </w:tc>
      </w:tr>
      <w:tr>
        <w:trPr>
          <w:cantSplit/>
        </w:trPr>
        <w:tc>
          <w:tcPr/>
          <w:p>
            <w:pPr>
              <w:pStyle w:val="Compact"/>
            </w:pPr>
            <w:r>
              <w:t xml:space="preserve">FR-ADMIN-009</w:t>
            </w:r>
          </w:p>
        </w:tc>
        <w:tc>
          <w:tcPr/>
          <w:p>
            <w:pPr>
              <w:pStyle w:val="Compact"/>
            </w:pPr>
            <w:r>
              <w:t xml:space="preserve">V2</w:t>
            </w:r>
          </w:p>
        </w:tc>
        <w:tc>
          <w:tcPr/>
          <w:p>
            <w:pPr>
              <w:pStyle w:val="Compact"/>
            </w:pPr>
            <w:r>
              <w:t xml:space="preserve">BG-005</w:t>
            </w:r>
          </w:p>
        </w:tc>
        <w:tc>
          <w:tcPr/>
          <w:p>
            <w:pPr>
              <w:pStyle w:val="Compact"/>
            </w:pPr>
            <w:r>
              <w:t xml:space="preserve">SchoolAiPolicyServiceTests</w:t>
            </w:r>
          </w:p>
        </w:tc>
        <w:tc>
          <w:tcPr/>
          <w:p>
            <w:pPr>
              <w:pStyle w:val="Compact"/>
            </w:pPr>
            <w:r>
              <w:t xml:space="preserve">Code/test evidence</w:t>
            </w:r>
          </w:p>
        </w:tc>
      </w:tr>
      <w:tr>
        <w:trPr>
          <w:cantSplit/>
        </w:trPr>
        <w:tc>
          <w:tcPr/>
          <w:p>
            <w:pPr>
              <w:pStyle w:val="Compact"/>
            </w:pPr>
            <w:r>
              <w:t xml:space="preserve">FR-ADMIN-010</w:t>
            </w:r>
          </w:p>
        </w:tc>
        <w:tc>
          <w:tcPr/>
          <w:p>
            <w:pPr>
              <w:pStyle w:val="Compact"/>
            </w:pPr>
            <w:r>
              <w:t xml:space="preserve">V2</w:t>
            </w:r>
          </w:p>
        </w:tc>
        <w:tc>
          <w:tcPr/>
          <w:p>
            <w:pPr>
              <w:pStyle w:val="Compact"/>
            </w:pPr>
            <w:r>
              <w:t xml:space="preserve">BG-003, BG-005</w:t>
            </w:r>
          </w:p>
        </w:tc>
        <w:tc>
          <w:tcPr/>
          <w:p>
            <w:pPr>
              <w:pStyle w:val="Compact"/>
            </w:pPr>
            <w:r>
              <w:t xml:space="preserve">SchoolUsageDashboardServiceTests, SchoolAdminPanelRenderTests</w:t>
            </w:r>
          </w:p>
        </w:tc>
        <w:tc>
          <w:tcPr/>
          <w:p>
            <w:pPr>
              <w:pStyle w:val="Compact"/>
            </w:pPr>
            <w:r>
              <w:t xml:space="preserve">Code/test evidence</w:t>
            </w:r>
          </w:p>
        </w:tc>
      </w:tr>
      <w:tr>
        <w:trPr>
          <w:cantSplit/>
        </w:trPr>
        <w:tc>
          <w:tcPr/>
          <w:p>
            <w:pPr>
              <w:pStyle w:val="Compact"/>
            </w:pPr>
            <w:r>
              <w:t xml:space="preserve">FR-ADMIN-011</w:t>
            </w:r>
          </w:p>
        </w:tc>
        <w:tc>
          <w:tcPr/>
          <w:p>
            <w:pPr>
              <w:pStyle w:val="Compact"/>
            </w:pPr>
            <w:r>
              <w:t xml:space="preserve">V2</w:t>
            </w:r>
          </w:p>
        </w:tc>
        <w:tc>
          <w:tcPr/>
          <w:p>
            <w:pPr>
              <w:pStyle w:val="Compact"/>
            </w:pPr>
            <w:r>
              <w:t xml:space="preserve">BG-003</w:t>
            </w:r>
          </w:p>
        </w:tc>
        <w:tc>
          <w:tcPr/>
          <w:p>
            <w:pPr>
              <w:pStyle w:val="Compact"/>
            </w:pPr>
            <w:r>
              <w:t xml:space="preserve">ClassroomAnswerGrounderTests</w:t>
            </w:r>
          </w:p>
        </w:tc>
        <w:tc>
          <w:tcPr/>
          <w:p>
            <w:pPr>
              <w:pStyle w:val="Compact"/>
            </w:pPr>
            <w:r>
              <w:t xml:space="preserve">Code/test evidence</w:t>
            </w:r>
          </w:p>
        </w:tc>
      </w:tr>
      <w:tr>
        <w:trPr>
          <w:cantSplit/>
        </w:trPr>
        <w:tc>
          <w:tcPr/>
          <w:p>
            <w:pPr>
              <w:pStyle w:val="Compact"/>
            </w:pPr>
            <w:r>
              <w:t xml:space="preserve">FR-ADMIN-012</w:t>
            </w:r>
          </w:p>
        </w:tc>
        <w:tc>
          <w:tcPr/>
          <w:p>
            <w:pPr>
              <w:pStyle w:val="Compact"/>
            </w:pPr>
            <w:r>
              <w:t xml:space="preserve">V2</w:t>
            </w:r>
          </w:p>
        </w:tc>
        <w:tc>
          <w:tcPr/>
          <w:p>
            <w:pPr>
              <w:pStyle w:val="Compact"/>
            </w:pPr>
            <w:r>
              <w:t xml:space="preserve">BG-005</w:t>
            </w:r>
          </w:p>
        </w:tc>
        <w:tc>
          <w:tcPr/>
          <w:p>
            <w:pPr>
              <w:pStyle w:val="Compact"/>
            </w:pPr>
            <w:r>
              <w:t xml:space="preserve">SchoolAiHistoryManagementServiceTests</w:t>
            </w:r>
          </w:p>
        </w:tc>
        <w:tc>
          <w:tcPr/>
          <w:p>
            <w:pPr>
              <w:pStyle w:val="Compact"/>
            </w:pPr>
            <w:r>
              <w:t xml:space="preserve">Code/test evidence</w:t>
            </w:r>
          </w:p>
        </w:tc>
      </w:tr>
      <w:tr>
        <w:trPr>
          <w:cantSplit/>
        </w:trPr>
        <w:tc>
          <w:tcPr/>
          <w:p>
            <w:pPr>
              <w:pStyle w:val="Compact"/>
            </w:pPr>
            <w:r>
              <w:t xml:space="preserve">FR-ADMIN-013</w:t>
            </w:r>
          </w:p>
        </w:tc>
        <w:tc>
          <w:tcPr/>
          <w:p>
            <w:pPr>
              <w:pStyle w:val="Compact"/>
            </w:pPr>
            <w:r>
              <w:t xml:space="preserve">V2</w:t>
            </w:r>
          </w:p>
        </w:tc>
        <w:tc>
          <w:tcPr/>
          <w:p>
            <w:pPr>
              <w:pStyle w:val="Compact"/>
            </w:pPr>
            <w:r>
              <w:t xml:space="preserve">BG-005</w:t>
            </w:r>
          </w:p>
        </w:tc>
        <w:tc>
          <w:tcPr/>
          <w:p>
            <w:pPr>
              <w:pStyle w:val="Compact"/>
            </w:pPr>
            <w:r>
              <w:t xml:space="preserve">SchoolAiHistoryManagementServiceTests</w:t>
            </w:r>
          </w:p>
        </w:tc>
        <w:tc>
          <w:tcPr/>
          <w:p>
            <w:pPr>
              <w:pStyle w:val="Compact"/>
            </w:pPr>
            <w:r>
              <w:t xml:space="preserve">Code/test evidence</w:t>
            </w:r>
          </w:p>
        </w:tc>
      </w:tr>
      <w:tr>
        <w:trPr>
          <w:cantSplit/>
        </w:trPr>
        <w:tc>
          <w:tcPr/>
          <w:p>
            <w:pPr>
              <w:pStyle w:val="Compact"/>
            </w:pPr>
            <w:r>
              <w:t xml:space="preserve">FR-EXT-001</w:t>
            </w:r>
          </w:p>
        </w:tc>
        <w:tc>
          <w:tcPr/>
          <w:p>
            <w:pPr>
              <w:pStyle w:val="Compact"/>
            </w:pPr>
            <w:r>
              <w:t xml:space="preserve">V2</w:t>
            </w:r>
          </w:p>
        </w:tc>
        <w:tc>
          <w:tcPr/>
          <w:p>
            <w:pPr>
              <w:pStyle w:val="Compact"/>
            </w:pPr>
            <w:r>
              <w:t xml:space="preserve">BG-004</w:t>
            </w:r>
          </w:p>
        </w:tc>
        <w:tc>
          <w:tcPr/>
          <w:p>
            <w:pPr>
              <w:pStyle w:val="Compact"/>
            </w:pPr>
            <w:r>
              <w:t xml:space="preserve">AdvisorExtensionPointTests</w:t>
            </w:r>
          </w:p>
        </w:tc>
        <w:tc>
          <w:tcPr/>
          <w:p>
            <w:pPr>
              <w:pStyle w:val="Compact"/>
            </w:pPr>
            <w:r>
              <w:t xml:space="preserve">Partial</w:t>
            </w:r>
          </w:p>
        </w:tc>
      </w:tr>
      <w:tr>
        <w:trPr>
          <w:cantSplit/>
        </w:trPr>
        <w:tc>
          <w:tcPr/>
          <w:p>
            <w:pPr>
              <w:pStyle w:val="Compact"/>
            </w:pPr>
            <w:r>
              <w:t xml:space="preserve">FR-EXT-002</w:t>
            </w:r>
          </w:p>
        </w:tc>
        <w:tc>
          <w:tcPr/>
          <w:p>
            <w:pPr>
              <w:pStyle w:val="Compact"/>
            </w:pPr>
            <w:r>
              <w:t xml:space="preserve">V2</w:t>
            </w:r>
          </w:p>
        </w:tc>
        <w:tc>
          <w:tcPr/>
          <w:p>
            <w:pPr>
              <w:pStyle w:val="Compact"/>
            </w:pPr>
            <w:r>
              <w:t xml:space="preserve">BG-004</w:t>
            </w:r>
          </w:p>
        </w:tc>
        <w:tc>
          <w:tcPr/>
          <w:p>
            <w:pPr>
              <w:pStyle w:val="Compact"/>
            </w:pPr>
            <w:r>
              <w:t xml:space="preserve">TC-EXT-002 (planned)</w:t>
            </w:r>
          </w:p>
        </w:tc>
        <w:tc>
          <w:tcPr/>
          <w:p>
            <w:pPr>
              <w:pStyle w:val="Compact"/>
            </w:pPr>
            <w:r>
              <w:t xml:space="preserve">Not started</w:t>
            </w:r>
          </w:p>
        </w:tc>
      </w:tr>
      <w:tr>
        <w:trPr>
          <w:cantSplit/>
        </w:trPr>
        <w:tc>
          <w:tcPr/>
          <w:p>
            <w:pPr>
              <w:pStyle w:val="Compact"/>
            </w:pPr>
            <w:r>
              <w:t xml:space="preserve">FR-EXT-003</w:t>
            </w:r>
          </w:p>
        </w:tc>
        <w:tc>
          <w:tcPr/>
          <w:p>
            <w:pPr>
              <w:pStyle w:val="Compact"/>
            </w:pPr>
            <w:r>
              <w:t xml:space="preserve">V2</w:t>
            </w:r>
          </w:p>
        </w:tc>
        <w:tc>
          <w:tcPr/>
          <w:p>
            <w:pPr>
              <w:pStyle w:val="Compact"/>
            </w:pPr>
            <w:r>
              <w:t xml:space="preserve">BG-004</w:t>
            </w:r>
          </w:p>
        </w:tc>
        <w:tc>
          <w:tcPr/>
          <w:p>
            <w:pPr>
              <w:pStyle w:val="Compact"/>
            </w:pPr>
            <w:r>
              <w:t xml:space="preserve">TC-EXT-003 (planned)</w:t>
            </w:r>
          </w:p>
        </w:tc>
        <w:tc>
          <w:tcPr/>
          <w:p>
            <w:pPr>
              <w:pStyle w:val="Compact"/>
            </w:pPr>
            <w:r>
              <w:t xml:space="preserve">Not started</w:t>
            </w:r>
          </w:p>
        </w:tc>
      </w:tr>
      <w:tr>
        <w:trPr>
          <w:cantSplit/>
        </w:trPr>
        <w:tc>
          <w:tcPr/>
          <w:p>
            <w:pPr>
              <w:pStyle w:val="Compact"/>
            </w:pPr>
            <w:r>
              <w:t xml:space="preserve">FR-UX-001</w:t>
            </w:r>
          </w:p>
        </w:tc>
        <w:tc>
          <w:tcPr/>
          <w:p>
            <w:pPr>
              <w:pStyle w:val="Compact"/>
            </w:pPr>
            <w:r>
              <w:t xml:space="preserve">MVP</w:t>
            </w:r>
          </w:p>
        </w:tc>
        <w:tc>
          <w:tcPr/>
          <w:p>
            <w:pPr>
              <w:pStyle w:val="Compact"/>
            </w:pPr>
            <w:r>
              <w:t xml:space="preserve">BG-001, BG-002</w:t>
            </w:r>
          </w:p>
        </w:tc>
        <w:tc>
          <w:tcPr/>
          <w:p>
            <w:pPr>
              <w:pStyle w:val="Compact"/>
            </w:pPr>
            <w:r>
              <w:t xml:space="preserve">ScanProgressTests; TC-UX-001 (planned journey)</w:t>
            </w:r>
          </w:p>
        </w:tc>
        <w:tc>
          <w:tcPr/>
          <w:p>
            <w:pPr>
              <w:pStyle w:val="Compact"/>
            </w:pPr>
            <w:r>
              <w:t xml:space="preserve">Partial</w:t>
            </w:r>
          </w:p>
        </w:tc>
      </w:tr>
      <w:tr>
        <w:trPr>
          <w:cantSplit/>
        </w:trPr>
        <w:tc>
          <w:tcPr/>
          <w:p>
            <w:pPr>
              <w:pStyle w:val="Compact"/>
            </w:pPr>
            <w:r>
              <w:t xml:space="preserve">FR-UX-002</w:t>
            </w:r>
          </w:p>
        </w:tc>
        <w:tc>
          <w:tcPr/>
          <w:p>
            <w:pPr>
              <w:pStyle w:val="Compact"/>
            </w:pPr>
            <w:r>
              <w:t xml:space="preserve">MVP</w:t>
            </w:r>
          </w:p>
        </w:tc>
        <w:tc>
          <w:tcPr/>
          <w:p>
            <w:pPr>
              <w:pStyle w:val="Compact"/>
            </w:pPr>
            <w:r>
              <w:t xml:space="preserve">BG-002</w:t>
            </w:r>
          </w:p>
        </w:tc>
        <w:tc>
          <w:tcPr/>
          <w:p>
            <w:pPr>
              <w:pStyle w:val="Compact"/>
            </w:pPr>
            <w:r>
              <w:t xml:space="preserve">SkeletonRenderTests; TC-UX-002 (planned matrix)</w:t>
            </w:r>
          </w:p>
        </w:tc>
        <w:tc>
          <w:tcPr/>
          <w:p>
            <w:pPr>
              <w:pStyle w:val="Compact"/>
            </w:pPr>
            <w:r>
              <w:t xml:space="preserve">Partial</w:t>
            </w:r>
          </w:p>
        </w:tc>
      </w:tr>
      <w:tr>
        <w:trPr>
          <w:cantSplit/>
        </w:trPr>
        <w:tc>
          <w:tcPr/>
          <w:p>
            <w:pPr>
              <w:pStyle w:val="Compact"/>
            </w:pPr>
            <w:r>
              <w:t xml:space="preserve">FR-UX-003</w:t>
            </w:r>
          </w:p>
        </w:tc>
        <w:tc>
          <w:tcPr/>
          <w:p>
            <w:pPr>
              <w:pStyle w:val="Compact"/>
            </w:pPr>
            <w:r>
              <w:t xml:space="preserve">MVP</w:t>
            </w:r>
          </w:p>
        </w:tc>
        <w:tc>
          <w:tcPr/>
          <w:p>
            <w:pPr>
              <w:pStyle w:val="Compact"/>
            </w:pPr>
            <w:r>
              <w:t xml:space="preserve">BG-002</w:t>
            </w:r>
          </w:p>
        </w:tc>
        <w:tc>
          <w:tcPr/>
          <w:p>
            <w:pPr>
              <w:pStyle w:val="Compact"/>
            </w:pPr>
            <w:r>
              <w:t xml:space="preserve">TC-UX-003 (planned)</w:t>
            </w:r>
          </w:p>
        </w:tc>
        <w:tc>
          <w:tcPr/>
          <w:p>
            <w:pPr>
              <w:pStyle w:val="Compact"/>
            </w:pPr>
            <w:r>
              <w:t xml:space="preserve">Not started</w:t>
            </w:r>
          </w:p>
        </w:tc>
      </w:tr>
      <w:tr>
        <w:trPr>
          <w:cantSplit/>
        </w:trPr>
        <w:tc>
          <w:tcPr/>
          <w:p>
            <w:pPr>
              <w:pStyle w:val="Compact"/>
            </w:pPr>
            <w:r>
              <w:t xml:space="preserve">FR-UX-004</w:t>
            </w:r>
          </w:p>
        </w:tc>
        <w:tc>
          <w:tcPr/>
          <w:p>
            <w:pPr>
              <w:pStyle w:val="Compact"/>
            </w:pPr>
            <w:r>
              <w:t xml:space="preserve">MVP</w:t>
            </w:r>
          </w:p>
        </w:tc>
        <w:tc>
          <w:tcPr/>
          <w:p>
            <w:pPr>
              <w:pStyle w:val="Compact"/>
            </w:pPr>
            <w:r>
              <w:t xml:space="preserve">BG-002</w:t>
            </w:r>
          </w:p>
        </w:tc>
        <w:tc>
          <w:tcPr/>
          <w:p>
            <w:pPr>
              <w:pStyle w:val="Compact"/>
            </w:pPr>
            <w:r>
              <w:t xml:space="preserve">Pseudolocale suite; TC-UX-004 (es/it/de, planned)</w:t>
            </w:r>
          </w:p>
        </w:tc>
        <w:tc>
          <w:tcPr/>
          <w:p>
            <w:pPr>
              <w:pStyle w:val="Compact"/>
            </w:pPr>
            <w:r>
              <w:t xml:space="preserve">Partial</w:t>
            </w:r>
          </w:p>
        </w:tc>
      </w:tr>
      <w:tr>
        <w:trPr>
          <w:cantSplit/>
        </w:trPr>
        <w:tc>
          <w:tcPr/>
          <w:p>
            <w:pPr>
              <w:pStyle w:val="Compact"/>
            </w:pPr>
            <w:r>
              <w:t xml:space="preserve">FR-UX-005</w:t>
            </w:r>
          </w:p>
        </w:tc>
        <w:tc>
          <w:tcPr/>
          <w:p>
            <w:pPr>
              <w:pStyle w:val="Compact"/>
            </w:pPr>
            <w:r>
              <w:t xml:space="preserve">MVP</w:t>
            </w:r>
          </w:p>
        </w:tc>
        <w:tc>
          <w:tcPr/>
          <w:p>
            <w:pPr>
              <w:pStyle w:val="Compact"/>
            </w:pPr>
            <w:r>
              <w:t xml:space="preserve">BG-002</w:t>
            </w:r>
          </w:p>
        </w:tc>
        <w:tc>
          <w:tcPr/>
          <w:p>
            <w:pPr>
              <w:pStyle w:val="Compact"/>
            </w:pPr>
            <w:r>
              <w:t xml:space="preserve">TC-UX-005 (planned, Phase 21 audit)</w:t>
            </w:r>
          </w:p>
        </w:tc>
        <w:tc>
          <w:tcPr/>
          <w:p>
            <w:pPr>
              <w:pStyle w:val="Compact"/>
            </w:pPr>
            <w:r>
              <w:t xml:space="preserve">Not started</w:t>
            </w:r>
          </w:p>
        </w:tc>
      </w:tr>
      <w:tr>
        <w:trPr>
          <w:cantSplit/>
        </w:trPr>
        <w:tc>
          <w:tcPr/>
          <w:p>
            <w:pPr>
              <w:pStyle w:val="Compact"/>
            </w:pPr>
            <w:r>
              <w:t xml:space="preserve">FR-UX-006</w:t>
            </w:r>
          </w:p>
        </w:tc>
        <w:tc>
          <w:tcPr/>
          <w:p>
            <w:pPr>
              <w:pStyle w:val="Compact"/>
            </w:pPr>
            <w:r>
              <w:t xml:space="preserve">V1</w:t>
            </w:r>
          </w:p>
        </w:tc>
        <w:tc>
          <w:tcPr/>
          <w:p>
            <w:pPr>
              <w:pStyle w:val="Compact"/>
            </w:pPr>
            <w:r>
              <w:t xml:space="preserve">BG-002</w:t>
            </w:r>
          </w:p>
        </w:tc>
        <w:tc>
          <w:tcPr/>
          <w:p>
            <w:pPr>
              <w:pStyle w:val="Compact"/>
            </w:pPr>
            <w:r>
              <w:t xml:space="preserve">TC-UX-006 (planned)</w:t>
            </w:r>
          </w:p>
        </w:tc>
        <w:tc>
          <w:tcPr/>
          <w:p>
            <w:pPr>
              <w:pStyle w:val="Compact"/>
            </w:pPr>
            <w:r>
              <w:t xml:space="preserve">Not started</w:t>
            </w:r>
          </w:p>
        </w:tc>
      </w:tr>
      <w:tr>
        <w:trPr>
          <w:cantSplit/>
        </w:trPr>
        <w:tc>
          <w:tcPr/>
          <w:p>
            <w:pPr>
              <w:pStyle w:val="Compact"/>
            </w:pPr>
            <w:r>
              <w:t xml:space="preserve">FR-UX-007</w:t>
            </w:r>
          </w:p>
        </w:tc>
        <w:tc>
          <w:tcPr/>
          <w:p>
            <w:pPr>
              <w:pStyle w:val="Compact"/>
            </w:pPr>
            <w:r>
              <w:t xml:space="preserve">MVP</w:t>
            </w:r>
          </w:p>
        </w:tc>
        <w:tc>
          <w:tcPr/>
          <w:p>
            <w:pPr>
              <w:pStyle w:val="Compact"/>
            </w:pPr>
            <w:r>
              <w:t xml:space="preserve">BG-001, BG-002</w:t>
            </w:r>
          </w:p>
        </w:tc>
        <w:tc>
          <w:tcPr/>
          <w:p>
            <w:pPr>
              <w:pStyle w:val="Compact"/>
            </w:pPr>
            <w:r>
              <w:t xml:space="preserve">TC-UX-007 (planned, Phase 20 journey)</w:t>
            </w:r>
          </w:p>
        </w:tc>
        <w:tc>
          <w:tcPr/>
          <w:p>
            <w:pPr>
              <w:pStyle w:val="Compact"/>
            </w:pPr>
            <w:r>
              <w:t xml:space="preserve">Not started</w:t>
            </w:r>
          </w:p>
        </w:tc>
      </w:tr>
      <w:tr>
        <w:trPr>
          <w:cantSplit/>
        </w:trPr>
        <w:tc>
          <w:tcPr/>
          <w:p>
            <w:pPr>
              <w:pStyle w:val="Compact"/>
            </w:pPr>
            <w:r>
              <w:t xml:space="preserve">FR-UX-008</w:t>
            </w:r>
          </w:p>
        </w:tc>
        <w:tc>
          <w:tcPr/>
          <w:p>
            <w:pPr>
              <w:pStyle w:val="Compact"/>
            </w:pPr>
            <w:r>
              <w:t xml:space="preserve">MVP</w:t>
            </w:r>
          </w:p>
        </w:tc>
        <w:tc>
          <w:tcPr/>
          <w:p>
            <w:pPr>
              <w:pStyle w:val="Compact"/>
            </w:pPr>
            <w:r>
              <w:t xml:space="preserve">BG-002</w:t>
            </w:r>
          </w:p>
        </w:tc>
        <w:tc>
          <w:tcPr/>
          <w:p>
            <w:pPr>
              <w:pStyle w:val="Compact"/>
            </w:pPr>
            <w:r>
              <w:t xml:space="preserve">ReaderViewRenderTests; TC-UX-008 (planned contrast audit)</w:t>
            </w:r>
          </w:p>
        </w:tc>
        <w:tc>
          <w:tcPr/>
          <w:p>
            <w:pPr>
              <w:pStyle w:val="Compact"/>
            </w:pPr>
            <w:r>
              <w:t xml:space="preserve">Partial</w:t>
            </w:r>
          </w:p>
        </w:tc>
      </w:tr>
    </w:tbl>
    <w:p>
      <w:pPr>
        <w:pStyle w:val="BodyText"/>
      </w:pPr>
      <w:r>
        <w:t xml:space="preserve">Summary: 101 FRs — 87 Code/test evidence, 5 Partial, 9 Planned. Every FR traces to at least 1 business goal and to a named verification artifact.</w:t>
      </w:r>
    </w:p>
    <w:bookmarkEnd w:id="67"/>
    <w:bookmarkStart w:id="68" w:name="Xbbb40662565b7af7845e0a9b74ed73d3d94eb13"/>
    <w:p>
      <w:pPr>
        <w:pStyle w:val="Heading2"/>
      </w:pPr>
      <w:r>
        <w:rPr>
          <w:rStyle w:val="SectionNumber"/>
          <w:rFonts w:ascii="Spectral" w:hAnsi="Spectral" w:eastAsia="Spectral"/>
          <w:color w:val="132338"/>
        </w:rPr>
        <w:t xml:space="preserve">9.5</w:t>
      </w:r>
      <w:r>
        <w:rPr>
          <w:rFonts w:ascii="Spectral" w:hAnsi="Spectral" w:eastAsia="Spectral"/>
          <w:color w:val="132338"/>
        </w:rPr>
        <w:tab/>
      </w:r>
      <w:r>
        <w:rPr>
          <w:rFonts w:ascii="Spectral" w:hAnsi="Spectral" w:eastAsia="Spectral"/>
          <w:color w:val="132338"/>
        </w:rPr>
        <w:t xml:space="preserve">8.5 NFR and CTRL Traceability</w:t>
      </w:r>
    </w:p>
    <w:p>
      <w:pPr>
        <w:pStyle w:val="Compact"/>
        <w:numPr>
          <w:ilvl w:val="0"/>
          <w:numId w:val="1118"/>
        </w:numPr>
      </w:pPr>
      <w:r>
        <w:t xml:space="preserve">NFR-OGMA-001 through NFR-OGMA-007, NFR-PROD-002 through NFR-PROD-005, NFR-LAN-001/002, and NFR-CLIENT-001/002 support BG-002 through measured responsiveness; all performance figures are trend-only until the Phase 20 acceptance run on W-REF-01/M-REF-01 (Section 5.5).</w:t>
      </w:r>
    </w:p>
    <w:p>
      <w:pPr>
        <w:pStyle w:val="Compact"/>
        <w:numPr>
          <w:ilvl w:val="0"/>
          <w:numId w:val="1118"/>
        </w:numPr>
      </w:pPr>
      <w:r>
        <w:t xml:space="preserve">NFR-OGMA-008/009 and NFR-PROD-010 support BG-004 through durability and reversibility; NFR-PROD-001 supports BG-004 and BG-005 through local-first availability; NFR-PROD-009 supports BG-004; NFR-LAN-003 protects the standalone promise while hosting.</w:t>
      </w:r>
    </w:p>
    <w:p>
      <w:pPr>
        <w:pStyle w:val="Compact"/>
        <w:numPr>
          <w:ilvl w:val="0"/>
          <w:numId w:val="1118"/>
        </w:numPr>
      </w:pPr>
      <w:r>
        <w:t xml:space="preserve">NFR-PROD-007/008 support the WCAG 2.2 AA release gate (Phase 21); NFR-PROD-006 and NFR-PROD-012 support release quality and update safety (Phase 22).</w:t>
      </w:r>
    </w:p>
    <w:p>
      <w:pPr>
        <w:pStyle w:val="Compact"/>
        <w:numPr>
          <w:ilvl w:val="0"/>
          <w:numId w:val="1118"/>
        </w:numPr>
      </w:pPr>
      <w:r>
        <w:t xml:space="preserve">NFR-PROD-011/013/014, NFR-CLIENT-003, and CTRL-001 through CTRL-032 support BG-005. The classroom controls trace: CTRL-025/026 → FR-LAN-002/004; CTRL-027 → FR-LAN-006/009; CTRL-028 → FR-LAN-007 and FR-CLIENT-009; CTRL-029 → FR-CLIENT-002/008/012; CTRL-030 → FR-ADMIN-004; CTRL-031 → FR-ADMIN-008/009; CTRL-032 → FR-ADMIN-006/007/012/013.</w:t>
      </w:r>
    </w:p>
    <w:bookmarkEnd w:id="68"/>
    <w:bookmarkStart w:id="69" w:name="X4ce0ba0db206194e5cbf7af08bb232bca32f798"/>
    <w:p>
      <w:pPr>
        <w:pStyle w:val="Heading2"/>
      </w:pPr>
      <w:r>
        <w:rPr>
          <w:rStyle w:val="SectionNumber"/>
          <w:rFonts w:ascii="Spectral" w:hAnsi="Spectral" w:eastAsia="Spectral"/>
          <w:color w:val="132338"/>
        </w:rPr>
        <w:t xml:space="preserve">9.6</w:t>
      </w:r>
      <w:r>
        <w:rPr>
          <w:rFonts w:ascii="Spectral" w:hAnsi="Spectral" w:eastAsia="Spectral"/>
          <w:color w:val="132338"/>
        </w:rPr>
        <w:tab/>
      </w:r>
      <w:r>
        <w:rPr>
          <w:rFonts w:ascii="Spectral" w:hAnsi="Spectral" w:eastAsia="Spectral"/>
          <w:color w:val="132338"/>
        </w:rPr>
        <w:t xml:space="preserve">8.6 Open-Items Register</w:t>
      </w:r>
    </w:p>
    <w:p>
      <w:pPr>
        <w:pStyle w:val="FirstParagraph"/>
      </w:pPr>
      <w:r>
        <w:t xml:space="preserve">Only genuinely open items remain; every v1.0</w:t>
      </w:r>
      <w:r>
        <w:t xml:space="preserve"> </w:t>
      </w:r>
      <w:r>
        <w:rPr>
          <w:rStyle w:val="VerbatimChar"/>
        </w:rPr>
        <w:t xml:space="preserve">[CONTEXT-GAP]</w:t>
      </w:r>
      <w:r>
        <w:t xml:space="preserve">,</w:t>
      </w:r>
      <w:r>
        <w:t xml:space="preserve"> </w:t>
      </w:r>
      <w:r>
        <w:rPr>
          <w:rStyle w:val="VerbatimChar"/>
        </w:rPr>
        <w:t xml:space="preserve">[SMART-FAIL]</w:t>
      </w:r>
      <w:r>
        <w:t xml:space="preserve">, and</w:t>
      </w:r>
      <w:r>
        <w:t xml:space="preserve"> </w:t>
      </w:r>
      <w:r>
        <w:rPr>
          <w:rStyle w:val="VerbatimChar"/>
        </w:rPr>
        <w:t xml:space="preserve">[VERIFIABILITY-FAIL]</w:t>
      </w:r>
      <w:r>
        <w:t xml:space="preserve"> </w:t>
      </w:r>
      <w:r>
        <w:t xml:space="preserve">flag is resolved in this baseline (reference hardware defined; NFR scales reconciled; NFR-OGMA-007 oracle fixed; platform scope fixed at CON-6; command palette specified as FR-UX-003; confidence weights pinned by</w:t>
      </w:r>
      <w:r>
        <w:t xml:space="preserve"> </w:t>
      </w:r>
      <w:r>
        <w:rPr>
          <w:rStyle w:val="VerbatimChar"/>
        </w:rPr>
        <w:t xml:space="preserve">ConfidenceMergeTests</w:t>
      </w:r>
      <w:r>
        <w:t xml:space="preserve">; jurisdiction handling fixed per deployment in CTRL-024; Work/Edition detail deferred by design to the FR-CAT-007 V2 Change Impact Analysis).</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Open item</w:t>
            </w:r>
          </w:p>
        </w:tc>
        <w:tc>
          <w:tcPr>
            <w:shd w:fill="132338"/>
          </w:tcPr>
          <w:p>
            <w:pPr>
              <w:pStyle w:val="Compact"/>
            </w:pPr>
            <w:r>
              <w:rPr>
                <w:rFonts w:ascii="Public Sans" w:hAnsi="Public Sans" w:eastAsia="Public Sans"/>
                <w:b/>
                <w:color w:val="FFFFFF"/>
                <w:sz w:val="17"/>
              </w:rPr>
              <w:t xml:space="preserve">Owner</w:t>
            </w:r>
          </w:p>
        </w:tc>
        <w:tc>
          <w:tcPr>
            <w:shd w:fill="132338"/>
          </w:tcPr>
          <w:p>
            <w:pPr>
              <w:pStyle w:val="Compact"/>
            </w:pPr>
            <w:r>
              <w:rPr>
                <w:rFonts w:ascii="Public Sans" w:hAnsi="Public Sans" w:eastAsia="Public Sans"/>
                <w:b/>
                <w:color w:val="FFFFFF"/>
                <w:sz w:val="17"/>
              </w:rPr>
              <w:t xml:space="preserve">Due</w:t>
            </w:r>
          </w:p>
        </w:tc>
      </w:tr>
      <w:tr>
        <w:trPr>
          <w:cantSplit/>
        </w:trPr>
        <w:tc>
          <w:tcPr/>
          <w:p>
            <w:pPr>
              <w:pStyle w:val="Compact"/>
            </w:pPr>
            <w:r>
              <w:t xml:space="preserve">OI-1</w:t>
            </w:r>
          </w:p>
        </w:tc>
        <w:tc>
          <w:tcPr/>
          <w:p>
            <w:pPr>
              <w:pStyle w:val="Compact"/>
            </w:pPr>
            <w:r>
              <w:t xml:space="preserve">Premium PNG icon procurement (placeholders in use; release blocker by policy)</w:t>
            </w:r>
          </w:p>
        </w:tc>
        <w:tc>
          <w:tcPr/>
          <w:p>
            <w:pPr>
              <w:pStyle w:val="Compact"/>
            </w:pPr>
            <w:r>
              <w:t xml:space="preserve">Product owner</w:t>
            </w:r>
          </w:p>
        </w:tc>
        <w:tc>
          <w:tcPr/>
          <w:p>
            <w:pPr>
              <w:pStyle w:val="Compact"/>
            </w:pPr>
            <w:r>
              <w:t xml:space="preserve">Before Phase 22 packaging</w:t>
            </w:r>
          </w:p>
        </w:tc>
      </w:tr>
      <w:tr>
        <w:trPr>
          <w:cantSplit/>
        </w:trPr>
        <w:tc>
          <w:tcPr/>
          <w:p>
            <w:pPr>
              <w:pStyle w:val="Compact"/>
            </w:pPr>
            <w:r>
              <w:t xml:space="preserve">OI-2</w:t>
            </w:r>
          </w:p>
        </w:tc>
        <w:tc>
          <w:tcPr/>
          <w:p>
            <w:pPr>
              <w:pStyle w:val="Compact"/>
            </w:pPr>
            <w:r>
              <w:t xml:space="preserve">EF Core 10.0.9 on net10.0 — confirm or migrate mixed Microsoft.Extensions versions; ADR amendment</w:t>
            </w:r>
          </w:p>
        </w:tc>
        <w:tc>
          <w:tcPr/>
          <w:p>
            <w:pPr>
              <w:pStyle w:val="Compact"/>
            </w:pPr>
            <w:r>
              <w:t xml:space="preserve">Engineering lead</w:t>
            </w:r>
          </w:p>
        </w:tc>
        <w:tc>
          <w:tcPr/>
          <w:p>
            <w:pPr>
              <w:pStyle w:val="Compact"/>
            </w:pPr>
            <w:r>
              <w:t xml:space="preserve">Phase 19 entry</w:t>
            </w:r>
          </w:p>
        </w:tc>
      </w:tr>
      <w:tr>
        <w:trPr>
          <w:cantSplit/>
        </w:trPr>
        <w:tc>
          <w:tcPr/>
          <w:p>
            <w:pPr>
              <w:pStyle w:val="Compact"/>
            </w:pPr>
            <w:r>
              <w:t xml:space="preserve">OI-3</w:t>
            </w:r>
          </w:p>
        </w:tc>
        <w:tc>
          <w:tcPr/>
          <w:p>
            <w:pPr>
              <w:pStyle w:val="Compact"/>
            </w:pPr>
            <w:r>
              <w:t xml:space="preserve">Pricing decision (one-time USD 149–249 band plus update plan; education/classroom licensing lane) per</w:t>
            </w:r>
            <w:r>
              <w:t xml:space="preserve"> </w:t>
            </w:r>
            <w:r>
              <w:rPr>
                <w:rStyle w:val="VerbatimChar"/>
              </w:rPr>
              <w:t xml:space="preserve">_context/competitive-analysis.md</w:t>
            </w:r>
          </w:p>
        </w:tc>
        <w:tc>
          <w:tcPr/>
          <w:p>
            <w:pPr>
              <w:pStyle w:val="Compact"/>
            </w:pPr>
            <w:r>
              <w:t xml:space="preserve">Product owner</w:t>
            </w:r>
          </w:p>
        </w:tc>
        <w:tc>
          <w:tcPr/>
          <w:p>
            <w:pPr>
              <w:pStyle w:val="Compact"/>
            </w:pPr>
            <w:r>
              <w:t xml:space="preserve">Before launch planning (Phase 23)</w:t>
            </w:r>
          </w:p>
        </w:tc>
      </w:tr>
      <w:tr>
        <w:trPr>
          <w:cantSplit/>
        </w:trPr>
        <w:tc>
          <w:tcPr/>
          <w:p>
            <w:pPr>
              <w:pStyle w:val="Compact"/>
            </w:pPr>
            <w:r>
              <w:t xml:space="preserve">OI-4</w:t>
            </w:r>
          </w:p>
        </w:tc>
        <w:tc>
          <w:tcPr/>
          <w:p>
            <w:pPr>
              <w:pStyle w:val="Compact"/>
            </w:pPr>
            <w:r>
              <w:t xml:space="preserve">Spanish, Italian, German localization plus the</w:t>
            </w:r>
            <w:r>
              <w:t xml:space="preserve"> </w:t>
            </w:r>
            <w:r>
              <w:rPr>
                <w:rStyle w:val="VerbatimChar"/>
              </w:rPr>
              <w:t xml:space="preserve">OGMA0001</w:t>
            </w:r>
            <w:r>
              <w:t xml:space="preserve"> </w:t>
            </w:r>
            <w:r>
              <w:t xml:space="preserve">hard-coded-string analyzer</w:t>
            </w:r>
          </w:p>
        </w:tc>
        <w:tc>
          <w:tcPr/>
          <w:p>
            <w:pPr>
              <w:pStyle w:val="Compact"/>
            </w:pPr>
            <w:r>
              <w:t xml:space="preserve">Engineering lead</w:t>
            </w:r>
          </w:p>
        </w:tc>
        <w:tc>
          <w:tcPr/>
          <w:p>
            <w:pPr>
              <w:pStyle w:val="Compact"/>
            </w:pPr>
            <w:r>
              <w:t xml:space="preserve">Phase 21</w:t>
            </w:r>
          </w:p>
        </w:tc>
      </w:tr>
      <w:tr>
        <w:trPr>
          <w:cantSplit/>
        </w:trPr>
        <w:tc>
          <w:tcPr/>
          <w:p>
            <w:pPr>
              <w:pStyle w:val="Compact"/>
            </w:pPr>
            <w:r>
              <w:t xml:space="preserve">OI-5</w:t>
            </w:r>
          </w:p>
        </w:tc>
        <w:tc>
          <w:tcPr/>
          <w:p>
            <w:pPr>
              <w:pStyle w:val="Compact"/>
            </w:pPr>
            <w:r>
              <w:t xml:space="preserve">Phase 19–23 evidence: threat-model execution and at-rest hardening (Phase 19), formal NFR acceptance on W-REF-01/M-REF-01 (Phase 20), WCAG 2.2 AA audit (Phase 21), signing/packaging/store submission (Phase 22), beta/launch operations (Phase 23)</w:t>
            </w:r>
          </w:p>
        </w:tc>
        <w:tc>
          <w:tcPr/>
          <w:p>
            <w:pPr>
              <w:pStyle w:val="Compact"/>
            </w:pPr>
            <w:r>
              <w:t xml:space="preserve">QA / engineering lead</w:t>
            </w:r>
          </w:p>
        </w:tc>
        <w:tc>
          <w:tcPr/>
          <w:p>
            <w:pPr>
              <w:pStyle w:val="Compact"/>
            </w:pPr>
            <w:r>
              <w:t xml:space="preserve">Per phase gate</w:t>
            </w:r>
          </w:p>
        </w:tc>
      </w:tr>
    </w:tbl>
    <w:p>
      <w:pPr>
        <w:pStyle w:val="BodyText"/>
      </w:pPr>
      <w:r>
        <w:t xml:space="preserve">No</w:t>
      </w:r>
      <w:r>
        <w:t xml:space="preserve"> </w:t>
      </w:r>
      <w:r>
        <w:rPr>
          <w:rStyle w:val="VerbatimChar"/>
        </w:rPr>
        <w:t xml:space="preserve">[GLOSSARY-GAP]</w:t>
      </w:r>
      <w:r>
        <w:t xml:space="preserve"> </w:t>
      </w:r>
      <w:r>
        <w:t xml:space="preserve">flags are open: every domain term used in this SRS is defined in</w:t>
      </w:r>
      <w:r>
        <w:t xml:space="preserve"> </w:t>
      </w:r>
      <w:r>
        <w:rPr>
          <w:rStyle w:val="VerbatimChar"/>
        </w:rPr>
        <w:t xml:space="preserve">_context/glossary.md</w:t>
      </w:r>
      <w:r>
        <w:t xml:space="preserve"> </w:t>
      </w:r>
      <w:r>
        <w:t xml:space="preserve">(extended 2026-07-06 for the classroom and reference-hardware vocabulary). Requirement, control, and goal identifiers (FR-, NFR-, CTRL-, BG-, CON-, ASM-, DEP-, UI-, SI-, CI-, ID-, OI-) are document-internal identifiers defined at first use in this SRS.</w:t>
      </w:r>
    </w:p>
    <w:bookmarkEnd w:id="69"/>
    <w:bookmarkEnd w:id="70"/>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SOFTWARE REQUIREMENTS SPECIFICATION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Chwezi Core Systems</dc:creator>
  <cp:keywords>Ogma Library; local-first; requirements; desktop; controlled baseline</cp:keywords>
  <dcterms:created xsi:type="dcterms:W3CDTF">2026-08-13T13:27:20Z</dcterms:created>
  <dcterms:modified xsi:type="dcterms:W3CDTF">2026-08-13T13:27:20Z</dcterms:modified>
  <dc:subject>Ogma Library controlled documentation baseline</dc:subject>
  <dc:description>Version 2.1; Review baseline — not approved for production; regenerated 2026-08-13</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version">
    <vt:lpwstr>2.0</vt:lpwstr>
  </property>
</Properties>
</file>