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Xb3fde2958b6439ef6a7a6c07bccc8397f8bb7e6"/>
    <w:p>
      <w:pPr>
        <w:pStyle w:val="Heading1"/>
      </w:pPr>
      <w:r>
        <w:t xml:space="preserve">Architecture Decision Records — Ogma Library</w:t>
      </w:r>
    </w:p>
    <w:p>
      <w:pPr>
        <w:pStyle w:val="FirstParagraph"/>
      </w:pPr>
      <w:r>
        <w:t xml:space="preserve">This catalogue indexes the Architecture Decision Records (ADRs) for Ogma Library. Each ADR is written in MADR style — Context, Decision Drivers, Considered Options with pros and cons, Decision Outcome, and Consequences — and is the record of one significant architectural decision. Records are immutable once accepted; a superseding decision is captured as a new ADR rather than an in-place edit. Several decisions below are spike-gated against the Phase 0 risk spikes and the open decisions carried from design-report Section 17.</w:t>
      </w:r>
    </w:p>
    <w:bookmarkStart w:id="19" w:name="catalogue"/>
    <w:p>
      <w:pPr>
        <w:pStyle w:val="Heading2"/>
      </w:pPr>
      <w:r>
        <w:t xml:space="preserve">Catalogue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Number</w:t>
            </w:r>
          </w:p>
        </w:tc>
        <w:tc>
          <w:tcPr/>
          <w:p>
            <w:pPr>
              <w:pStyle w:val="Compact"/>
            </w:pPr>
            <w:r>
              <w:t xml:space="preserve">Title</w:t>
            </w:r>
          </w:p>
        </w:tc>
        <w:tc>
          <w:tcPr/>
          <w:p>
            <w:pPr>
              <w:pStyle w:val="Compact"/>
            </w:pPr>
            <w:r>
              <w:t xml:space="preserve">Status</w:t>
            </w:r>
          </w:p>
        </w:tc>
        <w:tc>
          <w:tcPr/>
          <w:p>
            <w:pPr>
              <w:pStyle w:val="Compact"/>
            </w:pPr>
            <w:r>
              <w:t xml:space="preserve">Date</w:t>
            </w:r>
          </w:p>
        </w:tc>
      </w:tr>
      <w:tr>
        <w:tc>
          <w:tcPr/>
          <w:p>
            <w:pPr>
              <w:pStyle w:val="Compact"/>
            </w:pPr>
            <w:r>
              <w:t xml:space="preserve">ADR-0001</w:t>
            </w:r>
          </w:p>
        </w:tc>
        <w:tc>
          <w:tcPr/>
          <w:p>
            <w:pPr>
              <w:pStyle w:val="Compact"/>
            </w:pPr>
            <w:r>
              <w:t xml:space="preserve">Target .NET 10 LTS as the application runtime</w:t>
            </w:r>
          </w:p>
        </w:tc>
        <w:tc>
          <w:tcPr/>
          <w:p>
            <w:pPr>
              <w:pStyle w:val="Compact"/>
            </w:pPr>
            <w:r>
              <w:t xml:space="preserve">Proposed</w:t>
            </w:r>
          </w:p>
        </w:tc>
        <w:tc>
          <w:tcPr/>
          <w:p>
            <w:pPr>
              <w:pStyle w:val="Compact"/>
            </w:pPr>
            <w:r>
              <w:t xml:space="preserve">2026-05-30</w:t>
            </w:r>
          </w:p>
        </w:tc>
      </w:tr>
      <w:tr>
        <w:tc>
          <w:tcPr/>
          <w:p>
            <w:pPr>
              <w:pStyle w:val="Compact"/>
            </w:pPr>
            <w:r>
              <w:t xml:space="preserve">ADR-0002</w:t>
            </w:r>
          </w:p>
        </w:tc>
        <w:tc>
          <w:tcPr/>
          <w:p>
            <w:pPr>
              <w:pStyle w:val="Compact"/>
            </w:pPr>
            <w:r>
              <w:t xml:space="preserve">Adopt Avalonia as the cross-platform desktop shell</w:t>
            </w:r>
          </w:p>
        </w:tc>
        <w:tc>
          <w:tcPr/>
          <w:p>
            <w:pPr>
              <w:pStyle w:val="Compact"/>
            </w:pPr>
            <w:r>
              <w:t xml:space="preserve">Proposed</w:t>
            </w:r>
          </w:p>
        </w:tc>
        <w:tc>
          <w:tcPr/>
          <w:p>
            <w:pPr>
              <w:pStyle w:val="Compact"/>
            </w:pPr>
            <w:r>
              <w:t xml:space="preserve">2026-05-30</w:t>
            </w:r>
          </w:p>
        </w:tc>
      </w:tr>
      <w:tr>
        <w:tc>
          <w:tcPr/>
          <w:p>
            <w:pPr>
              <w:pStyle w:val="Compact"/>
            </w:pPr>
            <w:r>
              <w:t xml:space="preserve">ADR-0003</w:t>
            </w:r>
          </w:p>
        </w:tc>
        <w:tc>
          <w:tcPr/>
          <w:p>
            <w:pPr>
              <w:pStyle w:val="Compact"/>
            </w:pPr>
            <w:r>
              <w:t xml:space="preserve">Render the 3D shelf with WebView-hosted Three.js behind a spike gate</w:t>
            </w:r>
          </w:p>
        </w:tc>
        <w:tc>
          <w:tcPr/>
          <w:p>
            <w:pPr>
              <w:pStyle w:val="Compact"/>
            </w:pPr>
            <w:r>
              <w:t xml:space="preserve">Proposed</w:t>
            </w:r>
          </w:p>
        </w:tc>
        <w:tc>
          <w:tcPr/>
          <w:p>
            <w:pPr>
              <w:pStyle w:val="Compact"/>
            </w:pPr>
            <w:r>
              <w:t xml:space="preserve">2026-05-30</w:t>
            </w:r>
          </w:p>
        </w:tc>
      </w:tr>
      <w:tr>
        <w:tc>
          <w:tcPr/>
          <w:p>
            <w:pPr>
              <w:pStyle w:val="Compact"/>
            </w:pPr>
            <w:r>
              <w:t xml:space="preserve">ADR-0004</w:t>
            </w:r>
          </w:p>
        </w:tc>
        <w:tc>
          <w:tcPr/>
          <w:p>
            <w:pPr>
              <w:pStyle w:val="Compact"/>
            </w:pPr>
            <w:r>
              <w:t xml:space="preserve">Render and extract PDF content with PDFium behind an adapter</w:t>
            </w:r>
          </w:p>
        </w:tc>
        <w:tc>
          <w:tcPr/>
          <w:p>
            <w:pPr>
              <w:pStyle w:val="Compact"/>
            </w:pPr>
            <w:r>
              <w:t xml:space="preserve">Proposed</w:t>
            </w:r>
          </w:p>
        </w:tc>
        <w:tc>
          <w:tcPr/>
          <w:p>
            <w:pPr>
              <w:pStyle w:val="Compact"/>
            </w:pPr>
            <w:r>
              <w:t xml:space="preserve">2026-05-30</w:t>
            </w:r>
          </w:p>
        </w:tc>
      </w:tr>
      <w:tr>
        <w:tc>
          <w:tcPr/>
          <w:p>
            <w:pPr>
              <w:pStyle w:val="Compact"/>
            </w:pPr>
            <w:r>
              <w:t xml:space="preserve">ADR-0005</w:t>
            </w:r>
          </w:p>
        </w:tc>
        <w:tc>
          <w:tcPr/>
          <w:p>
            <w:pPr>
              <w:pStyle w:val="Compact"/>
            </w:pPr>
            <w:r>
              <w:t xml:space="preserve">Use a SQLite catalogue of record with a sidecar asset folder</w:t>
            </w:r>
          </w:p>
        </w:tc>
        <w:tc>
          <w:tcPr/>
          <w:p>
            <w:pPr>
              <w:pStyle w:val="Compact"/>
            </w:pPr>
            <w:r>
              <w:t xml:space="preserve">Proposed</w:t>
            </w:r>
          </w:p>
        </w:tc>
        <w:tc>
          <w:tcPr/>
          <w:p>
            <w:pPr>
              <w:pStyle w:val="Compact"/>
            </w:pPr>
            <w:r>
              <w:t xml:space="preserve">2026-05-30</w:t>
            </w:r>
          </w:p>
        </w:tc>
      </w:tr>
      <w:tr>
        <w:tc>
          <w:tcPr/>
          <w:p>
            <w:pPr>
              <w:pStyle w:val="Compact"/>
            </w:pPr>
            <w:r>
              <w:t xml:space="preserve">ADR-0006</w:t>
            </w:r>
          </w:p>
        </w:tc>
        <w:tc>
          <w:tcPr/>
          <w:p>
            <w:pPr>
              <w:pStyle w:val="Compact"/>
            </w:pPr>
            <w:r>
              <w:t xml:space="preserve">Build search as hybrid metadata, FTS5, and semantic embeddings</w:t>
            </w:r>
          </w:p>
        </w:tc>
        <w:tc>
          <w:tcPr/>
          <w:p>
            <w:pPr>
              <w:pStyle w:val="Compact"/>
            </w:pPr>
            <w:r>
              <w:t xml:space="preserve">Proposed</w:t>
            </w:r>
          </w:p>
        </w:tc>
        <w:tc>
          <w:tcPr/>
          <w:p>
            <w:pPr>
              <w:pStyle w:val="Compact"/>
            </w:pPr>
            <w:r>
              <w:t xml:space="preserve">2026-05-30</w:t>
            </w:r>
          </w:p>
        </w:tc>
      </w:tr>
      <w:tr>
        <w:tc>
          <w:tcPr/>
          <w:p>
            <w:pPr>
              <w:pStyle w:val="Compact"/>
            </w:pPr>
            <w:r>
              <w:t xml:space="preserve">ADR-0007</w:t>
            </w:r>
          </w:p>
        </w:tc>
        <w:tc>
          <w:tcPr/>
          <w:p>
            <w:pPr>
              <w:pStyle w:val="Compact"/>
            </w:pPr>
            <w:r>
              <w:t xml:space="preserve">Route AI through a provider-neutral gateway with four privacy tiers</w:t>
            </w:r>
          </w:p>
        </w:tc>
        <w:tc>
          <w:tcPr/>
          <w:p>
            <w:pPr>
              <w:pStyle w:val="Compact"/>
            </w:pPr>
            <w:r>
              <w:t xml:space="preserve">Proposed</w:t>
            </w:r>
          </w:p>
        </w:tc>
        <w:tc>
          <w:tcPr/>
          <w:p>
            <w:pPr>
              <w:pStyle w:val="Compact"/>
            </w:pPr>
            <w:r>
              <w:t xml:space="preserve">2026-05-30</w:t>
            </w:r>
          </w:p>
        </w:tc>
      </w:tr>
      <w:tr>
        <w:tc>
          <w:tcPr/>
          <w:p>
            <w:pPr>
              <w:pStyle w:val="Compact"/>
            </w:pPr>
            <w:r>
              <w:t xml:space="preserve">ADR-0008</w:t>
            </w:r>
          </w:p>
        </w:tc>
        <w:tc>
          <w:tcPr/>
          <w:p>
            <w:pPr>
              <w:pStyle w:val="Compact"/>
            </w:pPr>
            <w:r>
              <w:t xml:space="preserve">Store annotations and metadata database-first, write back to PDF later</w:t>
            </w:r>
          </w:p>
        </w:tc>
        <w:tc>
          <w:tcPr/>
          <w:p>
            <w:pPr>
              <w:pStyle w:val="Compact"/>
            </w:pPr>
            <w:r>
              <w:t xml:space="preserve">Proposed</w:t>
            </w:r>
          </w:p>
        </w:tc>
        <w:tc>
          <w:tcPr/>
          <w:p>
            <w:pPr>
              <w:pStyle w:val="Compact"/>
            </w:pPr>
            <w:r>
              <w:t xml:space="preserve">2026-05-30</w:t>
            </w:r>
          </w:p>
        </w:tc>
      </w:tr>
      <w:tr>
        <w:tc>
          <w:tcPr/>
          <w:p>
            <w:pPr>
              <w:pStyle w:val="Compact"/>
            </w:pPr>
            <w:r>
              <w:t xml:space="preserve">ADR-0009</w:t>
            </w:r>
          </w:p>
        </w:tc>
        <w:tc>
          <w:tcPr/>
          <w:p>
            <w:pPr>
              <w:pStyle w:val="Compact"/>
            </w:pPr>
            <w:r>
              <w:t xml:space="preserve">Distribute with Velopack for direct channels and MSIX for Store and enterprise</w:t>
            </w:r>
          </w:p>
        </w:tc>
        <w:tc>
          <w:tcPr/>
          <w:p>
            <w:pPr>
              <w:pStyle w:val="Compact"/>
            </w:pPr>
            <w:r>
              <w:t xml:space="preserve">Proposed</w:t>
            </w:r>
          </w:p>
        </w:tc>
        <w:tc>
          <w:tcPr/>
          <w:p>
            <w:pPr>
              <w:pStyle w:val="Compact"/>
            </w:pPr>
            <w:r>
              <w:t xml:space="preserve">2026-05-30</w:t>
            </w:r>
          </w:p>
        </w:tc>
      </w:tr>
    </w:tbl>
    <w:bookmarkEnd w:id="19"/>
    <w:bookmarkStart w:id="20" w:name="status-legend"/>
    <w:p>
      <w:pPr>
        <w:pStyle w:val="Heading2"/>
      </w:pPr>
      <w:r>
        <w:t xml:space="preserve">Status Legend</w:t>
      </w:r>
    </w:p>
    <w:p>
      <w:pPr>
        <w:pStyle w:val="Compact"/>
        <w:numPr>
          <w:ilvl w:val="0"/>
          <w:numId w:val="1001"/>
        </w:numPr>
      </w:pPr>
      <w:r>
        <w:rPr>
          <w:b/>
          <w:bCs/>
        </w:rPr>
        <w:t xml:space="preserve">Proposed</w:t>
      </w:r>
      <w:r>
        <w:t xml:space="preserve"> </w:t>
      </w:r>
      <w:r>
        <w:t xml:space="preserve">— drafted and under review; not yet ratified into the signed baseline.</w:t>
      </w:r>
    </w:p>
    <w:p>
      <w:pPr>
        <w:pStyle w:val="Compact"/>
        <w:numPr>
          <w:ilvl w:val="0"/>
          <w:numId w:val="1001"/>
        </w:numPr>
      </w:pPr>
      <w:r>
        <w:rPr>
          <w:b/>
          <w:bCs/>
        </w:rPr>
        <w:t xml:space="preserve">Accepted</w:t>
      </w:r>
      <w:r>
        <w:t xml:space="preserve"> </w:t>
      </w:r>
      <w:r>
        <w:t xml:space="preserve">— ratified; binding on the build phases.</w:t>
      </w:r>
    </w:p>
    <w:p>
      <w:pPr>
        <w:pStyle w:val="Compact"/>
        <w:numPr>
          <w:ilvl w:val="0"/>
          <w:numId w:val="1001"/>
        </w:numPr>
      </w:pPr>
      <w:r>
        <w:rPr>
          <w:b/>
          <w:bCs/>
        </w:rPr>
        <w:t xml:space="preserve">Superseded</w:t>
      </w:r>
      <w:r>
        <w:t xml:space="preserve"> </w:t>
      </w:r>
      <w:r>
        <w:t xml:space="preserve">— replaced by a later ADR, named in this catalogue when it occurs.</w:t>
      </w:r>
    </w:p>
    <w:bookmarkEnd w:id="20"/>
    <w:bookmarkStart w:id="21" w:name="file-convention"/>
    <w:p>
      <w:pPr>
        <w:pStyle w:val="Heading2"/>
      </w:pPr>
      <w:r>
        <w:t xml:space="preserve">File Convention</w:t>
      </w:r>
    </w:p>
    <w:p>
      <w:pPr>
        <w:pStyle w:val="FirstParagraph"/>
      </w:pPr>
      <w:r>
        <w:t xml:space="preserve">ADR files are named</w:t>
      </w:r>
      <w:r>
        <w:t xml:space="preserve"> </w:t>
      </w:r>
      <w:r>
        <w:rPr>
          <w:rStyle w:val="VerbatimChar"/>
        </w:rPr>
        <w:t xml:space="preserve">NNNN-slug.md</w:t>
      </w:r>
      <w:r>
        <w:t xml:space="preserve"> </w:t>
      </w:r>
      <w:r>
        <w:t xml:space="preserve">with a zero-padded four-digit number. The number is permanent and is never reused, even if an ADR is later superseded.</w:t>
      </w:r>
    </w:p>
    <w:bookmarkEnd w:id="21"/>
    <w:bookmarkEnd w:id="22"/>
    <w:bookmarkStart w:id="31" w:name="X6d936dbaf312f364950669d59ecabfa043f0c18"/>
    <w:p>
      <w:pPr>
        <w:pStyle w:val="Heading1"/>
      </w:pPr>
      <w:r>
        <w:t xml:space="preserve">ADR-0001: Target .NET 10 LTS as the Application Runtime</w:t>
      </w:r>
    </w:p>
    <w:p>
      <w:pPr>
        <w:pStyle w:val="Compact"/>
        <w:numPr>
          <w:ilvl w:val="0"/>
          <w:numId w:val="1002"/>
        </w:numPr>
      </w:pPr>
      <w:r>
        <w:t xml:space="preserve">Status: Proposed</w:t>
      </w:r>
    </w:p>
    <w:p>
      <w:pPr>
        <w:pStyle w:val="Compact"/>
        <w:numPr>
          <w:ilvl w:val="0"/>
          <w:numId w:val="1002"/>
        </w:numPr>
      </w:pPr>
      <w:r>
        <w:t xml:space="preserve">Date: 2026-05-30</w:t>
      </w:r>
    </w:p>
    <w:bookmarkStart w:id="23" w:name="context"/>
    <w:p>
      <w:pPr>
        <w:pStyle w:val="Heading2"/>
      </w:pPr>
      <w:r>
        <w:t xml:space="preserve">Context</w:t>
      </w:r>
    </w:p>
    <w:p>
      <w:pPr>
        <w:pStyle w:val="FirstParagraph"/>
      </w:pPr>
      <w:r>
        <w:t xml:space="preserve">Ogma Library is a new local-first desktop application whose first commit lands in May 2026 and whose maintenance window must extend well past initial launch. The original specification names .NET 8 and C# 12. .NET 8 reaches end of support on 2026-11-10, roughly six months after this engagement begins, which would force a runtime migration during the build phases rather than after a stable release. .NET 10 is the November 2025 Long-Term Support (LTS) release, supported through 2028-11-14. Both releases run the same desktop UI stacks the project depends on (Avalonia per ADR-0002, WebView hosting per ADR-0003) and offer equivalent access to the PDF, SQLite, and AI-gateway libraries the architecture requires.</w:t>
      </w:r>
    </w:p>
    <w:bookmarkEnd w:id="23"/>
    <w:bookmarkStart w:id="24" w:name="decision-drivers"/>
    <w:p>
      <w:pPr>
        <w:pStyle w:val="Heading2"/>
      </w:pPr>
      <w:r>
        <w:t xml:space="preserve">Decision Drivers</w:t>
      </w:r>
    </w:p>
    <w:p>
      <w:pPr>
        <w:pStyle w:val="Compact"/>
        <w:numPr>
          <w:ilvl w:val="0"/>
          <w:numId w:val="1003"/>
        </w:numPr>
      </w:pPr>
      <w:r>
        <w:t xml:space="preserve">Support runway: a runtime whose support ends before the product stabilises is a liability, not a foundation.</w:t>
      </w:r>
    </w:p>
    <w:p>
      <w:pPr>
        <w:pStyle w:val="Compact"/>
        <w:numPr>
          <w:ilvl w:val="0"/>
          <w:numId w:val="1003"/>
        </w:numPr>
      </w:pPr>
      <w:r>
        <w:t xml:space="preserve">Migration cost: choosing the shorter-lived runtime guarantees a forced in-flight migration during Phase 0 through Phase 7.</w:t>
      </w:r>
    </w:p>
    <w:p>
      <w:pPr>
        <w:pStyle w:val="Compact"/>
        <w:numPr>
          <w:ilvl w:val="0"/>
          <w:numId w:val="1003"/>
        </w:numPr>
      </w:pPr>
      <w:r>
        <w:t xml:space="preserve">Library and tooling parity: the desktop, PDF, and storage dependencies must be available and supported on the chosen runtime.</w:t>
      </w:r>
    </w:p>
    <w:p>
      <w:pPr>
        <w:pStyle w:val="Compact"/>
        <w:numPr>
          <w:ilvl w:val="0"/>
          <w:numId w:val="1003"/>
        </w:numPr>
      </w:pPr>
      <w:r>
        <w:t xml:space="preserve">Reversibility: the project must retain a clean, documented path to fall back if a hard blocker emerges.</w:t>
      </w:r>
    </w:p>
    <w:bookmarkEnd w:id="24"/>
    <w:bookmarkStart w:id="28" w:name="considered-options"/>
    <w:p>
      <w:pPr>
        <w:pStyle w:val="Heading2"/>
      </w:pPr>
      <w:r>
        <w:t xml:space="preserve">Considered Options</w:t>
      </w:r>
    </w:p>
    <w:bookmarkStart w:id="25" w:name="option-a--net-10-lts"/>
    <w:p>
      <w:pPr>
        <w:pStyle w:val="Heading3"/>
      </w:pPr>
      <w:r>
        <w:t xml:space="preserve">Option A — .NET 10 LTS</w:t>
      </w:r>
    </w:p>
    <w:p>
      <w:pPr>
        <w:pStyle w:val="Compact"/>
        <w:numPr>
          <w:ilvl w:val="0"/>
          <w:numId w:val="1004"/>
        </w:numPr>
      </w:pPr>
      <w:r>
        <w:t xml:space="preserve">Pros: supported through 2028-11-14, giving a 2.5-year-plus runway past launch; latest LTS C# language and runtime performance; no forced mid-build runtime migration; matches the vision document's runtime-baseline correction.</w:t>
      </w:r>
    </w:p>
    <w:p>
      <w:pPr>
        <w:pStyle w:val="Compact"/>
        <w:numPr>
          <w:ilvl w:val="0"/>
          <w:numId w:val="1004"/>
        </w:numPr>
      </w:pPr>
      <w:r>
        <w:t xml:space="preserve">Cons: a small number of third-party libraries may lag an LTS release by weeks at launch; the team adopts a runtime newer than the one named in the original specification.</w:t>
      </w:r>
    </w:p>
    <w:bookmarkEnd w:id="25"/>
    <w:bookmarkStart w:id="26" w:name="X7f4b347c77a26609a26a9973a7e97a051f6ebbf"/>
    <w:p>
      <w:pPr>
        <w:pStyle w:val="Heading3"/>
      </w:pPr>
      <w:r>
        <w:t xml:space="preserve">Option B — .NET 8 (as named in the original specification)</w:t>
      </w:r>
    </w:p>
    <w:p>
      <w:pPr>
        <w:pStyle w:val="Compact"/>
        <w:numPr>
          <w:ilvl w:val="0"/>
          <w:numId w:val="1005"/>
        </w:numPr>
      </w:pPr>
      <w:r>
        <w:t xml:space="preserve">Pros: maximum third-party library maturity on day one; matches the literal text of the source specification.</w:t>
      </w:r>
    </w:p>
    <w:p>
      <w:pPr>
        <w:pStyle w:val="Compact"/>
        <w:numPr>
          <w:ilvl w:val="0"/>
          <w:numId w:val="1005"/>
        </w:numPr>
      </w:pPr>
      <w:r>
        <w:t xml:space="preserve">Cons: end of support on 2026-11-10 forces a migration within months of project start; shipping a product on an out-of-support runtime is a security and supportability defect.</w:t>
      </w:r>
    </w:p>
    <w:bookmarkEnd w:id="26"/>
    <w:bookmarkStart w:id="27" w:name="Xd6907ff802ab66ec1d2a170e20a3c3c158f859d"/>
    <w:p>
      <w:pPr>
        <w:pStyle w:val="Heading3"/>
      </w:pPr>
      <w:r>
        <w:t xml:space="preserve">Option C — .NET 8 now, planned migration to .NET 10 later</w:t>
      </w:r>
    </w:p>
    <w:p>
      <w:pPr>
        <w:pStyle w:val="Compact"/>
        <w:numPr>
          <w:ilvl w:val="0"/>
          <w:numId w:val="1006"/>
        </w:numPr>
      </w:pPr>
      <w:r>
        <w:t xml:space="preserve">Pros: starts on the most mature library set; defers the newer runtime.</w:t>
      </w:r>
    </w:p>
    <w:p>
      <w:pPr>
        <w:pStyle w:val="Compact"/>
        <w:numPr>
          <w:ilvl w:val="0"/>
          <w:numId w:val="1006"/>
        </w:numPr>
      </w:pPr>
      <w:r>
        <w:t xml:space="preserve">Cons: schedules certain rework; carries the .NET 8 end-of-support risk through the highest-churn build phases; doubles runtime validation effort.</w:t>
      </w:r>
    </w:p>
    <w:bookmarkEnd w:id="27"/>
    <w:bookmarkEnd w:id="28"/>
    <w:bookmarkStart w:id="29" w:name="decision-outcome"/>
    <w:p>
      <w:pPr>
        <w:pStyle w:val="Heading2"/>
      </w:pPr>
      <w:r>
        <w:t xml:space="preserve">Decision Outcome</w:t>
      </w:r>
    </w:p>
    <w:p>
      <w:pPr>
        <w:pStyle w:val="FirstParagraph"/>
      </w:pPr>
      <w:r>
        <w:t xml:space="preserve">Adopt</w:t>
      </w:r>
      <w:r>
        <w:t xml:space="preserve"> </w:t>
      </w:r>
      <w:r>
        <w:rPr>
          <w:b/>
          <w:bCs/>
        </w:rPr>
        <w:t xml:space="preserve">.NET 10 LTS</w:t>
      </w:r>
      <w:r>
        <w:t xml:space="preserve"> </w:t>
      </w:r>
      <w:r>
        <w:t xml:space="preserve">as the application runtime and target language version. Fall back to .NET 8 only behind a documented, specific blocker recorded as an amendment to this ADR, and only with a dated migration plan back to .NET 10 LTS attached at the time the blocker is recorded. The blocker must name the library or platform capability that fails on .NET 10, the evidence, and the target date for re-evaluation. This decision is confirmed or revisited at the close of Phase 0, the runtime-decision deadline carried from design-report Section 17.</w:t>
      </w:r>
    </w:p>
    <w:bookmarkEnd w:id="29"/>
    <w:bookmarkStart w:id="30" w:name="consequences"/>
    <w:p>
      <w:pPr>
        <w:pStyle w:val="Heading2"/>
      </w:pPr>
      <w:r>
        <w:t xml:space="preserve">Consequences</w:t>
      </w:r>
    </w:p>
    <w:p>
      <w:pPr>
        <w:pStyle w:val="Compact"/>
        <w:numPr>
          <w:ilvl w:val="0"/>
          <w:numId w:val="1007"/>
        </w:numPr>
      </w:pPr>
      <w:r>
        <w:t xml:space="preserve">Positive: the product ships on a runtime supported through 2028-11-14, avoiding a forced mid-build runtime migration and an out-of-support launch.</w:t>
      </w:r>
    </w:p>
    <w:p>
      <w:pPr>
        <w:pStyle w:val="Compact"/>
        <w:numPr>
          <w:ilvl w:val="0"/>
          <w:numId w:val="1007"/>
        </w:numPr>
      </w:pPr>
      <w:r>
        <w:t xml:space="preserve">Positive: a single runtime decision governs all build phases, simplifying continuous-integration matrix and dependency validation.</w:t>
      </w:r>
    </w:p>
    <w:p>
      <w:pPr>
        <w:pStyle w:val="Compact"/>
        <w:numPr>
          <w:ilvl w:val="0"/>
          <w:numId w:val="1007"/>
        </w:numPr>
      </w:pPr>
      <w:r>
        <w:t xml:space="preserve">Negative: any dependency that is not yet validated on .NET 10 at adoption time must be spike-tested in Phase 0; an unresolved case triggers the documented fallback rather than a silent downgrade.</w:t>
      </w:r>
    </w:p>
    <w:p>
      <w:pPr>
        <w:pStyle w:val="Compact"/>
        <w:numPr>
          <w:ilvl w:val="0"/>
          <w:numId w:val="1007"/>
        </w:numPr>
      </w:pPr>
      <w:r>
        <w:t xml:space="preserve">Affects: every build artifact and the packaging pipeline (ADR-0009); the Phase 0 risk-spike backlog must include a .NET 10 dependency-validation spike.</w:t>
      </w:r>
    </w:p>
    <w:bookmarkEnd w:id="30"/>
    <w:bookmarkEnd w:id="31"/>
    <w:bookmarkStart w:id="41" w:name="X3624a3f38a507c6b093a524f9fd1088330d90e9"/>
    <w:p>
      <w:pPr>
        <w:pStyle w:val="Heading1"/>
      </w:pPr>
      <w:r>
        <w:t xml:space="preserve">ADR-0002: Adopt Avalonia as the Cross-Platform Desktop Shell</w:t>
      </w:r>
    </w:p>
    <w:p>
      <w:pPr>
        <w:pStyle w:val="Compact"/>
        <w:numPr>
          <w:ilvl w:val="0"/>
          <w:numId w:val="1008"/>
        </w:numPr>
      </w:pPr>
      <w:r>
        <w:t xml:space="preserve">Status: Proposed</w:t>
      </w:r>
    </w:p>
    <w:p>
      <w:pPr>
        <w:pStyle w:val="Compact"/>
        <w:numPr>
          <w:ilvl w:val="0"/>
          <w:numId w:val="1008"/>
        </w:numPr>
      </w:pPr>
      <w:r>
        <w:t xml:space="preserve">Date: 2026-05-30</w:t>
      </w:r>
    </w:p>
    <w:bookmarkStart w:id="32" w:name="context-1"/>
    <w:p>
      <w:pPr>
        <w:pStyle w:val="Heading2"/>
      </w:pPr>
      <w:r>
        <w:t xml:space="preserve">Context</w:t>
      </w:r>
    </w:p>
    <w:p>
      <w:pPr>
        <w:pStyle w:val="FirstParagraph"/>
      </w:pPr>
      <w:r>
        <w:t xml:space="preserve">Ogma Library targets Windows and macOS as first-class desktop platforms and must feel native, calm, and refined on each, in line with the</w:t>
      </w:r>
      <w:r>
        <w:t xml:space="preserve"> </w:t>
      </w:r>
      <w:r>
        <w:rPr>
          <w:i/>
          <w:iCs/>
        </w:rPr>
        <w:t xml:space="preserve">premium means calm control</w:t>
      </w:r>
      <w:r>
        <w:t xml:space="preserve"> </w:t>
      </w:r>
      <w:r>
        <w:t xml:space="preserve">product principle. The application is a managed-library experience — shelves, grid, list, directory, reader, metadata editing, search, and an AI advisor — that needs a mature, controllable widget toolkit, virtualised lists for large collections, and full keyboard and screen-reader operability to meet the WCAG 2.2 Level AA release gate. One surface, the immersive 3D shelf, requires a hardware-accelerated rendering path that no general-purpose desktop toolkit provides natively; that surface is addressed separately in ADR-0003. The shell choice must therefore deliver a native-feeling chrome for the bulk of the application while admitting a hosted web surface for the 3D shelf alone.</w:t>
      </w:r>
    </w:p>
    <w:bookmarkEnd w:id="32"/>
    <w:bookmarkStart w:id="33" w:name="decision-drivers-1"/>
    <w:p>
      <w:pPr>
        <w:pStyle w:val="Heading2"/>
      </w:pPr>
      <w:r>
        <w:t xml:space="preserve">Decision Drivers</w:t>
      </w:r>
    </w:p>
    <w:p>
      <w:pPr>
        <w:pStyle w:val="Compact"/>
        <w:numPr>
          <w:ilvl w:val="0"/>
          <w:numId w:val="1009"/>
        </w:numPr>
      </w:pPr>
      <w:r>
        <w:t xml:space="preserve">Cross-platform parity on Windows and macOS from a single C# and .NET 10 codebase.</w:t>
      </w:r>
    </w:p>
    <w:p>
      <w:pPr>
        <w:pStyle w:val="Compact"/>
        <w:numPr>
          <w:ilvl w:val="0"/>
          <w:numId w:val="1009"/>
        </w:numPr>
      </w:pPr>
      <w:r>
        <w:t xml:space="preserve">Native-feeling, themeable chrome and virtualised collection views for large libraries.</w:t>
      </w:r>
    </w:p>
    <w:p>
      <w:pPr>
        <w:pStyle w:val="Compact"/>
        <w:numPr>
          <w:ilvl w:val="0"/>
          <w:numId w:val="1009"/>
        </w:numPr>
      </w:pPr>
      <w:r>
        <w:t xml:space="preserve">Keyboard and screen-reader accessibility sufficient for a WCAG 2.2 AA release gate.</w:t>
      </w:r>
    </w:p>
    <w:p>
      <w:pPr>
        <w:pStyle w:val="Compact"/>
        <w:numPr>
          <w:ilvl w:val="0"/>
          <w:numId w:val="1009"/>
        </w:numPr>
      </w:pPr>
      <w:r>
        <w:t xml:space="preserve">Ability to host a web surface for the 3D shelf without adopting a web stack for the whole shell.</w:t>
      </w:r>
    </w:p>
    <w:p>
      <w:pPr>
        <w:pStyle w:val="Compact"/>
        <w:numPr>
          <w:ilvl w:val="0"/>
          <w:numId w:val="1009"/>
        </w:numPr>
      </w:pPr>
      <w:r>
        <w:t xml:space="preserve">Team skill alignment with C# and .NET rather than a second UI language.</w:t>
      </w:r>
    </w:p>
    <w:bookmarkEnd w:id="33"/>
    <w:bookmarkStart w:id="38" w:name="considered-options-1"/>
    <w:p>
      <w:pPr>
        <w:pStyle w:val="Heading2"/>
      </w:pPr>
      <w:r>
        <w:t xml:space="preserve">Considered Options</w:t>
      </w:r>
    </w:p>
    <w:bookmarkStart w:id="34" w:name="option-a--avalonia"/>
    <w:p>
      <w:pPr>
        <w:pStyle w:val="Heading3"/>
      </w:pPr>
      <w:r>
        <w:t xml:space="preserve">Option A — Avalonia</w:t>
      </w:r>
    </w:p>
    <w:p>
      <w:pPr>
        <w:pStyle w:val="Compact"/>
        <w:numPr>
          <w:ilvl w:val="0"/>
          <w:numId w:val="1010"/>
        </w:numPr>
      </w:pPr>
      <w:r>
        <w:t xml:space="preserve">Pros: single C# and XAML codebase across Windows and macOS (and Linux as a bonus); mature theming and control set; supports virtualised lists; integrates a native WebView surface for the 3D shelf; aligns with the .NET 10 runtime decision and the team's C# skills.</w:t>
      </w:r>
    </w:p>
    <w:p>
      <w:pPr>
        <w:pStyle w:val="Compact"/>
        <w:numPr>
          <w:ilvl w:val="0"/>
          <w:numId w:val="1010"/>
        </w:numPr>
      </w:pPr>
      <w:r>
        <w:t xml:space="preserve">Cons: smaller ecosystem than Windows-only stacks; some platform-native conveniences must be themed rather than inherited; macOS WebView behaviour must be validated (carried into ADR-0003).</w:t>
      </w:r>
    </w:p>
    <w:bookmarkEnd w:id="34"/>
    <w:bookmarkStart w:id="35" w:name="X3288458f156b50eada8e24fff55ee5d53e73370"/>
    <w:p>
      <w:pPr>
        <w:pStyle w:val="Heading3"/>
      </w:pPr>
      <w:r>
        <w:t xml:space="preserve">Option B — Per-platform native (WinUI on Windows, SwiftUI/AppKit on macOS)</w:t>
      </w:r>
    </w:p>
    <w:p>
      <w:pPr>
        <w:pStyle w:val="Compact"/>
        <w:numPr>
          <w:ilvl w:val="0"/>
          <w:numId w:val="1011"/>
        </w:numPr>
      </w:pPr>
      <w:r>
        <w:t xml:space="preserve">Pros: maximal native fidelity and accessibility per platform.</w:t>
      </w:r>
    </w:p>
    <w:p>
      <w:pPr>
        <w:pStyle w:val="Compact"/>
        <w:numPr>
          <w:ilvl w:val="0"/>
          <w:numId w:val="1011"/>
        </w:numPr>
      </w:pPr>
      <w:r>
        <w:t xml:space="preserve">Cons: two UI codebases in two languages double the build, test, and maintenance cost for a small team; feature parity drifts; shared catalogue, reader, and AI logic must straddle a language boundary.</w:t>
      </w:r>
    </w:p>
    <w:bookmarkEnd w:id="35"/>
    <w:bookmarkStart w:id="36" w:name="X18a5057d51250843e65c3fd96906a2e6d7e67bc"/>
    <w:p>
      <w:pPr>
        <w:pStyle w:val="Heading3"/>
      </w:pPr>
      <w:r>
        <w:t xml:space="preserve">Option C — Electron (web stack for the entire shell)</w:t>
      </w:r>
    </w:p>
    <w:p>
      <w:pPr>
        <w:pStyle w:val="Compact"/>
        <w:numPr>
          <w:ilvl w:val="0"/>
          <w:numId w:val="1012"/>
        </w:numPr>
      </w:pPr>
      <w:r>
        <w:t xml:space="preserve">Pros: one web codebase; the 3D shelf is trivial inside a browser engine.</w:t>
      </w:r>
    </w:p>
    <w:p>
      <w:pPr>
        <w:pStyle w:val="Compact"/>
        <w:numPr>
          <w:ilvl w:val="0"/>
          <w:numId w:val="1012"/>
        </w:numPr>
      </w:pPr>
      <w:r>
        <w:t xml:space="preserve">Cons: heavyweight memory and startup footprint conflicts with the cold-start and calm-control budgets; weaker native feel; a JavaScript/TypeScript shell diverges from the C# and .NET 10 core, splitting the codebase and the team's skills.</w:t>
      </w:r>
    </w:p>
    <w:bookmarkEnd w:id="36"/>
    <w:bookmarkStart w:id="37" w:name="option-d--maui"/>
    <w:p>
      <w:pPr>
        <w:pStyle w:val="Heading3"/>
      </w:pPr>
      <w:r>
        <w:t xml:space="preserve">Option D — MAUI</w:t>
      </w:r>
    </w:p>
    <w:p>
      <w:pPr>
        <w:pStyle w:val="Compact"/>
        <w:numPr>
          <w:ilvl w:val="0"/>
          <w:numId w:val="1013"/>
        </w:numPr>
      </w:pPr>
      <w:r>
        <w:t xml:space="preserve">Pros: first-party .NET cross-platform framework.</w:t>
      </w:r>
    </w:p>
    <w:p>
      <w:pPr>
        <w:pStyle w:val="Compact"/>
        <w:numPr>
          <w:ilvl w:val="0"/>
          <w:numId w:val="1013"/>
        </w:numPr>
      </w:pPr>
      <w:r>
        <w:t xml:space="preserve">Cons: desktop maturity and control breadth lag Avalonia for a dense desktop library application; macOS desktop story is less proven for this class of UI.</w:t>
      </w:r>
    </w:p>
    <w:bookmarkEnd w:id="37"/>
    <w:bookmarkEnd w:id="38"/>
    <w:bookmarkStart w:id="39" w:name="decision-outcome-1"/>
    <w:p>
      <w:pPr>
        <w:pStyle w:val="Heading2"/>
      </w:pPr>
      <w:r>
        <w:t xml:space="preserve">Decision Outcome</w:t>
      </w:r>
    </w:p>
    <w:p>
      <w:pPr>
        <w:pStyle w:val="FirstParagraph"/>
      </w:pPr>
      <w:r>
        <w:t xml:space="preserve">Adopt</w:t>
      </w:r>
      <w:r>
        <w:t xml:space="preserve"> </w:t>
      </w:r>
      <w:r>
        <w:rPr>
          <w:b/>
          <w:bCs/>
        </w:rPr>
        <w:t xml:space="preserve">Avalonia</w:t>
      </w:r>
      <w:r>
        <w:t xml:space="preserve"> </w:t>
      </w:r>
      <w:r>
        <w:t xml:space="preserve">as the desktop shell for Windows and macOS, written in C# on .NET 10 (ADR-0001). The shell renders all native chrome — navigation, shelves metadata, grid, list, directory, reader controls, search, settings, and the AI advisor — using Avalonia controls. A hosted web surface is used only for the immersive 3D shelf, scoped and spike-gated in ADR-0003. Accessibility is treated as a shell responsibility: keyboard operability and screen-reader semantics are validated against the WCAG 2.2 AA gate across both platforms.</w:t>
      </w:r>
    </w:p>
    <w:bookmarkEnd w:id="39"/>
    <w:bookmarkStart w:id="40" w:name="consequences-1"/>
    <w:p>
      <w:pPr>
        <w:pStyle w:val="Heading2"/>
      </w:pPr>
      <w:r>
        <w:t xml:space="preserve">Consequences</w:t>
      </w:r>
    </w:p>
    <w:p>
      <w:pPr>
        <w:pStyle w:val="Compact"/>
        <w:numPr>
          <w:ilvl w:val="0"/>
          <w:numId w:val="1014"/>
        </w:numPr>
      </w:pPr>
      <w:r>
        <w:t xml:space="preserve">Positive: one C# and .NET 10 codebase serves both desktop platforms, matching the team's skills and minimising maintenance for a small team.</w:t>
      </w:r>
    </w:p>
    <w:p>
      <w:pPr>
        <w:pStyle w:val="Compact"/>
        <w:numPr>
          <w:ilvl w:val="0"/>
          <w:numId w:val="1014"/>
        </w:numPr>
      </w:pPr>
      <w:r>
        <w:t xml:space="preserve">Positive: the shell stays native-feeling while still permitting a single embedded web surface for the 3D shelf, avoiding a full web-stack adoption.</w:t>
      </w:r>
    </w:p>
    <w:p>
      <w:pPr>
        <w:pStyle w:val="Compact"/>
        <w:numPr>
          <w:ilvl w:val="0"/>
          <w:numId w:val="1014"/>
        </w:numPr>
      </w:pPr>
      <w:r>
        <w:t xml:space="preserve">Negative: macOS accessibility and WebView behaviour must be explicitly validated rather than assumed; this validation is a Phase 0 and Phase 1 task.</w:t>
      </w:r>
    </w:p>
    <w:p>
      <w:pPr>
        <w:pStyle w:val="Compact"/>
        <w:numPr>
          <w:ilvl w:val="0"/>
          <w:numId w:val="1014"/>
        </w:numPr>
      </w:pPr>
      <w:r>
        <w:t xml:space="preserve">Negative: where a platform-native idiom is expected, Avalonia theming must reproduce it deliberately.</w:t>
      </w:r>
    </w:p>
    <w:p>
      <w:pPr>
        <w:pStyle w:val="Compact"/>
        <w:numPr>
          <w:ilvl w:val="0"/>
          <w:numId w:val="1014"/>
        </w:numPr>
      </w:pPr>
      <w:r>
        <w:t xml:space="preserve">Affects: ADR-0003 (the 3D shelf is hosted inside the Avalonia WebView surface); the WCAG 2.2 AA release gate; the packaging pipeline (ADR-0009).</w:t>
      </w:r>
    </w:p>
    <w:bookmarkEnd w:id="40"/>
    <w:bookmarkEnd w:id="41"/>
    <w:bookmarkStart w:id="50" w:name="Xdbf3f70e1df564d01276150679bbb3b566509e6"/>
    <w:p>
      <w:pPr>
        <w:pStyle w:val="Heading1"/>
      </w:pPr>
      <w:r>
        <w:t xml:space="preserve">ADR-0003: Render the 3D Shelf with WebView-Hosted Three.js Behind a Spike Gate</w:t>
      </w:r>
    </w:p>
    <w:p>
      <w:pPr>
        <w:pStyle w:val="Compact"/>
        <w:numPr>
          <w:ilvl w:val="0"/>
          <w:numId w:val="1015"/>
        </w:numPr>
      </w:pPr>
      <w:r>
        <w:t xml:space="preserve">Status: Proposed</w:t>
      </w:r>
    </w:p>
    <w:p>
      <w:pPr>
        <w:pStyle w:val="Compact"/>
        <w:numPr>
          <w:ilvl w:val="0"/>
          <w:numId w:val="1015"/>
        </w:numPr>
      </w:pPr>
      <w:r>
        <w:t xml:space="preserve">Date: 2026-05-30</w:t>
      </w:r>
    </w:p>
    <w:bookmarkStart w:id="42" w:name="context-2"/>
    <w:p>
      <w:pPr>
        <w:pStyle w:val="Heading2"/>
      </w:pPr>
      <w:r>
        <w:t xml:space="preserve">Context</w:t>
      </w:r>
    </w:p>
    <w:p>
      <w:pPr>
        <w:pStyle w:val="FirstParagraph"/>
      </w:pPr>
      <w:r>
        <w:t xml:space="preserve">The immersive 3D shelf is a signature browsing mode for Ogma Library: a hardware-accelerated, navigable arrangement of book spines and covers that aids discovery and memory. The product principle holds that</w:t>
      </w:r>
      <w:r>
        <w:t xml:space="preserve"> </w:t>
      </w:r>
      <w:r>
        <w:rPr>
          <w:i/>
          <w:iCs/>
        </w:rPr>
        <w:t xml:space="preserve">3D is functional, not gimmick</w:t>
      </w:r>
      <w:r>
        <w:t xml:space="preserve"> </w:t>
      </w:r>
      <w:r>
        <w:t xml:space="preserve">and that grid and list views remain first-class, which means the 3D shelf must be valuable but never load-bearing. The Avalonia shell (ADR-0002) provides no native 3D scene graph. Two paths exist: build a native 3D renderer bound to the platform graphics APIs, or host a web rendering surface running an established WebGL engine. The web path carries a known platform risk — macOS WebView is WKWebView, whose WebGL performance, memory behaviour, and C#-to-JavaScript bridging must be proven before the team commits. Because the 3D shelf is an enhancement rather than a core promise, its rendering technology must be gated by a Phase 0 spike with a defined fallback.</w:t>
      </w:r>
    </w:p>
    <w:bookmarkEnd w:id="42"/>
    <w:bookmarkStart w:id="43" w:name="decision-drivers-2"/>
    <w:p>
      <w:pPr>
        <w:pStyle w:val="Heading2"/>
      </w:pPr>
      <w:r>
        <w:t xml:space="preserve">Decision Drivers</w:t>
      </w:r>
    </w:p>
    <w:p>
      <w:pPr>
        <w:pStyle w:val="Compact"/>
        <w:numPr>
          <w:ilvl w:val="0"/>
          <w:numId w:val="1016"/>
        </w:numPr>
      </w:pPr>
      <w:r>
        <w:t xml:space="preserve">Reuse of a mature, well-documented 3D engine rather than a hand-built renderer.</w:t>
      </w:r>
    </w:p>
    <w:p>
      <w:pPr>
        <w:pStyle w:val="Compact"/>
        <w:numPr>
          <w:ilvl w:val="0"/>
          <w:numId w:val="1016"/>
        </w:numPr>
      </w:pPr>
      <w:r>
        <w:t xml:space="preserve">Acceptable performance and memory behaviour on macOS WKWebView, the highest-risk platform.</w:t>
      </w:r>
    </w:p>
    <w:p>
      <w:pPr>
        <w:pStyle w:val="Compact"/>
        <w:numPr>
          <w:ilvl w:val="0"/>
          <w:numId w:val="1016"/>
        </w:numPr>
      </w:pPr>
      <w:r>
        <w:t xml:space="preserve">A reliable C#-to-JavaScript bridge for selection, navigation, and catalogue data.</w:t>
      </w:r>
    </w:p>
    <w:p>
      <w:pPr>
        <w:pStyle w:val="Compact"/>
        <w:numPr>
          <w:ilvl w:val="0"/>
          <w:numId w:val="1016"/>
        </w:numPr>
      </w:pPr>
      <w:r>
        <w:t xml:space="preserve">A graceful fallback to first-class grid and list views if the spike fails.</w:t>
      </w:r>
    </w:p>
    <w:p>
      <w:pPr>
        <w:pStyle w:val="Compact"/>
        <w:numPr>
          <w:ilvl w:val="0"/>
          <w:numId w:val="1016"/>
        </w:numPr>
      </w:pPr>
      <w:r>
        <w:t xml:space="preserve">Minimal coupling so the 3D surface can be swapped or removed without disturbing the shell.</w:t>
      </w:r>
    </w:p>
    <w:bookmarkEnd w:id="43"/>
    <w:bookmarkStart w:id="47" w:name="considered-options-2"/>
    <w:p>
      <w:pPr>
        <w:pStyle w:val="Heading2"/>
      </w:pPr>
      <w:r>
        <w:t xml:space="preserve">Considered Options</w:t>
      </w:r>
    </w:p>
    <w:bookmarkStart w:id="44" w:name="X8b9ee1719edc2d1a7aeae4c37afa0353c23bdca"/>
    <w:p>
      <w:pPr>
        <w:pStyle w:val="Heading3"/>
      </w:pPr>
      <w:r>
        <w:t xml:space="preserve">Option A — WebView-hosted Three.js with a C#-to-JavaScript bridge</w:t>
      </w:r>
    </w:p>
    <w:p>
      <w:pPr>
        <w:pStyle w:val="Compact"/>
        <w:numPr>
          <w:ilvl w:val="0"/>
          <w:numId w:val="1017"/>
        </w:numPr>
      </w:pPr>
      <w:r>
        <w:t xml:space="preserve">Pros: Three.js is a mature, widely supported WebGL engine; the embedded WebView already exists in the Avalonia shell; rapid iteration on the scene; the bridge isolates the 3D surface from the rest of the application.</w:t>
      </w:r>
    </w:p>
    <w:p>
      <w:pPr>
        <w:pStyle w:val="Compact"/>
        <w:numPr>
          <w:ilvl w:val="0"/>
          <w:numId w:val="1017"/>
        </w:numPr>
      </w:pPr>
      <w:r>
        <w:t xml:space="preserve">Cons: macOS WKWebView WebGL performance and memory are unproven for this scene and must be spike-validated; the bridge adds a serialisation boundary; a web surface inside a native shell adds one technology to maintain.</w:t>
      </w:r>
    </w:p>
    <w:bookmarkEnd w:id="44"/>
    <w:bookmarkStart w:id="45" w:name="X39b0dd3cd56b5b939437ea4ed7da8f4c6f62ea3"/>
    <w:p>
      <w:pPr>
        <w:pStyle w:val="Heading3"/>
      </w:pPr>
      <w:r>
        <w:t xml:space="preserve">Option B — Native 3D renderer bound to platform graphics APIs</w:t>
      </w:r>
    </w:p>
    <w:p>
      <w:pPr>
        <w:pStyle w:val="Compact"/>
        <w:numPr>
          <w:ilvl w:val="0"/>
          <w:numId w:val="1018"/>
        </w:numPr>
      </w:pPr>
      <w:r>
        <w:t xml:space="preserve">Pros: maximal control over performance and native integration; no WebView dependency.</w:t>
      </w:r>
    </w:p>
    <w:p>
      <w:pPr>
        <w:pStyle w:val="Compact"/>
        <w:numPr>
          <w:ilvl w:val="0"/>
          <w:numId w:val="1018"/>
        </w:numPr>
      </w:pPr>
      <w:r>
        <w:t xml:space="preserve">Cons: a hand-built cross-platform 3D renderer is high-cost and high-risk for a small team and disproportionate to an enhancement feature; long lead time before the shelf is usable.</w:t>
      </w:r>
    </w:p>
    <w:bookmarkEnd w:id="45"/>
    <w:bookmarkStart w:id="46" w:name="option-c--no-3d-shelf-grid-and-list-only"/>
    <w:p>
      <w:pPr>
        <w:pStyle w:val="Heading3"/>
      </w:pPr>
      <w:r>
        <w:t xml:space="preserve">Option C — No 3D shelf; grid and list only</w:t>
      </w:r>
    </w:p>
    <w:p>
      <w:pPr>
        <w:pStyle w:val="Compact"/>
        <w:numPr>
          <w:ilvl w:val="0"/>
          <w:numId w:val="1019"/>
        </w:numPr>
      </w:pPr>
      <w:r>
        <w:t xml:space="preserve">Pros: zero 3D risk; lowest cost.</w:t>
      </w:r>
    </w:p>
    <w:p>
      <w:pPr>
        <w:pStyle w:val="Compact"/>
        <w:numPr>
          <w:ilvl w:val="0"/>
          <w:numId w:val="1019"/>
        </w:numPr>
      </w:pPr>
      <w:r>
        <w:t xml:space="preserve">Cons: drops a signature differentiator that the vision treats as a core way to make the library</w:t>
      </w:r>
      <w:r>
        <w:t xml:space="preserve"> </w:t>
      </w:r>
      <w:r>
        <w:rPr>
          <w:i/>
          <w:iCs/>
        </w:rPr>
        <w:t xml:space="preserve">visible</w:t>
      </w:r>
      <w:r>
        <w:t xml:space="preserve">.</w:t>
      </w:r>
    </w:p>
    <w:bookmarkEnd w:id="46"/>
    <w:bookmarkEnd w:id="47"/>
    <w:bookmarkStart w:id="48" w:name="decision-outcome-2"/>
    <w:p>
      <w:pPr>
        <w:pStyle w:val="Heading2"/>
      </w:pPr>
      <w:r>
        <w:t xml:space="preserve">Decision Outcome</w:t>
      </w:r>
    </w:p>
    <w:p>
      <w:pPr>
        <w:pStyle w:val="FirstParagraph"/>
      </w:pPr>
      <w:r>
        <w:t xml:space="preserve">Adopt</w:t>
      </w:r>
      <w:r>
        <w:t xml:space="preserve"> </w:t>
      </w:r>
      <w:r>
        <w:rPr>
          <w:b/>
          <w:bCs/>
        </w:rPr>
        <w:t xml:space="preserve">WebView-hosted Three.js</w:t>
      </w:r>
      <w:r>
        <w:t xml:space="preserve"> </w:t>
      </w:r>
      <w:r>
        <w:t xml:space="preserve">with a C#-to-JavaScript bridge for the 3D shelf, hosted inside the Avalonia WebView surface from ADR-0002. The decision is</w:t>
      </w:r>
      <w:r>
        <w:t xml:space="preserve"> </w:t>
      </w:r>
      <w:r>
        <w:rPr>
          <w:b/>
          <w:bCs/>
        </w:rPr>
        <w:t xml:space="preserve">spike-gated in Phase 0</w:t>
      </w:r>
      <w:r>
        <w:t xml:space="preserve">: a time-boxed spike must demonstrate acceptable frame rate and memory on macOS WKWebView with a representative shelf, and a working bridge for selection, navigation, and catalogue binding. If the spike fails its acceptance thresholds, the 3D shelf falls back to the first-class grid and list views, and this ADR is amended to record the spike outcome. The grid and list views ship regardless of the spike result, so no core browsing capability depends on the 3D surface.</w:t>
      </w:r>
    </w:p>
    <w:bookmarkEnd w:id="48"/>
    <w:bookmarkStart w:id="49" w:name="consequences-2"/>
    <w:p>
      <w:pPr>
        <w:pStyle w:val="Heading2"/>
      </w:pPr>
      <w:r>
        <w:t xml:space="preserve">Consequences</w:t>
      </w:r>
    </w:p>
    <w:p>
      <w:pPr>
        <w:pStyle w:val="Compact"/>
        <w:numPr>
          <w:ilvl w:val="0"/>
          <w:numId w:val="1020"/>
        </w:numPr>
      </w:pPr>
      <w:r>
        <w:t xml:space="preserve">Positive: a mature 3D engine is reused rather than hand-built, keeping the enhancement proportionate to its value.</w:t>
      </w:r>
    </w:p>
    <w:p>
      <w:pPr>
        <w:pStyle w:val="Compact"/>
        <w:numPr>
          <w:ilvl w:val="0"/>
          <w:numId w:val="1020"/>
        </w:numPr>
      </w:pPr>
      <w:r>
        <w:t xml:space="preserve">Positive: the bridge boundary isolates the 3D surface, so it can be swapped or removed without disturbing the shell.</w:t>
      </w:r>
    </w:p>
    <w:p>
      <w:pPr>
        <w:pStyle w:val="Compact"/>
        <w:numPr>
          <w:ilvl w:val="0"/>
          <w:numId w:val="1020"/>
        </w:numPr>
      </w:pPr>
      <w:r>
        <w:t xml:space="preserve">Negative: the macOS WKWebView risk must be retired by a Phase 0 spike before any 3D commitment; an unmet threshold triggers the grid/list fallback.</w:t>
      </w:r>
    </w:p>
    <w:p>
      <w:pPr>
        <w:pStyle w:val="Compact"/>
        <w:numPr>
          <w:ilvl w:val="0"/>
          <w:numId w:val="1020"/>
        </w:numPr>
      </w:pPr>
      <w:r>
        <w:t xml:space="preserve">Negative: the C#-to-JavaScript bridge introduces a serialisation boundary that must be kept narrow and well-typed.</w:t>
      </w:r>
    </w:p>
    <w:p>
      <w:pPr>
        <w:pStyle w:val="Compact"/>
        <w:numPr>
          <w:ilvl w:val="0"/>
          <w:numId w:val="1020"/>
        </w:numPr>
      </w:pPr>
      <w:r>
        <w:t xml:space="preserve">Affects: ADR-0002 (hosts the WebView surface); the Phase 0 risk-spike backlog (the 3D shelf spike is a named entry); grid and list views, which are unconditionally first-class.</w:t>
      </w:r>
    </w:p>
    <w:bookmarkEnd w:id="49"/>
    <w:bookmarkEnd w:id="50"/>
    <w:bookmarkStart w:id="59" w:name="X765d07e329deaab0969af1d2b856719f10b4ef5"/>
    <w:p>
      <w:pPr>
        <w:pStyle w:val="Heading1"/>
      </w:pPr>
      <w:r>
        <w:t xml:space="preserve">ADR-0004: Render and Extract PDF Content with PDFium Behind an Adapter</w:t>
      </w:r>
    </w:p>
    <w:p>
      <w:pPr>
        <w:pStyle w:val="Compact"/>
        <w:numPr>
          <w:ilvl w:val="0"/>
          <w:numId w:val="1021"/>
        </w:numPr>
      </w:pPr>
      <w:r>
        <w:t xml:space="preserve">Status: Proposed</w:t>
      </w:r>
    </w:p>
    <w:p>
      <w:pPr>
        <w:pStyle w:val="Compact"/>
        <w:numPr>
          <w:ilvl w:val="0"/>
          <w:numId w:val="1021"/>
        </w:numPr>
      </w:pPr>
      <w:r>
        <w:t xml:space="preserve">Date: 2026-05-30</w:t>
      </w:r>
    </w:p>
    <w:bookmarkStart w:id="51" w:name="context-3"/>
    <w:p>
      <w:pPr>
        <w:pStyle w:val="Heading2"/>
      </w:pPr>
      <w:r>
        <w:t xml:space="preserve">Context</w:t>
      </w:r>
    </w:p>
    <w:p>
      <w:pPr>
        <w:pStyle w:val="FirstParagraph"/>
      </w:pPr>
      <w:r>
        <w:t xml:space="preserve">Ogma Library reads, renders, and indexes PDF files as its primary corpus. The reader needs accurate page rendering and thumbnail generation; the catalogue needs reliable text extraction to feed full-text search (ADR-0006) and content-aware AI; and the import path must handle password-protected and malformed documents without crashing, because all imported documents are untrusted input under control CTRL-OGMA-004. The PDF engine is therefore on the critical path for rendering quality, text fidelity, password handling, and security isolation. Several .NET-accessible engines exist, including PDFium (the engine behind Chromium's PDF viewer) exposed through community wrappers, and commercial managed libraries. The engine choice must be validated by a concrete benchmark rather than reputation, and it must be isolated so the project can switch engines without rewriting the reader and indexer.</w:t>
      </w:r>
    </w:p>
    <w:bookmarkEnd w:id="51"/>
    <w:bookmarkStart w:id="52" w:name="decision-drivers-3"/>
    <w:p>
      <w:pPr>
        <w:pStyle w:val="Heading2"/>
      </w:pPr>
      <w:r>
        <w:t xml:space="preserve">Decision Drivers</w:t>
      </w:r>
    </w:p>
    <w:p>
      <w:pPr>
        <w:pStyle w:val="Compact"/>
        <w:numPr>
          <w:ilvl w:val="0"/>
          <w:numId w:val="1022"/>
        </w:numPr>
      </w:pPr>
      <w:r>
        <w:t xml:space="preserve">Rendering fidelity for the reader and for thumbnails across varied real-world PDFs.</w:t>
      </w:r>
    </w:p>
    <w:p>
      <w:pPr>
        <w:pStyle w:val="Compact"/>
        <w:numPr>
          <w:ilvl w:val="0"/>
          <w:numId w:val="1022"/>
        </w:numPr>
      </w:pPr>
      <w:r>
        <w:t xml:space="preserve">Reliable text extraction quality to feed search and content-aware AI.</w:t>
      </w:r>
    </w:p>
    <w:p>
      <w:pPr>
        <w:pStyle w:val="Compact"/>
        <w:numPr>
          <w:ilvl w:val="0"/>
          <w:numId w:val="1022"/>
        </w:numPr>
      </w:pPr>
      <w:r>
        <w:t xml:space="preserve">Correct handling of password-protected documents and graceful failure on malformed ones.</w:t>
      </w:r>
    </w:p>
    <w:p>
      <w:pPr>
        <w:pStyle w:val="Compact"/>
        <w:numPr>
          <w:ilvl w:val="0"/>
          <w:numId w:val="1022"/>
        </w:numPr>
      </w:pPr>
      <w:r>
        <w:t xml:space="preserve">Security isolation: the engine runs inside the untrusted-document worker boundary (CTRL-OGMA-005).</w:t>
      </w:r>
    </w:p>
    <w:p>
      <w:pPr>
        <w:pStyle w:val="Compact"/>
        <w:numPr>
          <w:ilvl w:val="0"/>
          <w:numId w:val="1022"/>
        </w:numPr>
      </w:pPr>
      <w:r>
        <w:t xml:space="preserve">Replaceability: no business cost or licence lock-in that prevents switching engines.</w:t>
      </w:r>
    </w:p>
    <w:bookmarkEnd w:id="52"/>
    <w:bookmarkStart w:id="56" w:name="considered-options-3"/>
    <w:p>
      <w:pPr>
        <w:pStyle w:val="Heading2"/>
      </w:pPr>
      <w:r>
        <w:t xml:space="preserve">Considered Options</w:t>
      </w:r>
    </w:p>
    <w:bookmarkStart w:id="53" w:name="Xc0295a1171d1feea14ed24a5e86a98325319455"/>
    <w:p>
      <w:pPr>
        <w:pStyle w:val="Heading3"/>
      </w:pPr>
      <w:r>
        <w:t xml:space="preserve">Option A — PDFium via a .NET wrapper, isolated behind an adapter</w:t>
      </w:r>
    </w:p>
    <w:p>
      <w:pPr>
        <w:pStyle w:val="Compact"/>
        <w:numPr>
          <w:ilvl w:val="0"/>
          <w:numId w:val="1023"/>
        </w:numPr>
      </w:pPr>
      <w:r>
        <w:t xml:space="preserve">Pros: PDFium is the battle-tested engine behind Chromium's viewer with broad format coverage and strong rendering fidelity; multiple wrappers exist so the project is not bound to one binding; permissive licensing; runs well inside a sandboxed worker.</w:t>
      </w:r>
    </w:p>
    <w:p>
      <w:pPr>
        <w:pStyle w:val="Compact"/>
        <w:numPr>
          <w:ilvl w:val="0"/>
          <w:numId w:val="1023"/>
        </w:numPr>
      </w:pPr>
      <w:r>
        <w:t xml:space="preserve">Cons: wrapper quality varies, so at least two wrapper options must be spike-benchmarked; native interop adds a build and packaging dimension per platform.</w:t>
      </w:r>
    </w:p>
    <w:bookmarkEnd w:id="53"/>
    <w:bookmarkStart w:id="54" w:name="Xb1f4a5846db1c1c40a056805eec771dceb47ccf"/>
    <w:p>
      <w:pPr>
        <w:pStyle w:val="Heading3"/>
      </w:pPr>
      <w:r>
        <w:t xml:space="preserve">Option B — A commercial managed PDF library</w:t>
      </w:r>
    </w:p>
    <w:p>
      <w:pPr>
        <w:pStyle w:val="Compact"/>
        <w:numPr>
          <w:ilvl w:val="0"/>
          <w:numId w:val="1024"/>
        </w:numPr>
      </w:pPr>
      <w:r>
        <w:t xml:space="preserve">Pros: single supported managed dependency; vendor support channel.</w:t>
      </w:r>
    </w:p>
    <w:p>
      <w:pPr>
        <w:pStyle w:val="Compact"/>
        <w:numPr>
          <w:ilvl w:val="0"/>
          <w:numId w:val="1024"/>
        </w:numPr>
      </w:pPr>
      <w:r>
        <w:t xml:space="preserve">Cons: licence cost and potential per-seat or per-deployment lock-in conflict with portable-ownership and cost goals; engine internals are opaque; switching later is expensive.</w:t>
      </w:r>
    </w:p>
    <w:bookmarkEnd w:id="54"/>
    <w:bookmarkStart w:id="55" w:name="X1b29a7c4761a8d1e591171a5043078a75a2d561"/>
    <w:p>
      <w:pPr>
        <w:pStyle w:val="Heading3"/>
      </w:pPr>
      <w:r>
        <w:t xml:space="preserve">Option C — A pure-managed open-source PDF library</w:t>
      </w:r>
    </w:p>
    <w:p>
      <w:pPr>
        <w:pStyle w:val="Compact"/>
        <w:numPr>
          <w:ilvl w:val="0"/>
          <w:numId w:val="1025"/>
        </w:numPr>
      </w:pPr>
      <w:r>
        <w:t xml:space="preserve">Pros: no native interop; simplest packaging.</w:t>
      </w:r>
    </w:p>
    <w:p>
      <w:pPr>
        <w:pStyle w:val="Compact"/>
        <w:numPr>
          <w:ilvl w:val="0"/>
          <w:numId w:val="1025"/>
        </w:numPr>
      </w:pPr>
      <w:r>
        <w:t xml:space="preserve">Cons: rendering fidelity and text-extraction breadth generally lag PDFium on complex real-world PDFs; password and edge-case handling less proven.</w:t>
      </w:r>
    </w:p>
    <w:bookmarkEnd w:id="55"/>
    <w:bookmarkEnd w:id="56"/>
    <w:bookmarkStart w:id="57" w:name="decision-outcome-3"/>
    <w:p>
      <w:pPr>
        <w:pStyle w:val="Heading2"/>
      </w:pPr>
      <w:r>
        <w:t xml:space="preserve">Decision Outcome</w:t>
      </w:r>
    </w:p>
    <w:p>
      <w:pPr>
        <w:pStyle w:val="FirstParagraph"/>
      </w:pPr>
      <w:r>
        <w:t xml:space="preserve">Adopt</w:t>
      </w:r>
      <w:r>
        <w:t xml:space="preserve"> </w:t>
      </w:r>
      <w:r>
        <w:rPr>
          <w:b/>
          <w:bCs/>
        </w:rPr>
        <w:t xml:space="preserve">PDFium</w:t>
      </w:r>
      <w:r>
        <w:t xml:space="preserve">, accessed through a .NET wrapper, as the PDF rendering and text-extraction engine, chosen after a Phase 0 benchmark and isolated behind an internal</w:t>
      </w:r>
      <w:r>
        <w:t xml:space="preserve"> </w:t>
      </w:r>
      <w:r>
        <w:rPr>
          <w:b/>
          <w:bCs/>
        </w:rPr>
        <w:t xml:space="preserve">PDF adapter interface</w:t>
      </w:r>
      <w:r>
        <w:t xml:space="preserve">. The benchmark must spike</w:t>
      </w:r>
      <w:r>
        <w:t xml:space="preserve"> </w:t>
      </w:r>
      <w:r>
        <w:rPr>
          <w:b/>
          <w:bCs/>
        </w:rPr>
        <w:t xml:space="preserve">at least two wrapper options</w:t>
      </w:r>
      <w:r>
        <w:t xml:space="preserve"> </w:t>
      </w:r>
      <w:r>
        <w:t xml:space="preserve">and score each on render fidelity, password-protected-document handling, text-extraction quality, and search-feeding accuracy against a representative document set; the winning wrapper is recorded as an amendment to this ADR. All reader, thumbnail, and indexing code depends only on the adapter interface, never on the wrapper directly, so the engine or wrapper can be replaced without touching callers. The engine executes inside the isolated untrusted-document worker (CTRL-OGMA-005) with the time and memory bounds of CTRL-OGMA-007. The wrapper decision is due at the close of Phase 0, the PDFium-wrapper deadline carried from design-report Section 17.</w:t>
      </w:r>
    </w:p>
    <w:bookmarkEnd w:id="57"/>
    <w:bookmarkStart w:id="58" w:name="consequences-3"/>
    <w:p>
      <w:pPr>
        <w:pStyle w:val="Heading2"/>
      </w:pPr>
      <w:r>
        <w:t xml:space="preserve">Consequences</w:t>
      </w:r>
    </w:p>
    <w:p>
      <w:pPr>
        <w:pStyle w:val="Compact"/>
        <w:numPr>
          <w:ilvl w:val="0"/>
          <w:numId w:val="1026"/>
        </w:numPr>
      </w:pPr>
      <w:r>
        <w:t xml:space="preserve">Positive: a proven rendering engine backs the reader, thumbnails, search, and content-aware AI.</w:t>
      </w:r>
    </w:p>
    <w:p>
      <w:pPr>
        <w:pStyle w:val="Compact"/>
        <w:numPr>
          <w:ilvl w:val="0"/>
          <w:numId w:val="1026"/>
        </w:numPr>
      </w:pPr>
      <w:r>
        <w:t xml:space="preserve">Positive: the adapter boundary makes the wrapper a replaceable detail, retiring lock-in risk.</w:t>
      </w:r>
    </w:p>
    <w:p>
      <w:pPr>
        <w:pStyle w:val="Compact"/>
        <w:numPr>
          <w:ilvl w:val="0"/>
          <w:numId w:val="1026"/>
        </w:numPr>
      </w:pPr>
      <w:r>
        <w:t xml:space="preserve">Negative: native interop must be built and signed per platform, adding to the packaging pipeline (ADR-0009).</w:t>
      </w:r>
    </w:p>
    <w:p>
      <w:pPr>
        <w:pStyle w:val="Compact"/>
        <w:numPr>
          <w:ilvl w:val="0"/>
          <w:numId w:val="1026"/>
        </w:numPr>
      </w:pPr>
      <w:r>
        <w:t xml:space="preserve">Negative: a two-wrapper benchmark is required Phase 0 work before the engine is fixed.</w:t>
      </w:r>
    </w:p>
    <w:p>
      <w:pPr>
        <w:pStyle w:val="Compact"/>
        <w:numPr>
          <w:ilvl w:val="0"/>
          <w:numId w:val="1026"/>
        </w:numPr>
      </w:pPr>
      <w:r>
        <w:t xml:space="preserve">Affects: ADR-0006 (text extraction feeds FTS5 and embeddings); CTRL-OGMA-005 and CTRL-OGMA-007 (worker isolation and resource bounds); the Phase 0 risk-spike backlog.</w:t>
      </w:r>
    </w:p>
    <w:bookmarkEnd w:id="58"/>
    <w:bookmarkEnd w:id="59"/>
    <w:bookmarkStart w:id="68" w:name="X8b675e236ffcb15c63d4a16682442996c3fdbee"/>
    <w:p>
      <w:pPr>
        <w:pStyle w:val="Heading1"/>
      </w:pPr>
      <w:r>
        <w:t xml:space="preserve">ADR-0005: Use a SQLite Catalogue of Record with a Sidecar Asset Folder</w:t>
      </w:r>
    </w:p>
    <w:p>
      <w:pPr>
        <w:pStyle w:val="Compact"/>
        <w:numPr>
          <w:ilvl w:val="0"/>
          <w:numId w:val="1027"/>
        </w:numPr>
      </w:pPr>
      <w:r>
        <w:t xml:space="preserve">Status: Proposed</w:t>
      </w:r>
    </w:p>
    <w:p>
      <w:pPr>
        <w:pStyle w:val="Compact"/>
        <w:numPr>
          <w:ilvl w:val="0"/>
          <w:numId w:val="1027"/>
        </w:numPr>
      </w:pPr>
      <w:r>
        <w:t xml:space="preserve">Date: 2026-05-30</w:t>
      </w:r>
    </w:p>
    <w:bookmarkStart w:id="60" w:name="context-4"/>
    <w:p>
      <w:pPr>
        <w:pStyle w:val="Heading2"/>
      </w:pPr>
      <w:r>
        <w:t xml:space="preserve">Context</w:t>
      </w:r>
    </w:p>
    <w:p>
      <w:pPr>
        <w:pStyle w:val="FirstParagraph"/>
      </w:pPr>
      <w:r>
        <w:t xml:space="preserve">Ogma Library is local-first: the catalogue, reading state, annotations, thumbnails, and indexes live on the user's machine. The product principle holds that</w:t>
      </w:r>
      <w:r>
        <w:t xml:space="preserve"> </w:t>
      </w:r>
      <w:r>
        <w:rPr>
          <w:i/>
          <w:iCs/>
        </w:rPr>
        <w:t xml:space="preserve">files remain the user's files</w:t>
      </w:r>
      <w:r>
        <w:t xml:space="preserve"> </w:t>
      </w:r>
      <w:r>
        <w:t xml:space="preserve">and that the database augments the folder rather than replacing it, so the storage design must keep source PDFs in place and never lock content into a proprietary container. The catalogue must hold structured metadata (titles, tags, reading progress, annotations, AI history) and must support full-text search (ADR-0006) and a portable export bundle for data portability (NFR-PROD-009). Derived assets — thumbnails, cover images, extracted text caches, embedding stores — are larger, regenerable, and do not belong in the same store as the structured catalogue of record. The choice is whether to store these large derived assets as binary blobs inside the database or as files in a sidecar folder alongside the database.</w:t>
      </w:r>
    </w:p>
    <w:bookmarkEnd w:id="60"/>
    <w:bookmarkStart w:id="61" w:name="decision-drivers-4"/>
    <w:p>
      <w:pPr>
        <w:pStyle w:val="Heading2"/>
      </w:pPr>
      <w:r>
        <w:t xml:space="preserve">Decision Drivers</w:t>
      </w:r>
    </w:p>
    <w:p>
      <w:pPr>
        <w:pStyle w:val="Compact"/>
        <w:numPr>
          <w:ilvl w:val="0"/>
          <w:numId w:val="1028"/>
        </w:numPr>
      </w:pPr>
      <w:r>
        <w:t xml:space="preserve">Source PDFs stay in the user's folder, untouched and unlocked.</w:t>
      </w:r>
    </w:p>
    <w:p>
      <w:pPr>
        <w:pStyle w:val="Compact"/>
        <w:numPr>
          <w:ilvl w:val="0"/>
          <w:numId w:val="1028"/>
        </w:numPr>
      </w:pPr>
      <w:r>
        <w:t xml:space="preserve">A single, queryable, transactional catalogue of record for structured metadata.</w:t>
      </w:r>
    </w:p>
    <w:p>
      <w:pPr>
        <w:pStyle w:val="Compact"/>
        <w:numPr>
          <w:ilvl w:val="0"/>
          <w:numId w:val="1028"/>
        </w:numPr>
      </w:pPr>
      <w:r>
        <w:t xml:space="preserve">Efficient full-text search without bloating the catalogue file.</w:t>
      </w:r>
    </w:p>
    <w:p>
      <w:pPr>
        <w:pStyle w:val="Compact"/>
        <w:numPr>
          <w:ilvl w:val="0"/>
          <w:numId w:val="1028"/>
        </w:numPr>
      </w:pPr>
      <w:r>
        <w:t xml:space="preserve">Cheap regeneration and storage of large derived assets (thumbnails, caches, embeddings).</w:t>
      </w:r>
    </w:p>
    <w:p>
      <w:pPr>
        <w:pStyle w:val="Compact"/>
        <w:numPr>
          <w:ilvl w:val="0"/>
          <w:numId w:val="1028"/>
        </w:numPr>
      </w:pPr>
      <w:r>
        <w:t xml:space="preserve">A portable export bundle that moves the library to another machine or tool without loss.</w:t>
      </w:r>
    </w:p>
    <w:bookmarkEnd w:id="61"/>
    <w:bookmarkStart w:id="65" w:name="considered-options-4"/>
    <w:p>
      <w:pPr>
        <w:pStyle w:val="Heading2"/>
      </w:pPr>
      <w:r>
        <w:t xml:space="preserve">Considered Options</w:t>
      </w:r>
    </w:p>
    <w:bookmarkStart w:id="62" w:name="X41525551d7e4f0cb05c4c82ef29888d0b284426"/>
    <w:p>
      <w:pPr>
        <w:pStyle w:val="Heading3"/>
      </w:pPr>
      <w:r>
        <w:t xml:space="preserve">Option A — SQLite catalogue of record plus a sidecar asset folder</w:t>
      </w:r>
    </w:p>
    <w:p>
      <w:pPr>
        <w:pStyle w:val="Compact"/>
        <w:numPr>
          <w:ilvl w:val="0"/>
          <w:numId w:val="1029"/>
        </w:numPr>
      </w:pPr>
      <w:r>
        <w:t xml:space="preserve">Pros: SQLite is an embedded, transactional, single-file store ideal for local-first; structured metadata stays compact and fast; large derived assets live as files in a sidecar folder, kept regenerable and out of the catalogue; FTS5 with an external-content table indexes extracted text without duplicating it; the catalogue file plus sidecar folder form a clean portable export bundle.</w:t>
      </w:r>
    </w:p>
    <w:p>
      <w:pPr>
        <w:pStyle w:val="Compact"/>
        <w:numPr>
          <w:ilvl w:val="0"/>
          <w:numId w:val="1029"/>
        </w:numPr>
      </w:pPr>
      <w:r>
        <w:t xml:space="preserve">Cons: two coordinated locations (database and sidecar) must be kept consistent and exported together; orphaned assets must be garbage-collected.</w:t>
      </w:r>
    </w:p>
    <w:bookmarkEnd w:id="62"/>
    <w:bookmarkStart w:id="63" w:name="Xccb98a9a9ad17d79fd176379e27fbb37b0650d6"/>
    <w:p>
      <w:pPr>
        <w:pStyle w:val="Heading3"/>
      </w:pPr>
      <w:r>
        <w:t xml:space="preserve">Option B — SQLite with all assets stored as BLOBs in the database</w:t>
      </w:r>
    </w:p>
    <w:p>
      <w:pPr>
        <w:pStyle w:val="Compact"/>
        <w:numPr>
          <w:ilvl w:val="0"/>
          <w:numId w:val="1030"/>
        </w:numPr>
      </w:pPr>
      <w:r>
        <w:t xml:space="preserve">Pros: one file holds everything, simplest to copy.</w:t>
      </w:r>
    </w:p>
    <w:p>
      <w:pPr>
        <w:pStyle w:val="Compact"/>
        <w:numPr>
          <w:ilvl w:val="0"/>
          <w:numId w:val="1030"/>
        </w:numPr>
      </w:pPr>
      <w:r>
        <w:t xml:space="preserve">Cons: thumbnails, caches, and embeddings bloat the catalogue file and slow backups and queries; regenerable data is mixed with the catalogue of record; vacuuming and write amplification grow with asset volume; the single file becomes large and fragile.</w:t>
      </w:r>
    </w:p>
    <w:bookmarkEnd w:id="63"/>
    <w:bookmarkStart w:id="64" w:name="X6912e342fda1b4abaa3783bba7dff73c0c50adf"/>
    <w:p>
      <w:pPr>
        <w:pStyle w:val="Heading3"/>
      </w:pPr>
      <w:r>
        <w:t xml:space="preserve">Option C — A document or embedded NoSQL store</w:t>
      </w:r>
    </w:p>
    <w:p>
      <w:pPr>
        <w:pStyle w:val="Compact"/>
        <w:numPr>
          <w:ilvl w:val="0"/>
          <w:numId w:val="1031"/>
        </w:numPr>
      </w:pPr>
      <w:r>
        <w:t xml:space="preserve">Pros: schema flexibility.</w:t>
      </w:r>
    </w:p>
    <w:p>
      <w:pPr>
        <w:pStyle w:val="Compact"/>
        <w:numPr>
          <w:ilvl w:val="0"/>
          <w:numId w:val="1031"/>
        </w:numPr>
      </w:pPr>
      <w:r>
        <w:t xml:space="preserve">Cons: weaker relational querying and no mature embedded full-text equivalent to FTS5; heavier footprint than SQLite for a local-first desktop app; less portable as a single-file bundle.</w:t>
      </w:r>
    </w:p>
    <w:bookmarkEnd w:id="64"/>
    <w:bookmarkEnd w:id="65"/>
    <w:bookmarkStart w:id="66" w:name="decision-outcome-4"/>
    <w:p>
      <w:pPr>
        <w:pStyle w:val="Heading2"/>
      </w:pPr>
      <w:r>
        <w:t xml:space="preserve">Decision Outcome</w:t>
      </w:r>
    </w:p>
    <w:p>
      <w:pPr>
        <w:pStyle w:val="FirstParagraph"/>
      </w:pPr>
      <w:r>
        <w:t xml:space="preserve">Adopt</w:t>
      </w:r>
      <w:r>
        <w:t xml:space="preserve"> </w:t>
      </w:r>
      <w:r>
        <w:rPr>
          <w:b/>
          <w:bCs/>
        </w:rPr>
        <w:t xml:space="preserve">SQLite as the catalogue of record</w:t>
      </w:r>
      <w:r>
        <w:t xml:space="preserve"> </w:t>
      </w:r>
      <w:r>
        <w:t xml:space="preserve">for structured metadata, reading state, annotations, and AI history, paired with a</w:t>
      </w:r>
      <w:r>
        <w:t xml:space="preserve"> </w:t>
      </w:r>
      <w:r>
        <w:rPr>
          <w:b/>
          <w:bCs/>
        </w:rPr>
        <w:t xml:space="preserve">sidecar asset folder</w:t>
      </w:r>
      <w:r>
        <w:t xml:space="preserve"> </w:t>
      </w:r>
      <w:r>
        <w:t xml:space="preserve">holding regenerable derived assets — thumbnails, cover images, extracted-text caches, and embedding stores. Full-text search uses an</w:t>
      </w:r>
      <w:r>
        <w:t xml:space="preserve"> </w:t>
      </w:r>
      <w:r>
        <w:rPr>
          <w:b/>
          <w:bCs/>
        </w:rPr>
        <w:t xml:space="preserve">FTS5 external-content table</w:t>
      </w:r>
      <w:r>
        <w:t xml:space="preserve"> </w:t>
      </w:r>
      <w:r>
        <w:t xml:space="preserve">so the index references the catalogue rows without duplicating their content (ADR-0006). The catalogue database plus the sidecar folder constitute the</w:t>
      </w:r>
      <w:r>
        <w:t xml:space="preserve"> </w:t>
      </w:r>
      <w:r>
        <w:rPr>
          <w:b/>
          <w:bCs/>
        </w:rPr>
        <w:t xml:space="preserve">portable export bundle</w:t>
      </w:r>
      <w:r>
        <w:t xml:space="preserve">: exporting copies both, and importing on another machine reconstitutes the library. Source PDFs are never moved into the database; the catalogue augments the user's folder. Optional at-rest encryption applies to the catalogue and to backups per CTRL-OGMA-014 and CTRL-OGMA-015. Thumbnail storage as a sidecar folder plus portable bundle resolves the Phase 1 thumbnail-storage decision from design-report Section 17.</w:t>
      </w:r>
    </w:p>
    <w:bookmarkEnd w:id="66"/>
    <w:bookmarkStart w:id="67" w:name="consequences-4"/>
    <w:p>
      <w:pPr>
        <w:pStyle w:val="Heading2"/>
      </w:pPr>
      <w:r>
        <w:t xml:space="preserve">Consequences</w:t>
      </w:r>
    </w:p>
    <w:p>
      <w:pPr>
        <w:pStyle w:val="Compact"/>
        <w:numPr>
          <w:ilvl w:val="0"/>
          <w:numId w:val="1032"/>
        </w:numPr>
      </w:pPr>
      <w:r>
        <w:t xml:space="preserve">Positive: structured catalogue stays compact and fast while large derived assets stay regenerable and out of the catalogue file.</w:t>
      </w:r>
    </w:p>
    <w:p>
      <w:pPr>
        <w:pStyle w:val="Compact"/>
        <w:numPr>
          <w:ilvl w:val="0"/>
          <w:numId w:val="1032"/>
        </w:numPr>
      </w:pPr>
      <w:r>
        <w:t xml:space="preserve">Positive: the catalogue-plus-sidecar pair is a clean, documented portable export bundle satisfying data portability.</w:t>
      </w:r>
    </w:p>
    <w:p>
      <w:pPr>
        <w:pStyle w:val="Compact"/>
        <w:numPr>
          <w:ilvl w:val="0"/>
          <w:numId w:val="1032"/>
        </w:numPr>
      </w:pPr>
      <w:r>
        <w:t xml:space="preserve">Negative: the database and sidecar must be kept consistent and exported together; an asset garbage-collection routine is required.</w:t>
      </w:r>
    </w:p>
    <w:p>
      <w:pPr>
        <w:pStyle w:val="Compact"/>
        <w:numPr>
          <w:ilvl w:val="0"/>
          <w:numId w:val="1032"/>
        </w:numPr>
      </w:pPr>
      <w:r>
        <w:t xml:space="preserve">Negative: at-rest encryption must cover both the catalogue and the sidecar-derived backups, not the catalogue alone.</w:t>
      </w:r>
    </w:p>
    <w:p>
      <w:pPr>
        <w:pStyle w:val="Compact"/>
        <w:numPr>
          <w:ilvl w:val="0"/>
          <w:numId w:val="1032"/>
        </w:numPr>
      </w:pPr>
      <w:r>
        <w:t xml:space="preserve">Affects: ADR-0006 (FTS5 external-content index); ADR-0008 (annotations and metadata stored DB-first); CTRL-OGMA-014 and CTRL-OGMA-015 (encryption and backup at rest); NFR-PROD-009 (portability).</w:t>
      </w:r>
    </w:p>
    <w:bookmarkEnd w:id="67"/>
    <w:bookmarkEnd w:id="68"/>
    <w:bookmarkStart w:id="77" w:name="X7f04e7d3c0568634cdcdcb80e1192017056e880"/>
    <w:p>
      <w:pPr>
        <w:pStyle w:val="Heading1"/>
      </w:pPr>
      <w:r>
        <w:t xml:space="preserve">ADR-0006: Build Search as Hybrid Metadata, FTS5, and Semantic Embeddings</w:t>
      </w:r>
    </w:p>
    <w:p>
      <w:pPr>
        <w:pStyle w:val="Compact"/>
        <w:numPr>
          <w:ilvl w:val="0"/>
          <w:numId w:val="1033"/>
        </w:numPr>
      </w:pPr>
      <w:r>
        <w:t xml:space="preserve">Status: Proposed</w:t>
      </w:r>
    </w:p>
    <w:p>
      <w:pPr>
        <w:pStyle w:val="Compact"/>
        <w:numPr>
          <w:ilvl w:val="0"/>
          <w:numId w:val="1033"/>
        </w:numPr>
      </w:pPr>
      <w:r>
        <w:t xml:space="preserve">Date: 2026-05-30</w:t>
      </w:r>
    </w:p>
    <w:bookmarkStart w:id="69" w:name="context-5"/>
    <w:p>
      <w:pPr>
        <w:pStyle w:val="Heading2"/>
      </w:pPr>
      <w:r>
        <w:t xml:space="preserve">Context</w:t>
      </w:r>
    </w:p>
    <w:p>
      <w:pPr>
        <w:pStyle w:val="FirstParagraph"/>
      </w:pPr>
      <w:r>
        <w:t xml:space="preserve">Ogma Library promises to make a collection</w:t>
      </w:r>
      <w:r>
        <w:t xml:space="preserve"> </w:t>
      </w:r>
      <w:r>
        <w:rPr>
          <w:i/>
          <w:iCs/>
        </w:rPr>
        <w:t xml:space="preserve">usable</w:t>
      </w:r>
      <w:r>
        <w:t xml:space="preserve"> </w:t>
      </w:r>
      <w:r>
        <w:t xml:space="preserve">through search and</w:t>
      </w:r>
      <w:r>
        <w:t xml:space="preserve"> </w:t>
      </w:r>
      <w:r>
        <w:rPr>
          <w:i/>
          <w:iCs/>
        </w:rPr>
        <w:t xml:space="preserve">intelligent</w:t>
      </w:r>
      <w:r>
        <w:t xml:space="preserve"> </w:t>
      </w:r>
      <w:r>
        <w:t xml:space="preserve">through an AI advisor that recommends books from the user's own corpus with explanations and confidence. Three retrieval needs coexist: exact structured lookup over metadata (title, author, tag, year), full-text keyword search over extracted document text, and semantic similarity for recommendation and concept search where the query words do not match the document words. No single index serves all three well. The catalogue is SQLite with a sidecar folder (ADR-0005), and full-text indexing is scheduled for Phase 4 before AI content-aware mode, per design-report Section 17. Semantic similarity needs a vector store; at small-to-medium personal-library scale a brute-force cosine scan over stored embeddings is correct and simple, while a dedicated vector index is a later optimisation to be proven by a spike rather than adopted on faith.</w:t>
      </w:r>
    </w:p>
    <w:bookmarkEnd w:id="69"/>
    <w:bookmarkStart w:id="70" w:name="decision-drivers-5"/>
    <w:p>
      <w:pPr>
        <w:pStyle w:val="Heading2"/>
      </w:pPr>
      <w:r>
        <w:t xml:space="preserve">Decision Drivers</w:t>
      </w:r>
    </w:p>
    <w:p>
      <w:pPr>
        <w:pStyle w:val="Compact"/>
        <w:numPr>
          <w:ilvl w:val="0"/>
          <w:numId w:val="1034"/>
        </w:numPr>
      </w:pPr>
      <w:r>
        <w:t xml:space="preserve">Cover exact metadata lookup, full-text keyword search, and semantic similarity from one design.</w:t>
      </w:r>
    </w:p>
    <w:p>
      <w:pPr>
        <w:pStyle w:val="Compact"/>
        <w:numPr>
          <w:ilvl w:val="0"/>
          <w:numId w:val="1034"/>
        </w:numPr>
      </w:pPr>
      <w:r>
        <w:t xml:space="preserve">Keep the index out of the catalogue file using the external-content pattern (ADR-0005).</w:t>
      </w:r>
    </w:p>
    <w:p>
      <w:pPr>
        <w:pStyle w:val="Compact"/>
        <w:numPr>
          <w:ilvl w:val="0"/>
          <w:numId w:val="1034"/>
        </w:numPr>
      </w:pPr>
      <w:r>
        <w:t xml:space="preserve">Meet the P95 search-latency budget at personal-library scale.</w:t>
      </w:r>
    </w:p>
    <w:p>
      <w:pPr>
        <w:pStyle w:val="Compact"/>
        <w:numPr>
          <w:ilvl w:val="0"/>
          <w:numId w:val="1034"/>
        </w:numPr>
      </w:pPr>
      <w:r>
        <w:t xml:space="preserve">Start with the simplest correct semantic approach and defer index complexity until measured.</w:t>
      </w:r>
    </w:p>
    <w:p>
      <w:pPr>
        <w:pStyle w:val="Compact"/>
        <w:numPr>
          <w:ilvl w:val="0"/>
          <w:numId w:val="1034"/>
        </w:numPr>
      </w:pPr>
      <w:r>
        <w:t xml:space="preserve">Keep retrieval fully local so offline search and local AI remain useful.</w:t>
      </w:r>
    </w:p>
    <w:bookmarkEnd w:id="70"/>
    <w:bookmarkStart w:id="74" w:name="considered-options-5"/>
    <w:p>
      <w:pPr>
        <w:pStyle w:val="Heading2"/>
      </w:pPr>
      <w:r>
        <w:t xml:space="preserve">Considered Options</w:t>
      </w:r>
    </w:p>
    <w:bookmarkStart w:id="71" w:name="Xfc4fef3aeda24d2aeb4545dfe19a69f69a25baf"/>
    <w:p>
      <w:pPr>
        <w:pStyle w:val="Heading3"/>
      </w:pPr>
      <w:r>
        <w:t xml:space="preserve">Option A — Hybrid: SQLite metadata queries plus FTS5 plus semantic embeddings</w:t>
      </w:r>
    </w:p>
    <w:p>
      <w:pPr>
        <w:pStyle w:val="Compact"/>
        <w:numPr>
          <w:ilvl w:val="0"/>
          <w:numId w:val="1035"/>
        </w:numPr>
      </w:pPr>
      <w:r>
        <w:t xml:space="preserve">Pros: each retrieval need is served by the index suited to it; FTS5 external-content keeps the keyword index lean against the catalogue (ADR-0005); embeddings enable concept search and explainable recommendation; all three run locally and offline.</w:t>
      </w:r>
    </w:p>
    <w:p>
      <w:pPr>
        <w:pStyle w:val="Compact"/>
        <w:numPr>
          <w:ilvl w:val="0"/>
          <w:numId w:val="1035"/>
        </w:numPr>
      </w:pPr>
      <w:r>
        <w:t xml:space="preserve">Cons: three retrieval paths must be orchestrated and their results merged and ranked; embedding generation and storage add a pipeline.</w:t>
      </w:r>
    </w:p>
    <w:bookmarkEnd w:id="71"/>
    <w:bookmarkStart w:id="72" w:name="option-b--fts5-keyword-search-only"/>
    <w:p>
      <w:pPr>
        <w:pStyle w:val="Heading3"/>
      </w:pPr>
      <w:r>
        <w:t xml:space="preserve">Option B — FTS5 keyword search only</w:t>
      </w:r>
    </w:p>
    <w:p>
      <w:pPr>
        <w:pStyle w:val="Compact"/>
        <w:numPr>
          <w:ilvl w:val="0"/>
          <w:numId w:val="1036"/>
        </w:numPr>
      </w:pPr>
      <w:r>
        <w:t xml:space="preserve">Pros: simplest; one index.</w:t>
      </w:r>
    </w:p>
    <w:p>
      <w:pPr>
        <w:pStyle w:val="Compact"/>
        <w:numPr>
          <w:ilvl w:val="0"/>
          <w:numId w:val="1036"/>
        </w:numPr>
      </w:pPr>
      <w:r>
        <w:t xml:space="preserve">Cons: no semantic similarity, so the AI advisor cannot recommend by concept and queries that do not share words with the text fail.</w:t>
      </w:r>
    </w:p>
    <w:bookmarkEnd w:id="72"/>
    <w:bookmarkStart w:id="73" w:name="option-c--embedding-vector-search-only"/>
    <w:p>
      <w:pPr>
        <w:pStyle w:val="Heading3"/>
      </w:pPr>
      <w:r>
        <w:t xml:space="preserve">Option C — Embedding vector search only</w:t>
      </w:r>
    </w:p>
    <w:p>
      <w:pPr>
        <w:pStyle w:val="Compact"/>
        <w:numPr>
          <w:ilvl w:val="0"/>
          <w:numId w:val="1037"/>
        </w:numPr>
      </w:pPr>
      <w:r>
        <w:t xml:space="preserve">Pros: strong semantic recall.</w:t>
      </w:r>
    </w:p>
    <w:p>
      <w:pPr>
        <w:pStyle w:val="Compact"/>
        <w:numPr>
          <w:ilvl w:val="0"/>
          <w:numId w:val="1037"/>
        </w:numPr>
      </w:pPr>
      <w:r>
        <w:t xml:space="preserve">Cons: poor at exact metadata and exact-phrase lookup; over-engineered and slower for simple keyword needs; loses precise structured filtering.</w:t>
      </w:r>
    </w:p>
    <w:bookmarkEnd w:id="73"/>
    <w:bookmarkEnd w:id="74"/>
    <w:bookmarkStart w:id="75" w:name="decision-outcome-5"/>
    <w:p>
      <w:pPr>
        <w:pStyle w:val="Heading2"/>
      </w:pPr>
      <w:r>
        <w:t xml:space="preserve">Decision Outcome</w:t>
      </w:r>
    </w:p>
    <w:p>
      <w:pPr>
        <w:pStyle w:val="FirstParagraph"/>
      </w:pPr>
      <w:r>
        <w:t xml:space="preserve">Adopt a</w:t>
      </w:r>
      <w:r>
        <w:t xml:space="preserve"> </w:t>
      </w:r>
      <w:r>
        <w:rPr>
          <w:b/>
          <w:bCs/>
        </w:rPr>
        <w:t xml:space="preserve">hybrid search architecture</w:t>
      </w:r>
      <w:r>
        <w:t xml:space="preserve"> </w:t>
      </w:r>
      <w:r>
        <w:t xml:space="preserve">combining three local retrieval paths: structured</w:t>
      </w:r>
      <w:r>
        <w:t xml:space="preserve"> </w:t>
      </w:r>
      <w:r>
        <w:rPr>
          <w:b/>
          <w:bCs/>
        </w:rPr>
        <w:t xml:space="preserve">SQLite metadata queries</w:t>
      </w:r>
      <w:r>
        <w:t xml:space="preserve"> </w:t>
      </w:r>
      <w:r>
        <w:t xml:space="preserve">for exact and filtered lookup, an</w:t>
      </w:r>
      <w:r>
        <w:t xml:space="preserve"> </w:t>
      </w:r>
      <w:r>
        <w:rPr>
          <w:b/>
          <w:bCs/>
        </w:rPr>
        <w:t xml:space="preserve">FTS5 external-content full-text index</w:t>
      </w:r>
      <w:r>
        <w:t xml:space="preserve"> </w:t>
      </w:r>
      <w:r>
        <w:t xml:space="preserve">for keyword search over extracted text, and</w:t>
      </w:r>
      <w:r>
        <w:t xml:space="preserve"> </w:t>
      </w:r>
      <w:r>
        <w:rPr>
          <w:b/>
          <w:bCs/>
        </w:rPr>
        <w:t xml:space="preserve">semantic embeddings</w:t>
      </w:r>
      <w:r>
        <w:t xml:space="preserve"> </w:t>
      </w:r>
      <w:r>
        <w:t xml:space="preserve">for similarity and explainable recommendation. For the semantic path, start with a</w:t>
      </w:r>
      <w:r>
        <w:t xml:space="preserve"> </w:t>
      </w:r>
      <w:r>
        <w:rPr>
          <w:b/>
          <w:bCs/>
        </w:rPr>
        <w:t xml:space="preserve">brute-force cosine-similarity scan</w:t>
      </w:r>
      <w:r>
        <w:t xml:space="preserve"> </w:t>
      </w:r>
      <w:r>
        <w:t xml:space="preserve">over stored embeddings, which is correct and adequate at personal-library scale and avoids premature index machinery. A dedicated vector index — for example sqlite-vec or a comparable SQLite vector extension — is</w:t>
      </w:r>
      <w:r>
        <w:t xml:space="preserve"> </w:t>
      </w:r>
      <w:r>
        <w:rPr>
          <w:b/>
          <w:bCs/>
        </w:rPr>
        <w:t xml:space="preserve">spiked later</w:t>
      </w:r>
      <w:r>
        <w:t xml:space="preserve"> </w:t>
      </w:r>
      <w:r>
        <w:t xml:space="preserve">and adopted only if measured corpus growth pushes brute-force cosine past the P95 search-latency budget; the spike outcome is recorded as an amendment to this ADR. Full-text indexing lands in Phase 4 before AI content-aware mode, matching the design-report sequencing.</w:t>
      </w:r>
    </w:p>
    <w:bookmarkEnd w:id="75"/>
    <w:bookmarkStart w:id="76" w:name="consequences-5"/>
    <w:p>
      <w:pPr>
        <w:pStyle w:val="Heading2"/>
      </w:pPr>
      <w:r>
        <w:t xml:space="preserve">Consequences</w:t>
      </w:r>
    </w:p>
    <w:p>
      <w:pPr>
        <w:pStyle w:val="Compact"/>
        <w:numPr>
          <w:ilvl w:val="0"/>
          <w:numId w:val="1038"/>
        </w:numPr>
      </w:pPr>
      <w:r>
        <w:t xml:space="preserve">Positive: exact, keyword, and semantic retrieval are each served well, and the AI advisor can recommend by concept with supporting evidence.</w:t>
      </w:r>
    </w:p>
    <w:p>
      <w:pPr>
        <w:pStyle w:val="Compact"/>
        <w:numPr>
          <w:ilvl w:val="0"/>
          <w:numId w:val="1038"/>
        </w:numPr>
      </w:pPr>
      <w:r>
        <w:t xml:space="preserve">Positive: starting with brute-force cosine keeps Phase 4 simple and defers vector-index complexity until data justifies it.</w:t>
      </w:r>
    </w:p>
    <w:p>
      <w:pPr>
        <w:pStyle w:val="Compact"/>
        <w:numPr>
          <w:ilvl w:val="0"/>
          <w:numId w:val="1038"/>
        </w:numPr>
      </w:pPr>
      <w:r>
        <w:t xml:space="preserve">Negative: result merging and ranking across three paths must be designed and tuned.</w:t>
      </w:r>
    </w:p>
    <w:p>
      <w:pPr>
        <w:pStyle w:val="Compact"/>
        <w:numPr>
          <w:ilvl w:val="0"/>
          <w:numId w:val="1038"/>
        </w:numPr>
      </w:pPr>
      <w:r>
        <w:t xml:space="preserve">Negative: embedding generation, storage, and erasure (CTRL-OGMA-023) add a pipeline that the sidecar folder must hold (ADR-0005).</w:t>
      </w:r>
    </w:p>
    <w:p>
      <w:pPr>
        <w:pStyle w:val="Compact"/>
        <w:numPr>
          <w:ilvl w:val="0"/>
          <w:numId w:val="1038"/>
        </w:numPr>
      </w:pPr>
      <w:r>
        <w:t xml:space="preserve">Affects: ADR-0005 (FTS5 external-content and embedding storage in the sidecar); ADR-0007 (content-aware AI consumes retrieved context); ADR-0008 (annotation and metadata records are searchable); CTRL-OGMA-023 (embedding erasure).</w:t>
      </w:r>
    </w:p>
    <w:bookmarkEnd w:id="76"/>
    <w:bookmarkEnd w:id="77"/>
    <w:bookmarkStart w:id="86" w:name="Xc47df034aeae60d5a25dff91441fd04a3728d90"/>
    <w:p>
      <w:pPr>
        <w:pStyle w:val="Heading1"/>
      </w:pPr>
      <w:r>
        <w:t xml:space="preserve">ADR-0007: Route AI Through a Provider-Neutral Gateway with Four Privacy Tiers</w:t>
      </w:r>
    </w:p>
    <w:p>
      <w:pPr>
        <w:pStyle w:val="Compact"/>
        <w:numPr>
          <w:ilvl w:val="0"/>
          <w:numId w:val="1039"/>
        </w:numPr>
      </w:pPr>
      <w:r>
        <w:t xml:space="preserve">Status: Proposed</w:t>
      </w:r>
    </w:p>
    <w:p>
      <w:pPr>
        <w:pStyle w:val="Compact"/>
        <w:numPr>
          <w:ilvl w:val="0"/>
          <w:numId w:val="1039"/>
        </w:numPr>
      </w:pPr>
      <w:r>
        <w:t xml:space="preserve">Date: 2026-05-30</w:t>
      </w:r>
    </w:p>
    <w:bookmarkStart w:id="78" w:name="context-6"/>
    <w:p>
      <w:pPr>
        <w:pStyle w:val="Heading2"/>
      </w:pPr>
      <w:r>
        <w:t xml:space="preserve">Context</w:t>
      </w:r>
    </w:p>
    <w:p>
      <w:pPr>
        <w:pStyle w:val="FirstParagraph"/>
      </w:pPr>
      <w:r>
        <w:t xml:space="preserve">The AI reading advisor is a core promise, but the product is local-first and privacy is an acceptance criterion, not decorative language. AI capability spans local on-device inference and several optional cloud providers, and the user must retain explicit, legible control over what leaves the device. The security baseline mandates a single egress chokepoint: all off-device calls route through one gateway and no UI or feature module opens its own provider connection (CTRL-OGMA-016). The compliance surface appears only at off-device transmission (CTRL-OGMA-017 through CTRL-OGMA-022), so the AI layer must enforce consent, payload minimisation, payload preview, and audit at exactly one place. The design must also let providers be added or swapped without rewriting feature code, and must default to the least data exposure.</w:t>
      </w:r>
    </w:p>
    <w:bookmarkEnd w:id="78"/>
    <w:bookmarkStart w:id="79" w:name="decision-drivers-6"/>
    <w:p>
      <w:pPr>
        <w:pStyle w:val="Heading2"/>
      </w:pPr>
      <w:r>
        <w:t xml:space="preserve">Decision Drivers</w:t>
      </w:r>
    </w:p>
    <w:p>
      <w:pPr>
        <w:pStyle w:val="Compact"/>
        <w:numPr>
          <w:ilvl w:val="0"/>
          <w:numId w:val="1040"/>
        </w:numPr>
      </w:pPr>
      <w:r>
        <w:t xml:space="preserve">One enforceable egress chokepoint for every off-device call (CTRL-OGMA-016).</w:t>
      </w:r>
    </w:p>
    <w:p>
      <w:pPr>
        <w:pStyle w:val="Compact"/>
        <w:numPr>
          <w:ilvl w:val="0"/>
          <w:numId w:val="1040"/>
        </w:numPr>
      </w:pPr>
      <w:r>
        <w:t xml:space="preserve">Provider neutrality so cloud and local providers are interchangeable behind one interface.</w:t>
      </w:r>
    </w:p>
    <w:p>
      <w:pPr>
        <w:pStyle w:val="Compact"/>
        <w:numPr>
          <w:ilvl w:val="0"/>
          <w:numId w:val="1040"/>
        </w:numPr>
      </w:pPr>
      <w:r>
        <w:t xml:space="preserve">A privacy-tier model that makes data exposure explicit and selectable by the user.</w:t>
      </w:r>
    </w:p>
    <w:p>
      <w:pPr>
        <w:pStyle w:val="Compact"/>
        <w:numPr>
          <w:ilvl w:val="0"/>
          <w:numId w:val="1040"/>
        </w:numPr>
      </w:pPr>
      <w:r>
        <w:t xml:space="preserve">Default to the lowest exposure, with no transmission unless the active tier permits and the user confirms a previewed payload (CTRL-OGMA-017).</w:t>
      </w:r>
    </w:p>
    <w:p>
      <w:pPr>
        <w:pStyle w:val="Compact"/>
        <w:numPr>
          <w:ilvl w:val="0"/>
          <w:numId w:val="1040"/>
        </w:numPr>
      </w:pPr>
      <w:r>
        <w:t xml:space="preserve">Per-tier, per-provider consent, payload minimisation, and audit enforced in one place.</w:t>
      </w:r>
    </w:p>
    <w:bookmarkEnd w:id="79"/>
    <w:bookmarkStart w:id="83" w:name="considered-options-6"/>
    <w:p>
      <w:pPr>
        <w:pStyle w:val="Heading2"/>
      </w:pPr>
      <w:r>
        <w:t xml:space="preserve">Considered Options</w:t>
      </w:r>
    </w:p>
    <w:bookmarkStart w:id="80" w:name="Xb25ec7bac12b892152841faf9ffc5e666ac28f4"/>
    <w:p>
      <w:pPr>
        <w:pStyle w:val="Heading3"/>
      </w:pPr>
      <w:r>
        <w:t xml:space="preserve">Option A — Provider-neutral IAiProvider gateway with four privacy tiers</w:t>
      </w:r>
    </w:p>
    <w:p>
      <w:pPr>
        <w:pStyle w:val="Compact"/>
        <w:numPr>
          <w:ilvl w:val="0"/>
          <w:numId w:val="1041"/>
        </w:numPr>
      </w:pPr>
      <w:r>
        <w:t xml:space="preserve">Pros: one interface abstracts local and cloud providers; one gateway enforces consent, minimisation, preview, and audit; the four-tier model (offline, metadata-only cloud, content-aware cloud, local model) makes exposure explicit and user-selectable; metadata-only is the safe default for cloud; no feature module can bypass the chokepoint.</w:t>
      </w:r>
    </w:p>
    <w:p>
      <w:pPr>
        <w:pStyle w:val="Compact"/>
        <w:numPr>
          <w:ilvl w:val="0"/>
          <w:numId w:val="1041"/>
        </w:numPr>
      </w:pPr>
      <w:r>
        <w:t xml:space="preserve">Cons: every provider must be adapted to the common interface; the tier model and payload-preview contract must be designed carefully and kept honest as providers evolve.</w:t>
      </w:r>
    </w:p>
    <w:bookmarkEnd w:id="80"/>
    <w:bookmarkStart w:id="81" w:name="X600a77deab4a54a7f837ce0f7f21a78961704b8"/>
    <w:p>
      <w:pPr>
        <w:pStyle w:val="Heading3"/>
      </w:pPr>
      <w:r>
        <w:t xml:space="preserve">Option B — Direct per-feature provider calls</w:t>
      </w:r>
    </w:p>
    <w:p>
      <w:pPr>
        <w:pStyle w:val="Compact"/>
        <w:numPr>
          <w:ilvl w:val="0"/>
          <w:numId w:val="1042"/>
        </w:numPr>
      </w:pPr>
      <w:r>
        <w:t xml:space="preserve">Pros: less abstraction; fastest to wire one provider.</w:t>
      </w:r>
    </w:p>
    <w:p>
      <w:pPr>
        <w:pStyle w:val="Compact"/>
        <w:numPr>
          <w:ilvl w:val="0"/>
          <w:numId w:val="1042"/>
        </w:numPr>
      </w:pPr>
      <w:r>
        <w:t xml:space="preserve">Cons: multiple egress points defeat CTRL-OGMA-016; consent, minimisation, and audit scatter across features and drift; adding a provider touches every caller; privacy control becomes unverifiable.</w:t>
      </w:r>
    </w:p>
    <w:bookmarkEnd w:id="81"/>
    <w:bookmarkStart w:id="82" w:name="X022be02aed918f83dec4de1a8b2d607bd2c0944"/>
    <w:p>
      <w:pPr>
        <w:pStyle w:val="Heading3"/>
      </w:pPr>
      <w:r>
        <w:t xml:space="preserve">Option C — Single hard-coded cloud provider, no local tier</w:t>
      </w:r>
    </w:p>
    <w:p>
      <w:pPr>
        <w:pStyle w:val="Compact"/>
        <w:numPr>
          <w:ilvl w:val="0"/>
          <w:numId w:val="1043"/>
        </w:numPr>
      </w:pPr>
      <w:r>
        <w:t xml:space="preserve">Pros: simplest integration.</w:t>
      </w:r>
    </w:p>
    <w:p>
      <w:pPr>
        <w:pStyle w:val="Compact"/>
        <w:numPr>
          <w:ilvl w:val="0"/>
          <w:numId w:val="1043"/>
        </w:numPr>
      </w:pPr>
      <w:r>
        <w:t xml:space="preserve">Cons: violates local-first and offline-useful principles; no provider neutrality; forces off-device processing for AI at all.</w:t>
      </w:r>
    </w:p>
    <w:bookmarkEnd w:id="82"/>
    <w:bookmarkEnd w:id="83"/>
    <w:bookmarkStart w:id="84" w:name="decision-outcome-6"/>
    <w:p>
      <w:pPr>
        <w:pStyle w:val="Heading2"/>
      </w:pPr>
      <w:r>
        <w:t xml:space="preserve">Decision Outcome</w:t>
      </w:r>
    </w:p>
    <w:p>
      <w:pPr>
        <w:pStyle w:val="FirstParagraph"/>
      </w:pPr>
      <w:r>
        <w:t xml:space="preserve">Adopt a</w:t>
      </w:r>
      <w:r>
        <w:t xml:space="preserve"> </w:t>
      </w:r>
      <w:r>
        <w:rPr>
          <w:b/>
          <w:bCs/>
        </w:rPr>
        <w:t xml:space="preserve">provider-neutral</w:t>
      </w:r>
      <w:r>
        <w:rPr>
          <w:b/>
          <w:bCs/>
        </w:rPr>
        <w:t xml:space="preserve"> </w:t>
      </w:r>
      <w:r>
        <w:rPr>
          <w:rStyle w:val="VerbatimChar"/>
          <w:b/>
          <w:bCs/>
        </w:rPr>
        <w:t xml:space="preserve">IAiProvider</w:t>
      </w:r>
      <w:r>
        <w:rPr>
          <w:b/>
          <w:bCs/>
        </w:rPr>
        <w:t xml:space="preserve"> </w:t>
      </w:r>
      <w:r>
        <w:rPr>
          <w:b/>
          <w:bCs/>
        </w:rPr>
        <w:t xml:space="preserve">gateway</w:t>
      </w:r>
      <w:r>
        <w:t xml:space="preserve"> </w:t>
      </w:r>
      <w:r>
        <w:t xml:space="preserve">as the sole AI egress path, with</w:t>
      </w:r>
      <w:r>
        <w:t xml:space="preserve"> </w:t>
      </w:r>
      <w:r>
        <w:rPr>
          <w:b/>
          <w:bCs/>
        </w:rPr>
        <w:t xml:space="preserve">four privacy tiers</w:t>
      </w:r>
      <w:r>
        <w:t xml:space="preserve">: Tier 0 Offline (no AI transmission, the default), Tier 1 metadata-only cloud, Tier 2 content-aware cloud, and Tier 3 local on-device model. The</w:t>
      </w:r>
      <w:r>
        <w:t xml:space="preserve"> </w:t>
      </w:r>
      <w:r>
        <w:rPr>
          <w:b/>
          <w:bCs/>
        </w:rPr>
        <w:t xml:space="preserve">metadata-only tier is the default for any cloud use</w:t>
      </w:r>
      <w:r>
        <w:t xml:space="preserve">, and Tier 0 is the application default overall.</w:t>
      </w:r>
      <w:r>
        <w:t xml:space="preserve"> </w:t>
      </w:r>
      <w:r>
        <w:rPr>
          <w:b/>
          <w:bCs/>
        </w:rPr>
        <w:t xml:space="preserve">No UI or feature module may call a provider directly</w:t>
      </w:r>
      <w:r>
        <w:t xml:space="preserve"> </w:t>
      </w:r>
      <w:r>
        <w:t xml:space="preserve">(CTRL-OGMA-016); all calls pass through the gateway, which enforces per-tier and per-provider consent (CTRL-OGMA-019), payload minimisation (CTRL-OGMA-020), the no-training default opt-out (CTRL-OGMA-022), and the local audit entry per transmission (CTRL-OGMA-018). Before any off-device send, the gateway presents the</w:t>
      </w:r>
      <w:r>
        <w:t xml:space="preserve"> </w:t>
      </w:r>
      <w:r>
        <w:rPr>
          <w:b/>
          <w:bCs/>
        </w:rPr>
        <w:t xml:space="preserve">payload preview</w:t>
      </w:r>
      <w:r>
        <w:t xml:space="preserve"> </w:t>
      </w:r>
      <w:r>
        <w:t xml:space="preserve">showing the exact content, field set, and destination provider, and transmits only after the user confirms the previewed payload (CTRL-OGMA-017). Adding a provider means implementing the interface and declaring its tier and processing region; it never means a new egress path.</w:t>
      </w:r>
    </w:p>
    <w:bookmarkEnd w:id="84"/>
    <w:bookmarkStart w:id="85" w:name="consequences-6"/>
    <w:p>
      <w:pPr>
        <w:pStyle w:val="Heading2"/>
      </w:pPr>
      <w:r>
        <w:t xml:space="preserve">Consequences</w:t>
      </w:r>
    </w:p>
    <w:p>
      <w:pPr>
        <w:pStyle w:val="Compact"/>
        <w:numPr>
          <w:ilvl w:val="0"/>
          <w:numId w:val="1044"/>
        </w:numPr>
      </w:pPr>
      <w:r>
        <w:t xml:space="preserve">Positive: a single chokepoint makes consent, minimisation, preview, and audit verifiable and centrally enforced.</w:t>
      </w:r>
    </w:p>
    <w:p>
      <w:pPr>
        <w:pStyle w:val="Compact"/>
        <w:numPr>
          <w:ilvl w:val="0"/>
          <w:numId w:val="1044"/>
        </w:numPr>
      </w:pPr>
      <w:r>
        <w:t xml:space="preserve">Positive: providers are interchangeable, and the default posture exposes the least data.</w:t>
      </w:r>
    </w:p>
    <w:p>
      <w:pPr>
        <w:pStyle w:val="Compact"/>
        <w:numPr>
          <w:ilvl w:val="0"/>
          <w:numId w:val="1044"/>
        </w:numPr>
      </w:pPr>
      <w:r>
        <w:t xml:space="preserve">Negative: each provider needs an adapter to the common interface, and the payload-preview contract must stay faithful to what is actually sent.</w:t>
      </w:r>
    </w:p>
    <w:p>
      <w:pPr>
        <w:pStyle w:val="Compact"/>
        <w:numPr>
          <w:ilvl w:val="0"/>
          <w:numId w:val="1044"/>
        </w:numPr>
      </w:pPr>
      <w:r>
        <w:t xml:space="preserve">Negative: content-aware Tier 2 depends on retrieval (ADR-0006) and must minimise the context it forwards.</w:t>
      </w:r>
    </w:p>
    <w:p>
      <w:pPr>
        <w:pStyle w:val="Compact"/>
        <w:numPr>
          <w:ilvl w:val="0"/>
          <w:numId w:val="1044"/>
        </w:numPr>
      </w:pPr>
      <w:r>
        <w:t xml:space="preserve">Affects: CTRL-OGMA-016 through CTRL-OGMA-024 (the entire off-device control set); ADR-0006 (content-aware tier consumes retrieved context); the DPIA screening, which assesses each off-device tier.</w:t>
      </w:r>
    </w:p>
    <w:bookmarkEnd w:id="85"/>
    <w:bookmarkEnd w:id="86"/>
    <w:bookmarkStart w:id="95" w:name="X49246eeafffe46e70963767d9118f3c8d376c6a"/>
    <w:p>
      <w:pPr>
        <w:pStyle w:val="Heading1"/>
      </w:pPr>
      <w:r>
        <w:t xml:space="preserve">ADR-0008: Store Annotations and Metadata Database-First, Write Back to PDF Later</w:t>
      </w:r>
    </w:p>
    <w:p>
      <w:pPr>
        <w:pStyle w:val="Compact"/>
        <w:numPr>
          <w:ilvl w:val="0"/>
          <w:numId w:val="1045"/>
        </w:numPr>
      </w:pPr>
      <w:r>
        <w:t xml:space="preserve">Status: Proposed</w:t>
      </w:r>
    </w:p>
    <w:p>
      <w:pPr>
        <w:pStyle w:val="Compact"/>
        <w:numPr>
          <w:ilvl w:val="0"/>
          <w:numId w:val="1045"/>
        </w:numPr>
      </w:pPr>
      <w:r>
        <w:t xml:space="preserve">Date: 2026-05-30</w:t>
      </w:r>
    </w:p>
    <w:bookmarkStart w:id="87" w:name="context-7"/>
    <w:p>
      <w:pPr>
        <w:pStyle w:val="Heading2"/>
      </w:pPr>
      <w:r>
        <w:t xml:space="preserve">Context</w:t>
      </w:r>
    </w:p>
    <w:p>
      <w:pPr>
        <w:pStyle w:val="FirstParagraph"/>
      </w:pPr>
      <w:r>
        <w:t xml:space="preserve">Ogma Library lets users repair metadata, highlight, bookmark, and annotate their PDFs. Two storage targets exist: the application's own catalogue database (ADR-0005) and the source PDF file itself. Writing changes back into the source PDF is attractive for portability across other readers, but it mutates the user's original file, which is the highest-stakes operation in a product whose principle is that</w:t>
      </w:r>
      <w:r>
        <w:t xml:space="preserve"> </w:t>
      </w:r>
      <w:r>
        <w:rPr>
          <w:i/>
          <w:iCs/>
        </w:rPr>
        <w:t xml:space="preserve">files remain the user's files</w:t>
      </w:r>
      <w:r>
        <w:t xml:space="preserve"> </w:t>
      </w:r>
      <w:r>
        <w:t xml:space="preserve">and that</w:t>
      </w:r>
      <w:r>
        <w:t xml:space="preserve"> </w:t>
      </w:r>
      <w:r>
        <w:rPr>
          <w:i/>
          <w:iCs/>
        </w:rPr>
        <w:t xml:space="preserve">metadata is reversible</w:t>
      </w:r>
      <w:r>
        <w:t xml:space="preserve"> </w:t>
      </w:r>
      <w:r>
        <w:t xml:space="preserve">— write-back must create backups, show diffs, and allow restore. PDF write-back also depends on the chosen PDF engine's write path (ADR-0004) and runs against untrusted, sometimes malformed documents (CTRL-OGMA-004), so getting it wrong risks corrupting irreplaceable originals. The vision places PDF write-back of highlight annotations out of MVP scope, with the internal database first and PDF write-back later, and the methodology sets the write-back decision deadline before Phase 3.</w:t>
      </w:r>
    </w:p>
    <w:bookmarkEnd w:id="87"/>
    <w:bookmarkStart w:id="88" w:name="decision-drivers-7"/>
    <w:p>
      <w:pPr>
        <w:pStyle w:val="Heading2"/>
      </w:pPr>
      <w:r>
        <w:t xml:space="preserve">Decision Drivers</w:t>
      </w:r>
    </w:p>
    <w:p>
      <w:pPr>
        <w:pStyle w:val="Compact"/>
        <w:numPr>
          <w:ilvl w:val="0"/>
          <w:numId w:val="1046"/>
        </w:numPr>
      </w:pPr>
      <w:r>
        <w:t xml:space="preserve">Protect the user's original files from any unsafe or premature mutation.</w:t>
      </w:r>
    </w:p>
    <w:p>
      <w:pPr>
        <w:pStyle w:val="Compact"/>
        <w:numPr>
          <w:ilvl w:val="0"/>
          <w:numId w:val="1046"/>
        </w:numPr>
      </w:pPr>
      <w:r>
        <w:t xml:space="preserve">Deliver annotations, bookmarks, and metadata repair early without depending on a write path.</w:t>
      </w:r>
    </w:p>
    <w:p>
      <w:pPr>
        <w:pStyle w:val="Compact"/>
        <w:numPr>
          <w:ilvl w:val="0"/>
          <w:numId w:val="1046"/>
        </w:numPr>
      </w:pPr>
      <w:r>
        <w:t xml:space="preserve">Honour the</w:t>
      </w:r>
      <w:r>
        <w:t xml:space="preserve"> </w:t>
      </w:r>
      <w:r>
        <w:rPr>
          <w:i/>
          <w:iCs/>
        </w:rPr>
        <w:t xml:space="preserve">metadata is reversible</w:t>
      </w:r>
      <w:r>
        <w:t xml:space="preserve"> </w:t>
      </w:r>
      <w:r>
        <w:t xml:space="preserve">principle: backup, diff, verify, restore.</w:t>
      </w:r>
    </w:p>
    <w:p>
      <w:pPr>
        <w:pStyle w:val="Compact"/>
        <w:numPr>
          <w:ilvl w:val="0"/>
          <w:numId w:val="1046"/>
        </w:numPr>
      </w:pPr>
      <w:r>
        <w:t xml:space="preserve">Sequence the risky write-back capability after the safe, reversible foundation is proven.</w:t>
      </w:r>
    </w:p>
    <w:p>
      <w:pPr>
        <w:pStyle w:val="Compact"/>
        <w:numPr>
          <w:ilvl w:val="0"/>
          <w:numId w:val="1046"/>
        </w:numPr>
      </w:pPr>
      <w:r>
        <w:t xml:space="preserve">Keep write-back off by default and contained to the validated library root (CTRL-OGMA-011).</w:t>
      </w:r>
    </w:p>
    <w:bookmarkEnd w:id="88"/>
    <w:bookmarkStart w:id="92" w:name="considered-options-7"/>
    <w:p>
      <w:pPr>
        <w:pStyle w:val="Heading2"/>
      </w:pPr>
      <w:r>
        <w:t xml:space="preserve">Considered Options</w:t>
      </w:r>
    </w:p>
    <w:bookmarkStart w:id="89" w:name="Xaf29faed4dfec578bd12e2334449681e09e714a"/>
    <w:p>
      <w:pPr>
        <w:pStyle w:val="Heading3"/>
      </w:pPr>
      <w:r>
        <w:t xml:space="preserve">Option A — Database-first now; optional, guarded PDF write-back later</w:t>
      </w:r>
    </w:p>
    <w:p>
      <w:pPr>
        <w:pStyle w:val="Compact"/>
        <w:numPr>
          <w:ilvl w:val="0"/>
          <w:numId w:val="1047"/>
        </w:numPr>
      </w:pPr>
      <w:r>
        <w:t xml:space="preserve">Pros: annotations, bookmarks, reading state, and metadata repair ship early and reversibly in the catalogue; the original files stay untouched in MVP; write-back is added later as an opt-in, backed by backup, diff, verify, and restore, contained to the validated root; matches the vision and methodology sequencing.</w:t>
      </w:r>
    </w:p>
    <w:p>
      <w:pPr>
        <w:pStyle w:val="Compact"/>
        <w:numPr>
          <w:ilvl w:val="0"/>
          <w:numId w:val="1047"/>
        </w:numPr>
      </w:pPr>
      <w:r>
        <w:t xml:space="preserve">Cons: until write-back ships, annotations live only inside Ogma and are not visible in other PDF readers.</w:t>
      </w:r>
    </w:p>
    <w:bookmarkEnd w:id="89"/>
    <w:bookmarkStart w:id="90" w:name="X2fef91114c2332c57dbca83e19f72ca033af975"/>
    <w:p>
      <w:pPr>
        <w:pStyle w:val="Heading3"/>
      </w:pPr>
      <w:r>
        <w:t xml:space="preserve">Option B — Write back to PDF from the start</w:t>
      </w:r>
    </w:p>
    <w:p>
      <w:pPr>
        <w:pStyle w:val="Compact"/>
        <w:numPr>
          <w:ilvl w:val="0"/>
          <w:numId w:val="1048"/>
        </w:numPr>
      </w:pPr>
      <w:r>
        <w:t xml:space="preserve">Pros: annotations are portable to other readers immediately.</w:t>
      </w:r>
    </w:p>
    <w:p>
      <w:pPr>
        <w:pStyle w:val="Compact"/>
        <w:numPr>
          <w:ilvl w:val="0"/>
          <w:numId w:val="1048"/>
        </w:numPr>
      </w:pPr>
      <w:r>
        <w:t xml:space="preserve">Cons: mutates irreplaceable originals before the reversible-edit safety net is built; couples MVP delivery to a high-risk write path against untrusted documents; a write bug can corrupt user files.</w:t>
      </w:r>
    </w:p>
    <w:bookmarkEnd w:id="90"/>
    <w:bookmarkStart w:id="91" w:name="Xe2438220d01512dd761c9d7817b172b3e3eee4f"/>
    <w:p>
      <w:pPr>
        <w:pStyle w:val="Heading3"/>
      </w:pPr>
      <w:r>
        <w:t xml:space="preserve">Option C — PDF write-back only, no database annotation store</w:t>
      </w:r>
    </w:p>
    <w:p>
      <w:pPr>
        <w:pStyle w:val="Compact"/>
        <w:numPr>
          <w:ilvl w:val="0"/>
          <w:numId w:val="1049"/>
        </w:numPr>
      </w:pPr>
      <w:r>
        <w:t xml:space="preserve">Pros: single source of truth in the file.</w:t>
      </w:r>
    </w:p>
    <w:p>
      <w:pPr>
        <w:pStyle w:val="Compact"/>
        <w:numPr>
          <w:ilvl w:val="0"/>
          <w:numId w:val="1049"/>
        </w:numPr>
      </w:pPr>
      <w:r>
        <w:t xml:space="preserve">Cons: forfeits fast, reversible, searchable annotation storage; every edit touches the original; offline reading-state and AI history still need a database anyway.</w:t>
      </w:r>
    </w:p>
    <w:bookmarkEnd w:id="91"/>
    <w:bookmarkEnd w:id="92"/>
    <w:bookmarkStart w:id="93" w:name="decision-outcome-7"/>
    <w:p>
      <w:pPr>
        <w:pStyle w:val="Heading2"/>
      </w:pPr>
      <w:r>
        <w:t xml:space="preserve">Decision Outcome</w:t>
      </w:r>
    </w:p>
    <w:p>
      <w:pPr>
        <w:pStyle w:val="FirstParagraph"/>
      </w:pPr>
      <w:r>
        <w:t xml:space="preserve">Store</w:t>
      </w:r>
      <w:r>
        <w:t xml:space="preserve"> </w:t>
      </w:r>
      <w:r>
        <w:rPr>
          <w:b/>
          <w:bCs/>
        </w:rPr>
        <w:t xml:space="preserve">annotations, bookmarks, reading state, and metadata changes in the catalogue database first</w:t>
      </w:r>
      <w:r>
        <w:t xml:space="preserve"> </w:t>
      </w:r>
      <w:r>
        <w:t xml:space="preserve">(ADR-0005), leaving source PDFs untouched in the MVP.</w:t>
      </w:r>
      <w:r>
        <w:t xml:space="preserve"> </w:t>
      </w:r>
      <w:r>
        <w:rPr>
          <w:b/>
          <w:bCs/>
        </w:rPr>
        <w:t xml:space="preserve">PDF write-back is a later, opt-in capability, off by default.</w:t>
      </w:r>
      <w:r>
        <w:t xml:space="preserve"> </w:t>
      </w:r>
      <w:r>
        <w:t xml:space="preserve">When enabled, every write-back creates a</w:t>
      </w:r>
      <w:r>
        <w:t xml:space="preserve"> </w:t>
      </w:r>
      <w:r>
        <w:rPr>
          <w:b/>
          <w:bCs/>
        </w:rPr>
        <w:t xml:space="preserve">backup of the original</w:t>
      </w:r>
      <w:r>
        <w:t xml:space="preserve">, presents a</w:t>
      </w:r>
      <w:r>
        <w:t xml:space="preserve"> </w:t>
      </w:r>
      <w:r>
        <w:rPr>
          <w:b/>
          <w:bCs/>
        </w:rPr>
        <w:t xml:space="preserve">diff</w:t>
      </w:r>
      <w:r>
        <w:t xml:space="preserve"> </w:t>
      </w:r>
      <w:r>
        <w:t xml:space="preserve">of the intended change,</w:t>
      </w:r>
      <w:r>
        <w:t xml:space="preserve"> </w:t>
      </w:r>
      <w:r>
        <w:rPr>
          <w:b/>
          <w:bCs/>
        </w:rPr>
        <w:t xml:space="preserve">verifies</w:t>
      </w:r>
      <w:r>
        <w:t xml:space="preserve"> </w:t>
      </w:r>
      <w:r>
        <w:t xml:space="preserve">the written file, and supports</w:t>
      </w:r>
      <w:r>
        <w:t xml:space="preserve"> </w:t>
      </w:r>
      <w:r>
        <w:rPr>
          <w:b/>
          <w:bCs/>
        </w:rPr>
        <w:t xml:space="preserve">restore</w:t>
      </w:r>
      <w:r>
        <w:t xml:space="preserve"> </w:t>
      </w:r>
      <w:r>
        <w:t xml:space="preserve">from the backup, satisfying the reversibility principle and NFR-PROD-010. Write-back targets only files inside the validated library root, preserves the original, and records an audit entry (CTRL-OGMA-011). Whether highlight annotations specifically are written back is decided before Phase 3, the annotation-write-back deadline from design-report Section 17, based on the maturity of the PDF engine's write path (ADR-0004).</w:t>
      </w:r>
    </w:p>
    <w:bookmarkEnd w:id="93"/>
    <w:bookmarkStart w:id="94" w:name="consequences-7"/>
    <w:p>
      <w:pPr>
        <w:pStyle w:val="Heading2"/>
      </w:pPr>
      <w:r>
        <w:t xml:space="preserve">Consequences</w:t>
      </w:r>
    </w:p>
    <w:p>
      <w:pPr>
        <w:pStyle w:val="Compact"/>
        <w:numPr>
          <w:ilvl w:val="0"/>
          <w:numId w:val="1050"/>
        </w:numPr>
      </w:pPr>
      <w:r>
        <w:t xml:space="preserve">Positive: users get reversible annotations and metadata repair early with zero risk to their original files.</w:t>
      </w:r>
    </w:p>
    <w:p>
      <w:pPr>
        <w:pStyle w:val="Compact"/>
        <w:numPr>
          <w:ilvl w:val="0"/>
          <w:numId w:val="1050"/>
        </w:numPr>
      </w:pPr>
      <w:r>
        <w:t xml:space="preserve">Positive: the high-risk write path is deferred until backup, diff, verify, and restore are in place and the PDF engine's write capability is proven.</w:t>
      </w:r>
    </w:p>
    <w:p>
      <w:pPr>
        <w:pStyle w:val="Compact"/>
        <w:numPr>
          <w:ilvl w:val="0"/>
          <w:numId w:val="1050"/>
        </w:numPr>
      </w:pPr>
      <w:r>
        <w:t xml:space="preserve">Negative: until write-back ships, Ogma annotations are not visible in third-party PDF readers.</w:t>
      </w:r>
    </w:p>
    <w:p>
      <w:pPr>
        <w:pStyle w:val="Compact"/>
        <w:numPr>
          <w:ilvl w:val="0"/>
          <w:numId w:val="1050"/>
        </w:numPr>
      </w:pPr>
      <w:r>
        <w:t xml:space="preserve">Negative: write-back, when added, must reconcile database annotations with file-embedded ones to avoid duplication.</w:t>
      </w:r>
    </w:p>
    <w:p>
      <w:pPr>
        <w:pStyle w:val="Compact"/>
        <w:numPr>
          <w:ilvl w:val="0"/>
          <w:numId w:val="1050"/>
        </w:numPr>
      </w:pPr>
      <w:r>
        <w:t xml:space="preserve">Affects: ADR-0005 (annotation and metadata records of record); ADR-0004 (PDF write path); CTRL-OGMA-011 and NFR-PROD-010 (write-back safety and reversibility); the Phase 3 write-back decision.</w:t>
      </w:r>
    </w:p>
    <w:bookmarkEnd w:id="94"/>
    <w:bookmarkEnd w:id="95"/>
    <w:bookmarkStart w:id="104" w:name="X9917744422e7df36a89eb70e211a80b6bf13714"/>
    <w:p>
      <w:pPr>
        <w:pStyle w:val="Heading1"/>
      </w:pPr>
      <w:r>
        <w:t xml:space="preserve">ADR-0009: Distribute with Velopack for Direct Channels and MSIX for Store and Enterprise</w:t>
      </w:r>
    </w:p>
    <w:p>
      <w:pPr>
        <w:pStyle w:val="Compact"/>
        <w:numPr>
          <w:ilvl w:val="0"/>
          <w:numId w:val="1051"/>
        </w:numPr>
      </w:pPr>
      <w:r>
        <w:t xml:space="preserve">Status: Proposed</w:t>
      </w:r>
    </w:p>
    <w:p>
      <w:pPr>
        <w:pStyle w:val="Compact"/>
        <w:numPr>
          <w:ilvl w:val="0"/>
          <w:numId w:val="1051"/>
        </w:numPr>
      </w:pPr>
      <w:r>
        <w:t xml:space="preserve">Date: 2026-05-30</w:t>
      </w:r>
    </w:p>
    <w:bookmarkStart w:id="96" w:name="context-8"/>
    <w:p>
      <w:pPr>
        <w:pStyle w:val="Heading2"/>
      </w:pPr>
      <w:r>
        <w:t xml:space="preserve">Context</w:t>
      </w:r>
    </w:p>
    <w:p>
      <w:pPr>
        <w:pStyle w:val="FirstParagraph"/>
      </w:pPr>
      <w:r>
        <w:t xml:space="preserve">Ogma Library ships to Windows and macOS as a signed desktop application with an auto-update path. The security baseline requires that all public builds be code-signed, that signatures be verified before an update installs, that updates be fetched over an authenticated integrity-checked channel, and that the update descriptor be signature-verified independently of transport (CTRL-OGMA-012 and CTRL-OGMA-013). Two distribution contexts coexist: a direct download channel where the team controls signing, hosting, and the update feed for both platforms, and managed channels — the Microsoft Store and enterprise deployment — that expect a packaged, policy-deployable format on Windows. macOS direct distribution additionally requires Developer ID signing and Apple notarization. The packaging choice must serve both the direct channel and the managed channels without two unrelated release pipelines.</w:t>
      </w:r>
    </w:p>
    <w:bookmarkEnd w:id="96"/>
    <w:bookmarkStart w:id="97" w:name="decision-drivers-8"/>
    <w:p>
      <w:pPr>
        <w:pStyle w:val="Heading2"/>
      </w:pPr>
      <w:r>
        <w:t xml:space="preserve">Decision Drivers</w:t>
      </w:r>
    </w:p>
    <w:p>
      <w:pPr>
        <w:pStyle w:val="Compact"/>
        <w:numPr>
          <w:ilvl w:val="0"/>
          <w:numId w:val="1052"/>
        </w:numPr>
      </w:pPr>
      <w:r>
        <w:t xml:space="preserve">Code-signed builds with verified, signature-checked, integrity-checked updates (CTRL-OGMA-012, CTRL-OGMA-013).</w:t>
      </w:r>
    </w:p>
    <w:p>
      <w:pPr>
        <w:pStyle w:val="Compact"/>
        <w:numPr>
          <w:ilvl w:val="0"/>
          <w:numId w:val="1052"/>
        </w:numPr>
      </w:pPr>
      <w:r>
        <w:t xml:space="preserve">A direct download channel the team controls for both Windows and macOS.</w:t>
      </w:r>
    </w:p>
    <w:p>
      <w:pPr>
        <w:pStyle w:val="Compact"/>
        <w:numPr>
          <w:ilvl w:val="0"/>
          <w:numId w:val="1052"/>
        </w:numPr>
      </w:pPr>
      <w:r>
        <w:t xml:space="preserve">A Store- and enterprise-deployable package format on Windows.</w:t>
      </w:r>
    </w:p>
    <w:p>
      <w:pPr>
        <w:pStyle w:val="Compact"/>
        <w:numPr>
          <w:ilvl w:val="0"/>
          <w:numId w:val="1052"/>
        </w:numPr>
      </w:pPr>
      <w:r>
        <w:t xml:space="preserve">macOS Developer ID signing and notarization for direct distribution.</w:t>
      </w:r>
    </w:p>
    <w:p>
      <w:pPr>
        <w:pStyle w:val="Compact"/>
        <w:numPr>
          <w:ilvl w:val="0"/>
          <w:numId w:val="1052"/>
        </w:numPr>
      </w:pPr>
      <w:r>
        <w:t xml:space="preserve">One coherent release pipeline rather than disconnected per-channel toolchains.</w:t>
      </w:r>
    </w:p>
    <w:bookmarkEnd w:id="97"/>
    <w:bookmarkStart w:id="101" w:name="considered-options-8"/>
    <w:p>
      <w:pPr>
        <w:pStyle w:val="Heading2"/>
      </w:pPr>
      <w:r>
        <w:t xml:space="preserve">Considered Options</w:t>
      </w:r>
    </w:p>
    <w:bookmarkStart w:id="98" w:name="X62d1736addacd7dbac56ba614143bc0be39f745"/>
    <w:p>
      <w:pPr>
        <w:pStyle w:val="Heading3"/>
      </w:pPr>
      <w:r>
        <w:t xml:space="preserve">Option A — Velopack for direct distribution plus MSIX for Store and enterprise</w:t>
      </w:r>
    </w:p>
    <w:p>
      <w:pPr>
        <w:pStyle w:val="Compact"/>
        <w:numPr>
          <w:ilvl w:val="0"/>
          <w:numId w:val="1053"/>
        </w:numPr>
      </w:pPr>
      <w:r>
        <w:t xml:space="preserve">Pros: Velopack provides cross-platform Windows and macOS direct installers and delta auto-updates with signature verification, matching the team-controlled channel; MSIX provides the Store- and enterprise-policy-deployable Windows package for managed contexts; macOS builds are Developer ID signed and notarized; the two formats cover both channels from one build.</w:t>
      </w:r>
    </w:p>
    <w:p>
      <w:pPr>
        <w:pStyle w:val="Compact"/>
        <w:numPr>
          <w:ilvl w:val="0"/>
          <w:numId w:val="1053"/>
        </w:numPr>
      </w:pPr>
      <w:r>
        <w:t xml:space="preserve">Cons: two packaging targets must be produced and tested; the build pipeline maintains both a Velopack feed and an MSIX package.</w:t>
      </w:r>
    </w:p>
    <w:bookmarkEnd w:id="98"/>
    <w:bookmarkStart w:id="99" w:name="option-b--velopack-only"/>
    <w:p>
      <w:pPr>
        <w:pStyle w:val="Heading3"/>
      </w:pPr>
      <w:r>
        <w:t xml:space="preserve">Option B — Velopack only</w:t>
      </w:r>
    </w:p>
    <w:p>
      <w:pPr>
        <w:pStyle w:val="Compact"/>
        <w:numPr>
          <w:ilvl w:val="0"/>
          <w:numId w:val="1054"/>
        </w:numPr>
      </w:pPr>
      <w:r>
        <w:t xml:space="preserve">Pros: one packaging tool; full control of the update feed.</w:t>
      </w:r>
    </w:p>
    <w:p>
      <w:pPr>
        <w:pStyle w:val="Compact"/>
        <w:numPr>
          <w:ilvl w:val="0"/>
          <w:numId w:val="1054"/>
        </w:numPr>
      </w:pPr>
      <w:r>
        <w:t xml:space="preserve">Cons: no Microsoft Store presence and weaker enterprise policy-deployment story on Windows.</w:t>
      </w:r>
    </w:p>
    <w:bookmarkEnd w:id="99"/>
    <w:bookmarkStart w:id="100" w:name="Xaca000219fb05250eb95050e66190b197f020e6"/>
    <w:p>
      <w:pPr>
        <w:pStyle w:val="Heading3"/>
      </w:pPr>
      <w:r>
        <w:t xml:space="preserve">Option C — MSIX only on Windows, native pkg on macOS, no unified updater</w:t>
      </w:r>
    </w:p>
    <w:p>
      <w:pPr>
        <w:pStyle w:val="Compact"/>
        <w:numPr>
          <w:ilvl w:val="0"/>
          <w:numId w:val="1055"/>
        </w:numPr>
      </w:pPr>
      <w:r>
        <w:t xml:space="preserve">Pros: most native to each platform's managed channel.</w:t>
      </w:r>
    </w:p>
    <w:p>
      <w:pPr>
        <w:pStyle w:val="Compact"/>
        <w:numPr>
          <w:ilvl w:val="0"/>
          <w:numId w:val="1055"/>
        </w:numPr>
      </w:pPr>
      <w:r>
        <w:t xml:space="preserve">Cons: no controlled cross-platform direct-download auto-update feed; the team loses delta updates and a single update path; more bespoke pipeline glue.</w:t>
      </w:r>
    </w:p>
    <w:bookmarkEnd w:id="100"/>
    <w:bookmarkEnd w:id="101"/>
    <w:bookmarkStart w:id="102" w:name="decision-outcome-8"/>
    <w:p>
      <w:pPr>
        <w:pStyle w:val="Heading2"/>
      </w:pPr>
      <w:r>
        <w:t xml:space="preserve">Decision Outcome</w:t>
      </w:r>
    </w:p>
    <w:p>
      <w:pPr>
        <w:pStyle w:val="FirstParagraph"/>
      </w:pPr>
      <w:r>
        <w:t xml:space="preserve">Adopt</w:t>
      </w:r>
      <w:r>
        <w:t xml:space="preserve"> </w:t>
      </w:r>
      <w:r>
        <w:rPr>
          <w:b/>
          <w:bCs/>
        </w:rPr>
        <w:t xml:space="preserve">Velopack</w:t>
      </w:r>
      <w:r>
        <w:t xml:space="preserve"> </w:t>
      </w:r>
      <w:r>
        <w:t xml:space="preserve">for direct Windows and macOS distribution — the team-controlled download channel with signed, signature-verified, delta auto-updates satisfying CTRL-OGMA-012 and CTRL-OGMA-013 — and</w:t>
      </w:r>
      <w:r>
        <w:t xml:space="preserve"> </w:t>
      </w:r>
      <w:r>
        <w:rPr>
          <w:b/>
          <w:bCs/>
        </w:rPr>
        <w:t xml:space="preserve">MSIX</w:t>
      </w:r>
      <w:r>
        <w:t xml:space="preserve"> </w:t>
      </w:r>
      <w:r>
        <w:t xml:space="preserve">for the Microsoft Store and enterprise policy deployment on Windows. macOS builds are</w:t>
      </w:r>
      <w:r>
        <w:t xml:space="preserve"> </w:t>
      </w:r>
      <w:r>
        <w:rPr>
          <w:b/>
          <w:bCs/>
        </w:rPr>
        <w:t xml:space="preserve">Developer ID signed and notarized</w:t>
      </w:r>
      <w:r>
        <w:t xml:space="preserve"> </w:t>
      </w:r>
      <w:r>
        <w:t xml:space="preserve">for direct distribution. Both packaging targets are produced from the same build pipeline so a release yields a Velopack feed update and, where applicable, an MSIX package together. Update descriptors are signature-verified independently of transport regardless of channel.</w:t>
      </w:r>
    </w:p>
    <w:bookmarkEnd w:id="102"/>
    <w:bookmarkStart w:id="103" w:name="consequences-8"/>
    <w:p>
      <w:pPr>
        <w:pStyle w:val="Heading2"/>
      </w:pPr>
      <w:r>
        <w:t xml:space="preserve">Consequences</w:t>
      </w:r>
    </w:p>
    <w:p>
      <w:pPr>
        <w:pStyle w:val="Compact"/>
        <w:numPr>
          <w:ilvl w:val="0"/>
          <w:numId w:val="1056"/>
        </w:numPr>
      </w:pPr>
      <w:r>
        <w:t xml:space="preserve">Positive: the direct channel offers controlled, signed, delta auto-updates on both platforms while the Store and enterprise channels get a policy-deployable Windows package.</w:t>
      </w:r>
    </w:p>
    <w:p>
      <w:pPr>
        <w:pStyle w:val="Compact"/>
        <w:numPr>
          <w:ilvl w:val="0"/>
          <w:numId w:val="1056"/>
        </w:numPr>
      </w:pPr>
      <w:r>
        <w:t xml:space="preserve">Positive: macOS distribution is notarized, meeting platform Gatekeeper expectations.</w:t>
      </w:r>
    </w:p>
    <w:p>
      <w:pPr>
        <w:pStyle w:val="Compact"/>
        <w:numPr>
          <w:ilvl w:val="0"/>
          <w:numId w:val="1056"/>
        </w:numPr>
      </w:pPr>
      <w:r>
        <w:t xml:space="preserve">Negative: two packaging targets must be built, signed, and tested each release, increasing pipeline surface.</w:t>
      </w:r>
    </w:p>
    <w:p>
      <w:pPr>
        <w:pStyle w:val="Compact"/>
        <w:numPr>
          <w:ilvl w:val="0"/>
          <w:numId w:val="1056"/>
        </w:numPr>
      </w:pPr>
      <w:r>
        <w:t xml:space="preserve">Negative: signing material for Windows Authenticode and Apple Developer ID must be provisioned, secured, and rotated.</w:t>
      </w:r>
    </w:p>
    <w:p>
      <w:pPr>
        <w:pStyle w:val="Compact"/>
        <w:numPr>
          <w:ilvl w:val="0"/>
          <w:numId w:val="1056"/>
        </w:numPr>
      </w:pPr>
      <w:r>
        <w:t xml:space="preserve">Affects: CTRL-OGMA-012 and CTRL-OGMA-013 (signing and secure update verification); ADR-0001 (runtime packaged); ADR-0004 (native PDF interop signed per platform).</w:t>
      </w:r>
    </w:p>
    <w:bookmarkEnd w:id="103"/>
    <w:bookmarkEnd w:id="104"/>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2026-05-30T10:28:37Z</dcterms:created>
  <dcterms:modified xsi:type="dcterms:W3CDTF">2026-05-30T10:28:37Z</dcterms:modified>
</cp:coreProperties>
</file>

<file path=docProps/custom.xml><?xml version="1.0" encoding="utf-8"?>
<Properties xmlns="http://schemas.openxmlformats.org/officeDocument/2006/custom-properties" xmlns:vt="http://schemas.openxmlformats.org/officeDocument/2006/docPropsVTypes"/>
</file>