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Protection Impact Assessment (Screening) — Ogma Library</w:t>
      </w:r>
    </w:p>
    <w:p>
      <w:pPr>
        <w:pStyle w:val="Subtitle"/>
      </w:pPr>
      <w:r>
        <w:t xml:space="preserve">Governance and Compliance — Privacy Impact Screening for Off-Device Features</w:t>
      </w:r>
    </w:p>
    <w:p>
      <w:pPr>
        <w:pStyle w:val="Date"/>
      </w:pPr>
      <w:r>
        <w:t xml:space="preserve">2026-05-30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903b71245286f2da2c5acf697a9bbcc622ead15"/>
    <w:p>
      <w:pPr>
        <w:pStyle w:val="Heading1"/>
      </w:pPr>
      <w:r>
        <w:t xml:space="preserve">Data Protection Impact Assessment (Screening) — Ogma Library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Document</w:t>
            </w:r>
          </w:p>
        </w:tc>
        <w:tc>
          <w:tcPr/>
          <w:p>
            <w:pPr>
              <w:pStyle w:val="Compact"/>
            </w:pPr>
            <w:r>
              <w:t xml:space="preserve">Data Protection Impact Assessment (Screening)</w:t>
            </w:r>
          </w:p>
        </w:tc>
      </w:tr>
      <w:tr>
        <w:tc>
          <w:tcPr/>
          <w:p>
            <w:pPr>
              <w:pStyle w:val="Compact"/>
            </w:pPr>
            <w:r>
              <w:rPr>
                <w:b/>
                <w:bCs/>
              </w:rPr>
              <w:t xml:space="preserve">Project</w:t>
            </w:r>
          </w:p>
        </w:tc>
        <w:tc>
          <w:tcPr/>
          <w:p>
            <w:pPr>
              <w:pStyle w:val="Compact"/>
            </w:pPr>
            <w:r>
              <w:t xml:space="preserve">Ogma Library</w:t>
            </w:r>
          </w:p>
        </w:tc>
      </w:tr>
      <w:tr>
        <w:tc>
          <w:tcPr/>
          <w:p>
            <w:pPr>
              <w:pStyle w:val="Compact"/>
            </w:pPr>
            <w:r>
              <w:rPr>
                <w:b/>
                <w:bCs/>
              </w:rPr>
              <w:t xml:space="preserve">Owner</w:t>
            </w:r>
          </w:p>
        </w:tc>
        <w:tc>
          <w:tcPr/>
          <w:p>
            <w:pPr>
              <w:pStyle w:val="Compact"/>
            </w:pPr>
            <w:r>
              <w:t xml:space="preserve">Chwezi Core Systems / Peter Bamuhigire</w:t>
            </w:r>
          </w:p>
        </w:tc>
      </w:tr>
      <w:tr>
        <w:tc>
          <w:tcPr/>
          <w:p>
            <w:pPr>
              <w:pStyle w:val="Compact"/>
            </w:pPr>
            <w:r>
              <w:rPr>
                <w:b/>
                <w:bCs/>
              </w:rPr>
              <w:t xml:space="preserve">Version</w:t>
            </w:r>
          </w:p>
        </w:tc>
        <w:tc>
          <w:tcPr/>
          <w:p>
            <w:pPr>
              <w:pStyle w:val="Compact"/>
            </w:pPr>
            <w:r>
              <w:t xml:space="preserve">0.1 DRAFT</w:t>
            </w:r>
          </w:p>
        </w:tc>
      </w:tr>
      <w:tr>
        <w:tc>
          <w:tcPr/>
          <w:p>
            <w:pPr>
              <w:pStyle w:val="Compact"/>
            </w:pPr>
            <w:r>
              <w:rPr>
                <w:b/>
                <w:bCs/>
              </w:rPr>
              <w:t xml:space="preserve">Date</w:t>
            </w:r>
          </w:p>
        </w:tc>
        <w:tc>
          <w:tcPr/>
          <w:p>
            <w:pPr>
              <w:pStyle w:val="Compact"/>
            </w:pPr>
            <w:r>
              <w:t xml:space="preserve">2026-05-30</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t xml:space="preserve">This is a screening-level Data Protection Impact Assessment (DPIA). It is product-design compliance guidance, not legal advice, and it replaces no jurisdiction-specific legal review. It assesses the privacy posture of Ogma Library and the conditions under which any off-device feature may ship.</w:t>
      </w:r>
    </w:p>
    <w:p>
      <w:pPr>
        <w:pStyle w:val="BodyText"/>
      </w:pPr>
      <w:r>
        <w:t xml:space="preserve">\newpage</w:t>
      </w:r>
    </w:p>
    <w:bookmarkEnd w:id="19"/>
    <w:bookmarkStart w:id="24" w:name="X0c4ad1c7de392f8c928d205f83eb4f868019c4d"/>
    <w:p>
      <w:pPr>
        <w:pStyle w:val="Heading1"/>
      </w:pPr>
      <w:r>
        <w:t xml:space="preserve">1. Processing Overview</w:t>
      </w:r>
    </w:p>
    <w:bookmarkStart w:id="20" w:name="Xae69b242d17b0c5c677e33165facc712e8c3a23"/>
    <w:p>
      <w:pPr>
        <w:pStyle w:val="Heading2"/>
      </w:pPr>
      <w:r>
        <w:t xml:space="preserve">1.1 What Ogma Library Does With Data</w:t>
      </w:r>
    </w:p>
    <w:p>
      <w:pPr>
        <w:pStyle w:val="FirstParagraph"/>
      </w:pPr>
      <w:r>
        <w:t xml:space="preserve">Ogma Library is a local-first desktop application that manages a user's own collection of PDF files. The catalogue, reading state, annotations, thumbnails, indexes, and AI history live on the user's own machine. The user is the owner of the corpus and is the data subject for their own content; Ogma holds no regulated third-party Personally Identifiable Information (PII) baseline. The application processes the user's own data on the user's own device, which under the productivity-domain regulatory baseline is a low-burden posture that creates no controller or processor relationship.</w:t>
      </w:r>
    </w:p>
    <w:bookmarkEnd w:id="20"/>
    <w:bookmarkStart w:id="21" w:name="Xae0c7b678edf9425fc2e85cbeedabeaf966efc1"/>
    <w:p>
      <w:pPr>
        <w:pStyle w:val="Heading2"/>
      </w:pPr>
      <w:r>
        <w:t xml:space="preserve">1.2 The Only Off-Device Flows</w:t>
      </w:r>
    </w:p>
    <w:p>
      <w:pPr>
        <w:pStyle w:val="FirstParagraph"/>
      </w:pPr>
      <w:r>
        <w:t xml:space="preserve">Ogma transmits nothing off-device by default. The active privacy tier defaults to Tier 0 Offline (ADR-0007). There are exactly two categories of off-device flow, both opt-in and both routed through the single provider gateway (CTRL-OGMA-016):</w:t>
      </w:r>
    </w:p>
    <w:p>
      <w:pPr>
        <w:pStyle w:val="Compact"/>
        <w:numPr>
          <w:ilvl w:val="0"/>
          <w:numId w:val="1001"/>
        </w:numPr>
      </w:pPr>
      <w:r>
        <w:rPr>
          <w:b/>
          <w:bCs/>
        </w:rPr>
        <w:t xml:space="preserve">Opt-in cloud AI</w:t>
      </w:r>
      <w:r>
        <w:t xml:space="preserve"> </w:t>
      </w:r>
      <w:r>
        <w:t xml:space="preserve">— the AI reading advisor, when the user selects a cloud tier. This is either metadata-only (Tier 1) or content-aware (Tier 2). Metadata-only is the default for any cloud use.</w:t>
      </w:r>
    </w:p>
    <w:p>
      <w:pPr>
        <w:pStyle w:val="Compact"/>
        <w:numPr>
          <w:ilvl w:val="0"/>
          <w:numId w:val="1001"/>
        </w:numPr>
      </w:pPr>
      <w:r>
        <w:rPr>
          <w:b/>
          <w:bCs/>
        </w:rPr>
        <w:t xml:space="preserve">Opt-in metadata-provider lookups</w:t>
      </w:r>
      <w:r>
        <w:t xml:space="preserve"> </w:t>
      </w:r>
      <w:r>
        <w:t xml:space="preserve">— optional enrichment that queries an external metadata source to repair or complete catalogue fields.</w:t>
      </w:r>
    </w:p>
    <w:p>
      <w:pPr>
        <w:pStyle w:val="FirstParagraph"/>
      </w:pPr>
      <w:r>
        <w:t xml:space="preserve">No user content or metadata leaves the device unless the active tier permits it and the user has confirmed the previewed payload (CTRL-OGMA-017). For fully local operation (Tier 0) and local-model AI (Tier 3), no off-device processing occurs.</w:t>
      </w:r>
    </w:p>
    <w:bookmarkEnd w:id="21"/>
    <w:bookmarkStart w:id="22" w:name="X38a41b26b122dcde3dcfcbe30ab769a29198fe9"/>
    <w:p>
      <w:pPr>
        <w:pStyle w:val="Heading2"/>
      </w:pPr>
      <w:r>
        <w:t xml:space="preserve">1.3 Data Categories</w:t>
      </w:r>
    </w:p>
    <w:p>
      <w:pPr>
        <w:pStyle w:val="FirstParagraph"/>
      </w:pPr>
      <w:r>
        <w:t xml:space="preserve">The data Ogma handles is classified into the four categories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Off-device exposure</w:t>
            </w:r>
          </w:p>
        </w:tc>
      </w:tr>
      <w:tr>
        <w:tc>
          <w:tcPr/>
          <w:p>
            <w:pPr>
              <w:pStyle w:val="Compact"/>
            </w:pPr>
            <w:r>
              <w:t xml:space="preserve">User-Owned Content</w:t>
            </w:r>
          </w:p>
        </w:tc>
        <w:tc>
          <w:tcPr/>
          <w:p>
            <w:pPr>
              <w:pStyle w:val="Compact"/>
            </w:pPr>
            <w:r>
              <w:t xml:space="preserve">The PDF files, extracted text, annotations, bookmarks, and notes the user owns and manages.</w:t>
            </w:r>
          </w:p>
        </w:tc>
        <w:tc>
          <w:tcPr/>
          <w:p>
            <w:pPr>
              <w:pStyle w:val="Compact"/>
            </w:pPr>
            <w:r>
              <w:t xml:space="preserve">Off-device only under content-aware cloud AI (Tier 2), and only the minimised, previewed payload.</w:t>
            </w:r>
          </w:p>
        </w:tc>
      </w:tr>
      <w:tr>
        <w:tc>
          <w:tcPr/>
          <w:p>
            <w:pPr>
              <w:pStyle w:val="Compact"/>
            </w:pPr>
            <w:r>
              <w:t xml:space="preserve">Catalogue Metadata</w:t>
            </w:r>
          </w:p>
        </w:tc>
        <w:tc>
          <w:tcPr/>
          <w:p>
            <w:pPr>
              <w:pStyle w:val="Compact"/>
            </w:pPr>
            <w:r>
              <w:t xml:space="preserve">Structured fields such as title, author, tags, year, reading progress, and statistics derived from the corpus.</w:t>
            </w:r>
          </w:p>
        </w:tc>
        <w:tc>
          <w:tcPr/>
          <w:p>
            <w:pPr>
              <w:pStyle w:val="Compact"/>
            </w:pPr>
            <w:r>
              <w:t xml:space="preserve">Off-device only under metadata-only cloud AI (Tier 1) or opt-in metadata-provider lookups, and only the minimised, previewed payload.</w:t>
            </w:r>
          </w:p>
        </w:tc>
      </w:tr>
      <w:tr>
        <w:tc>
          <w:tcPr/>
          <w:p>
            <w:pPr>
              <w:pStyle w:val="Compact"/>
            </w:pPr>
            <w:r>
              <w:t xml:space="preserve">Provider Secrets</w:t>
            </w:r>
          </w:p>
        </w:tc>
        <w:tc>
          <w:tcPr/>
          <w:p>
            <w:pPr>
              <w:pStyle w:val="Compact"/>
            </w:pPr>
            <w:r>
              <w:t xml:space="preserve">API keys, tokens, and credentials authenticating the user to a chosen cloud provider.</w:t>
            </w:r>
          </w:p>
        </w:tc>
        <w:tc>
          <w:tcPr/>
          <w:p>
            <w:pPr>
              <w:pStyle w:val="Compact"/>
            </w:pPr>
            <w:r>
              <w:t xml:space="preserve">Never transmitted as payload; held in OS-native credential storage (CTRL-OGMA-001); used only to authenticate gateway calls.</w:t>
            </w:r>
          </w:p>
        </w:tc>
      </w:tr>
      <w:tr>
        <w:tc>
          <w:tcPr/>
          <w:p>
            <w:pPr>
              <w:pStyle w:val="Compact"/>
            </w:pPr>
            <w:r>
              <w:t xml:space="preserve">AI History and Embeddings</w:t>
            </w:r>
          </w:p>
        </w:tc>
        <w:tc>
          <w:tcPr/>
          <w:p>
            <w:pPr>
              <w:pStyle w:val="Compact"/>
            </w:pPr>
            <w:r>
              <w:t xml:space="preserve">Stored AI queries, cached provider responses, and embedding vectors derived from catalogue metadata or document content.</w:t>
            </w:r>
          </w:p>
        </w:tc>
        <w:tc>
          <w:tcPr/>
          <w:p>
            <w:pPr>
              <w:pStyle w:val="Compact"/>
            </w:pPr>
            <w:r>
              <w:t xml:space="preserve">Stored locally in the sidecar and catalogue (ADR-0005); embeddings may be derived from content that is itself sensitive.</w:t>
            </w:r>
          </w:p>
        </w:tc>
      </w:tr>
    </w:tbl>
    <w:bookmarkEnd w:id="22"/>
    <w:bookmarkStart w:id="23" w:name="X3ec73bdd52ff396612092d76007a7d85e32a9ee"/>
    <w:p>
      <w:pPr>
        <w:pStyle w:val="Heading2"/>
      </w:pPr>
      <w:r>
        <w:t xml:space="preserve">1.4 Data Flow Summary</w:t>
      </w:r>
    </w:p>
    <w:p>
      <w:pPr>
        <w:pStyle w:val="Compact"/>
        <w:numPr>
          <w:ilvl w:val="0"/>
          <w:numId w:val="1002"/>
        </w:numPr>
      </w:pPr>
      <w:r>
        <w:t xml:space="preserve">Default state: all four categories remain on-device; nothing is transmitted.</w:t>
      </w:r>
    </w:p>
    <w:p>
      <w:pPr>
        <w:pStyle w:val="Compact"/>
        <w:numPr>
          <w:ilvl w:val="0"/>
          <w:numId w:val="1002"/>
        </w:numPr>
      </w:pPr>
      <w:r>
        <w:t xml:space="preserve">Tier 1 metadata-only cloud: a minimised subset of Catalogue Metadata is previewed, consented, and sent to the chosen provider.</w:t>
      </w:r>
    </w:p>
    <w:p>
      <w:pPr>
        <w:pStyle w:val="Compact"/>
        <w:numPr>
          <w:ilvl w:val="0"/>
          <w:numId w:val="1002"/>
        </w:numPr>
      </w:pPr>
      <w:r>
        <w:t xml:space="preserve">Tier 2 content-aware cloud: a minimised subset of User-Owned Content plus supporting Catalogue Metadata is previewed, consented, and sent to the chosen provider.</w:t>
      </w:r>
    </w:p>
    <w:p>
      <w:pPr>
        <w:pStyle w:val="Compact"/>
        <w:numPr>
          <w:ilvl w:val="0"/>
          <w:numId w:val="1002"/>
        </w:numPr>
      </w:pPr>
      <w:r>
        <w:t xml:space="preserve">Metadata-provider lookup: a minimised subset of Catalogue Metadata is previewed, consented, and sent to the chosen metadata source.</w:t>
      </w:r>
    </w:p>
    <w:p>
      <w:pPr>
        <w:pStyle w:val="Compact"/>
        <w:numPr>
          <w:ilvl w:val="0"/>
          <w:numId w:val="1002"/>
        </w:numPr>
      </w:pPr>
      <w:r>
        <w:t xml:space="preserve">Tier 3 local model: inference occurs on-device; no category leaves the machine.</w:t>
      </w:r>
    </w:p>
    <w:p>
      <w:pPr>
        <w:pStyle w:val="FirstParagraph"/>
      </w:pPr>
      <w:r>
        <w:t xml:space="preserve">\newpage</w:t>
      </w:r>
    </w:p>
    <w:bookmarkEnd w:id="23"/>
    <w:bookmarkEnd w:id="24"/>
    <w:bookmarkStart w:id="31" w:name="X42b1238fd82539e99e9d86e5ccb5fcb248ad27f"/>
    <w:p>
      <w:pPr>
        <w:pStyle w:val="Heading1"/>
      </w:pPr>
      <w:r>
        <w:t xml:space="preserve">2. Necessity and Proportionality</w:t>
      </w:r>
    </w:p>
    <w:bookmarkStart w:id="25" w:name="Xec7489eb0f35354b36b3bc20569df684ddb4877"/>
    <w:p>
      <w:pPr>
        <w:pStyle w:val="Heading2"/>
      </w:pPr>
      <w:r>
        <w:t xml:space="preserve">2.1 Lawful Basis</w:t>
      </w:r>
    </w:p>
    <w:p>
      <w:pPr>
        <w:pStyle w:val="FirstParagraph"/>
      </w:pPr>
      <w:r>
        <w:t xml:space="preserve">Because Ogma processes the user's own data on the user's own device, fully local and local-model operation (Tier 0 and Tier 3) creates no controller or processor relationship and needs no separate lawful basis beyond the user's own use of their own files. For any off-device transmission (Tier 1, Tier 2, and metadata-provider lookups) the lawful basis is</w:t>
      </w:r>
      <w:r>
        <w:t xml:space="preserve"> </w:t>
      </w:r>
      <w:r>
        <w:rPr>
          <w:b/>
          <w:bCs/>
        </w:rPr>
        <w:t xml:space="preserve">consent</w:t>
      </w:r>
      <w:r>
        <w:t xml:space="preserve">: an explicit, freely given, specific, informed opt-in captured per privacy tier and per provider, never bundled into general application acceptance (CTRL-OGMA-019). The default state is no transmission.</w:t>
      </w:r>
    </w:p>
    <w:bookmarkEnd w:id="25"/>
    <w:bookmarkStart w:id="26" w:name="Xc0d7cbe5dc4f7dc86a17355d91d75f37f2a7396"/>
    <w:p>
      <w:pPr>
        <w:pStyle w:val="Heading2"/>
      </w:pPr>
      <w:r>
        <w:t xml:space="preserve">2.2 Purpose Limitation</w:t>
      </w:r>
    </w:p>
    <w:p>
      <w:pPr>
        <w:pStyle w:val="FirstParagraph"/>
      </w:pPr>
      <w:r>
        <w:t xml:space="preserve">Each off-device call carries a stated purpose — metadata lookup, summarisation, recommendation, or content-aware analysis — and the consent record is scoped to that purpose. Re-use of the same data for a new purpose requires fresh consent. The consented purpose bounds what payload may be assembled and how the response may be used.</w:t>
      </w:r>
    </w:p>
    <w:bookmarkEnd w:id="26"/>
    <w:bookmarkStart w:id="27" w:name="Xe78028a318bcf9c7a89b107eb1fadcd8372c72f"/>
    <w:p>
      <w:pPr>
        <w:pStyle w:val="Heading2"/>
      </w:pPr>
      <w:r>
        <w:t xml:space="preserve">2.3 Data Minimisation</w:t>
      </w:r>
    </w:p>
    <w:p>
      <w:pPr>
        <w:pStyle w:val="FirstParagraph"/>
      </w:pPr>
      <w:r>
        <w:t xml:space="preserve">The payload for any off-device call is reduced to the minimum the consented purpose requires (CTRL-OGMA-020). Before the data leaves the device, the</w:t>
      </w:r>
      <w:r>
        <w:t xml:space="preserve"> </w:t>
      </w:r>
      <w:r>
        <w:rPr>
          <w:b/>
          <w:bCs/>
        </w:rPr>
        <w:t xml:space="preserve">payload preview</w:t>
      </w:r>
      <w:r>
        <w:t xml:space="preserve"> </w:t>
      </w:r>
      <w:r>
        <w:t xml:space="preserve">shows the user the exact content, the exact field set, and the destination provider, and transmission proceeds only after the user confirms that previewed payload (CTRL-OGMA-017). The transmitted field set equals the previewed, minimised set; no broader data is sent silently.</w:t>
      </w:r>
    </w:p>
    <w:bookmarkEnd w:id="27"/>
    <w:bookmarkStart w:id="28" w:name="X0c2e08bc03c586943b43de8c76b3cff424e8a0a"/>
    <w:p>
      <w:pPr>
        <w:pStyle w:val="Heading2"/>
      </w:pPr>
      <w:r>
        <w:t xml:space="preserve">2.4 Local-First Default</w:t>
      </w:r>
    </w:p>
    <w:p>
      <w:pPr>
        <w:pStyle w:val="FirstParagraph"/>
      </w:pPr>
      <w:r>
        <w:t xml:space="preserve">The proportionality control of first resort is architecture: Tier 0 Offline is the default, all retrieval and the local-model tier run on-device, and reading, browsing, search, metadata editing, and local AI remain useful without internet. Off-device transmission is an opt-in exception, not the operating mode. This keeps the data exposure of the common case at zero.</w:t>
      </w:r>
    </w:p>
    <w:bookmarkEnd w:id="28"/>
    <w:bookmarkStart w:id="29" w:name="X377b71a54b3795c96e02c9e7e95dc6323810586"/>
    <w:p>
      <w:pPr>
        <w:pStyle w:val="Heading2"/>
      </w:pPr>
      <w:r>
        <w:t xml:space="preserve">2.5 No Training on User Data</w:t>
      </w:r>
    </w:p>
    <w:p>
      <w:pPr>
        <w:pStyle w:val="FirstParagraph"/>
      </w:pPr>
      <w:r>
        <w:t xml:space="preserve">The provider no-training flag defaults to opt-out, so user content is not used to train any model without a separate, distinct, explicit opt-in independent of the consent to use the feature (CTRL-OGMA-022).</w:t>
      </w:r>
    </w:p>
    <w:bookmarkEnd w:id="29"/>
    <w:bookmarkStart w:id="30" w:name="X16189fb91a5a26d02c4a24f9b18398f8e3dc794"/>
    <w:p>
      <w:pPr>
        <w:pStyle w:val="Heading2"/>
      </w:pPr>
      <w:r>
        <w:t xml:space="preserve">2.6 Cross-Border Awareness</w:t>
      </w:r>
    </w:p>
    <w:p>
      <w:pPr>
        <w:pStyle w:val="FirstParagraph"/>
      </w:pPr>
      <w:r>
        <w:t xml:space="preserve">Where a chosen provider processes data outside the user's jurisdiction, the processing region is surfaced before first use of that provider, and user content is not silently routed across borders (CTRL-OGMA-021).</w:t>
      </w:r>
    </w:p>
    <w:p>
      <w:pPr>
        <w:pStyle w:val="BodyText"/>
      </w:pPr>
      <w:r>
        <w:rPr>
          <w:rStyle w:val="VerbatimChar"/>
        </w:rPr>
        <w:t xml:space="preserve">[CONTEXT-GAP: the jurisdiction(s) of the target users are not specified in _context; this fixes which Data Protection Acts apply beyond GDPR and is required to complete the lawful-basis and cross-border-transfer assessment at full-DPIA depth for any shipped off-device feature.]</w:t>
      </w:r>
    </w:p>
    <w:p>
      <w:pPr>
        <w:pStyle w:val="BodyText"/>
      </w:pPr>
      <w:r>
        <w:t xml:space="preserve">\newpage</w:t>
      </w:r>
    </w:p>
    <w:bookmarkEnd w:id="30"/>
    <w:bookmarkEnd w:id="31"/>
    <w:bookmarkStart w:id="34" w:name="X5a7a6c785fdf0623e65281a297f22067b50f60a"/>
    <w:p>
      <w:pPr>
        <w:pStyle w:val="Heading1"/>
      </w:pPr>
      <w:r>
        <w:t xml:space="preserve">3. Risk Assessment</w:t>
      </w:r>
    </w:p>
    <w:p>
      <w:pPr>
        <w:pStyle w:val="FirstParagraph"/>
      </w:pPr>
      <w:r>
        <w:t xml:space="preserve">The privacy risks below are assessed for likelihood and impact under the local-first default and the controls already specified in Section 7 of the Software Requirements Specification (SRS). Likelihood and impact are rated Low, Medium, or High after the stated mitigation.</w:t>
      </w:r>
    </w:p>
    <w:bookmarkStart w:id="32" w:name="Xbaed918186a713e99e493d56584bbf43f137b6f"/>
    <w:p>
      <w:pPr>
        <w:pStyle w:val="Heading2"/>
      </w:pPr>
      <w:r>
        <w:t xml:space="preserve">3.1 Risk Register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Inadvertent content upload — user sends document content off-device without intending to.</w:t>
            </w:r>
          </w:p>
        </w:tc>
        <w:tc>
          <w:tcPr/>
          <w:p>
            <w:pPr>
              <w:pStyle w:val="Compact"/>
            </w:pPr>
            <w:r>
              <w:t xml:space="preserve">Low</w:t>
            </w:r>
          </w:p>
        </w:tc>
        <w:tc>
          <w:tcPr/>
          <w:p>
            <w:pPr>
              <w:pStyle w:val="Compact"/>
            </w:pPr>
            <w:r>
              <w:t xml:space="preserve">High</w:t>
            </w:r>
          </w:p>
        </w:tc>
        <w:tc>
          <w:tcPr/>
          <w:p>
            <w:pPr>
              <w:pStyle w:val="Compact"/>
            </w:pPr>
            <w:r>
              <w:t xml:space="preserve">Tier 0 default; metadata-only default for cloud; mandatory payload preview showing exact content, fields, and destination before send (CTRL-OGMA-017); per-tier consent (CTRL-OGMA-019).</w:t>
            </w:r>
          </w:p>
        </w:tc>
      </w:tr>
      <w:tr>
        <w:tc>
          <w:tcPr/>
          <w:p>
            <w:pPr>
              <w:pStyle w:val="Compact"/>
            </w:pPr>
            <w:r>
              <w:t xml:space="preserve">Provider key exposure — an API key or token leaks via logs, settings, database, or crash reports.</w:t>
            </w:r>
          </w:p>
        </w:tc>
        <w:tc>
          <w:tcPr/>
          <w:p>
            <w:pPr>
              <w:pStyle w:val="Compact"/>
            </w:pPr>
            <w:r>
              <w:t xml:space="preserve">Low</w:t>
            </w:r>
          </w:p>
        </w:tc>
        <w:tc>
          <w:tcPr/>
          <w:p>
            <w:pPr>
              <w:pStyle w:val="Compact"/>
            </w:pPr>
            <w:r>
              <w:t xml:space="preserve">High</w:t>
            </w:r>
          </w:p>
        </w:tc>
        <w:tc>
          <w:tcPr/>
          <w:p>
            <w:pPr>
              <w:pStyle w:val="Compact"/>
            </w:pPr>
            <w:r>
              <w:t xml:space="preserve">Secrets held in OS-native credential storage only (CTRL-OGMA-001); redacted from logs, telemetry, and audit (CTRL-OGMA-002); deleted on provider removal (CTRL-OGMA-003); never included in exports or backups.</w:t>
            </w:r>
          </w:p>
        </w:tc>
      </w:tr>
      <w:tr>
        <w:tc>
          <w:tcPr/>
          <w:p>
            <w:pPr>
              <w:pStyle w:val="Compact"/>
            </w:pPr>
            <w:r>
              <w:t xml:space="preserve">AI history retention — stored queries and cached responses accumulate and outlive their purpose.</w:t>
            </w:r>
          </w:p>
        </w:tc>
        <w:tc>
          <w:tcPr/>
          <w:p>
            <w:pPr>
              <w:pStyle w:val="Compact"/>
            </w:pPr>
            <w:r>
              <w:t xml:space="preserve">Medium</w:t>
            </w:r>
          </w:p>
        </w:tc>
        <w:tc>
          <w:tcPr/>
          <w:p>
            <w:pPr>
              <w:pStyle w:val="Compact"/>
            </w:pPr>
            <w:r>
              <w:t xml:space="preserve">Medium</w:t>
            </w:r>
          </w:p>
        </w:tc>
        <w:tc>
          <w:tcPr/>
          <w:p>
            <w:pPr>
              <w:pStyle w:val="Compact"/>
            </w:pPr>
            <w:r>
              <w:t xml:space="preserve">Scoped erasure of AI query history and cached responses per document or whole corpus (CTRL-OGMA-023); local audit of off-device calls (CTRL-OGMA-018).</w:t>
            </w:r>
          </w:p>
        </w:tc>
      </w:tr>
      <w:tr>
        <w:tc>
          <w:tcPr/>
          <w:p>
            <w:pPr>
              <w:pStyle w:val="Compact"/>
            </w:pPr>
            <w:r>
              <w:t xml:space="preserve">Embeddings derived from sensitive content — vectors encode content the user considers sensitive.</w:t>
            </w:r>
          </w:p>
        </w:tc>
        <w:tc>
          <w:tcPr/>
          <w:p>
            <w:pPr>
              <w:pStyle w:val="Compact"/>
            </w:pPr>
            <w:r>
              <w:t xml:space="preserve">Medium</w:t>
            </w:r>
          </w:p>
        </w:tc>
        <w:tc>
          <w:tcPr/>
          <w:p>
            <w:pPr>
              <w:pStyle w:val="Compact"/>
            </w:pPr>
            <w:r>
              <w:t xml:space="preserve">Medium</w:t>
            </w:r>
          </w:p>
        </w:tc>
        <w:tc>
          <w:tcPr/>
          <w:p>
            <w:pPr>
              <w:pStyle w:val="Compact"/>
            </w:pPr>
            <w:r>
              <w:t xml:space="preserve">Embeddings stored locally in the sidecar (ADR-0005); erasure removes derived vectors in the same operation as the source scope (CTRL-OGMA-023); embedding generation needs no off-device call at Tier 0 or Tier 3.</w:t>
            </w:r>
          </w:p>
        </w:tc>
      </w:tr>
      <w:tr>
        <w:tc>
          <w:tcPr/>
          <w:p>
            <w:pPr>
              <w:pStyle w:val="Compact"/>
            </w:pPr>
            <w:r>
              <w:t xml:space="preserve">Cross-border transfer — a provider processes data in a jurisdiction the user did not expect.</w:t>
            </w:r>
          </w:p>
        </w:tc>
        <w:tc>
          <w:tcPr/>
          <w:p>
            <w:pPr>
              <w:pStyle w:val="Compact"/>
            </w:pPr>
            <w:r>
              <w:t xml:space="preserve">Low</w:t>
            </w:r>
          </w:p>
        </w:tc>
        <w:tc>
          <w:tcPr/>
          <w:p>
            <w:pPr>
              <w:pStyle w:val="Compact"/>
            </w:pPr>
            <w:r>
              <w:t xml:space="preserve">Medium</w:t>
            </w:r>
          </w:p>
        </w:tc>
        <w:tc>
          <w:tcPr/>
          <w:p>
            <w:pPr>
              <w:pStyle w:val="Compact"/>
            </w:pPr>
            <w:r>
              <w:t xml:space="preserve">Processing region surfaced before first provider use; no silent cross-border routing (CTRL-OGMA-021); destination provider shown in the payload preview.</w:t>
            </w:r>
          </w:p>
        </w:tc>
      </w:tr>
    </w:tbl>
    <w:bookmarkEnd w:id="32"/>
    <w:bookmarkStart w:id="33" w:name="X64733e68ba936785c84c9236fd7ad229e10d1f3"/>
    <w:p>
      <w:pPr>
        <w:pStyle w:val="Heading2"/>
      </w:pPr>
      <w:r>
        <w:t xml:space="preserve">3.2 Residual Risk</w:t>
      </w:r>
    </w:p>
    <w:p>
      <w:pPr>
        <w:pStyle w:val="FirstParagraph"/>
      </w:pPr>
      <w:r>
        <w:t xml:space="preserve">After the mitigations above, the residual privacy risk for fully local and local-model operation is</w:t>
      </w:r>
      <w:r>
        <w:t xml:space="preserve"> </w:t>
      </w:r>
      <w:r>
        <w:rPr>
          <w:b/>
          <w:bCs/>
        </w:rPr>
        <w:t xml:space="preserve">Low</w:t>
      </w:r>
      <w:r>
        <w:t xml:space="preserve">, because no user data leaves the device. For opt-in off-device features, residual risk is held to</w:t>
      </w:r>
      <w:r>
        <w:t xml:space="preserve"> </w:t>
      </w:r>
      <w:r>
        <w:rPr>
          <w:b/>
          <w:bCs/>
        </w:rPr>
        <w:t xml:space="preserve">Low-to-Medium</w:t>
      </w:r>
      <w:r>
        <w:t xml:space="preserve"> </w:t>
      </w:r>
      <w:r>
        <w:t xml:space="preserve">by the default-deny posture, the payload-preview consent gate, the single egress chokepoint, scoped erasure, and per-transmission audit. The dominant remaining variable is the user's own decision to enable a cloud tier and confirm a payload, which the preview control makes explicit and reversible rather than silent.</w:t>
      </w:r>
    </w:p>
    <w:p>
      <w:pPr>
        <w:pStyle w:val="BodyText"/>
      </w:pPr>
      <w:r>
        <w:t xml:space="preserve">\newpage</w:t>
      </w:r>
    </w:p>
    <w:bookmarkEnd w:id="33"/>
    <w:bookmarkEnd w:id="34"/>
    <w:bookmarkStart w:id="41" w:name="Xfaa173694d6c4a72a5cdc4a3eca0e17e68ed2e4"/>
    <w:p>
      <w:pPr>
        <w:pStyle w:val="Heading1"/>
      </w:pPr>
      <w:r>
        <w:t xml:space="preserve">4. Data Subject Rights</w:t>
      </w:r>
    </w:p>
    <w:p>
      <w:pPr>
        <w:pStyle w:val="FirstParagraph"/>
      </w:pPr>
      <w:r>
        <w:t xml:space="preserve">The user is the data subject for their own corpus. Ogma's design treats the rights below as concrete, user-operable controls rather than policy statements, so the user retains command over their own data and over anything an opt-in feature sends off-device.</w:t>
      </w:r>
    </w:p>
    <w:bookmarkStart w:id="35" w:name="Xb6703b8314e7bd69bee201afaac66d1345573a0"/>
    <w:p>
      <w:pPr>
        <w:pStyle w:val="Heading2"/>
      </w:pPr>
      <w:r>
        <w:t xml:space="preserve">4.1 Right to Erasure</w:t>
      </w:r>
    </w:p>
    <w:p>
      <w:pPr>
        <w:pStyle w:val="FirstParagraph"/>
      </w:pPr>
      <w:r>
        <w:t xml:space="preserve">The user can delete AI query history and all embeddings derived from a chosen document or the entire corpus, removing stored vectors and cached provider responses in the same operation, and the application surfaces the provider's deletion mechanism for any data sent off-device (CTRL-OGMA-023). Scoped erasure leaves no residual vector or cached response for that scope.</w:t>
      </w:r>
    </w:p>
    <w:bookmarkEnd w:id="35"/>
    <w:bookmarkStart w:id="36" w:name="Xadca47c820eb34a04ee7aeb7e0fa123cef2ba8f"/>
    <w:p>
      <w:pPr>
        <w:pStyle w:val="Heading2"/>
      </w:pPr>
      <w:r>
        <w:t xml:space="preserve">4.2 Right to Data Portability</w:t>
      </w:r>
    </w:p>
    <w:p>
      <w:pPr>
        <w:pStyle w:val="FirstParagraph"/>
      </w:pPr>
      <w:r>
        <w:t xml:space="preserve">The user can export the catalogue, annotations, and metadata in documented open formats sufficient to move to another tool, via the portable export bundle of the catalogue database plus the sidecar asset folder (ADR-0005, NFR-PROD-009). The export carries no provider secret (CTRL-OGMA-015).</w:t>
      </w:r>
    </w:p>
    <w:bookmarkEnd w:id="36"/>
    <w:bookmarkStart w:id="37" w:name="Xb8d2ebd3456359e0d1c48ef6164a929a6a59326"/>
    <w:p>
      <w:pPr>
        <w:pStyle w:val="Heading2"/>
      </w:pPr>
      <w:r>
        <w:t xml:space="preserve">4.3 Right to Disable Cloud AI</w:t>
      </w:r>
    </w:p>
    <w:p>
      <w:pPr>
        <w:pStyle w:val="FirstParagraph"/>
      </w:pPr>
      <w:r>
        <w:t xml:space="preserve">The user can return to Tier 0 Offline at any time, disabling all off-device AI. Tier 0 is the default, and no transmission occurs without the active tier permitting it (CTRL-OGMA-017).</w:t>
      </w:r>
    </w:p>
    <w:bookmarkEnd w:id="37"/>
    <w:bookmarkStart w:id="38" w:name="X7248401be4285bfa673a902999d618a07b7e6ea"/>
    <w:p>
      <w:pPr>
        <w:pStyle w:val="Heading2"/>
      </w:pPr>
      <w:r>
        <w:t xml:space="preserve">4.4 Right to Inspect the Payload Before Send</w:t>
      </w:r>
    </w:p>
    <w:p>
      <w:pPr>
        <w:pStyle w:val="FirstParagraph"/>
      </w:pPr>
      <w:r>
        <w:t xml:space="preserve">Before any off-device transmission, the user inspects the payload preview showing the exact content, field set, and destination provider, and the send proceeds only on confirmation (CTRL-OGMA-017, CTRL-OGMA-020). This makes every off-device disclosure visible and refusable before it happens.</w:t>
      </w:r>
    </w:p>
    <w:bookmarkEnd w:id="38"/>
    <w:bookmarkStart w:id="39" w:name="Xd21020c18d102b2bafd38139f71c531f92dd7a1"/>
    <w:p>
      <w:pPr>
        <w:pStyle w:val="Heading2"/>
      </w:pPr>
      <w:r>
        <w:t xml:space="preserve">4.5 Right to Export the Audit Log</w:t>
      </w:r>
    </w:p>
    <w:p>
      <w:pPr>
        <w:pStyle w:val="FirstParagraph"/>
      </w:pPr>
      <w:r>
        <w:t xml:space="preserve">The local audit log records provider-credential changes, privacy-tier changes, off-device transmissions, metadata write-backs, bulk destructive operations, and exports. It is user-viewable and user-exportable and is not silently truncated (CTRL-OGMA-018, security baseline local audit log). The user can export it to inspect every sensitive action the application has taken.</w:t>
      </w:r>
    </w:p>
    <w:bookmarkEnd w:id="39"/>
    <w:bookmarkStart w:id="40" w:name="Xa00747fcb27b56eb07e3ffa0cc74eb7d3005689"/>
    <w:p>
      <w:pPr>
        <w:pStyle w:val="Heading2"/>
      </w:pPr>
      <w:r>
        <w:t xml:space="preserve">4.6 Right to Withdraw Consent</w:t>
      </w:r>
    </w:p>
    <w:p>
      <w:pPr>
        <w:pStyle w:val="FirstParagraph"/>
      </w:pPr>
      <w:r>
        <w:t xml:space="preserve">Because off-device transmission is consented per tier and per provider (CTRL-OGMA-019), the user withdraws consent by disabling the tier or removing the provider; removing a provider also deletes its stored secret (CTRL-OGMA-003). Withdrawal stops future transmission immediately and is paired with the erasure control in Section 4.1 for data already processed.</w:t>
      </w:r>
    </w:p>
    <w:p>
      <w:pPr>
        <w:pStyle w:val="BodyText"/>
      </w:pPr>
      <w:r>
        <w:t xml:space="preserve">\newpage</w:t>
      </w:r>
    </w:p>
    <w:bookmarkEnd w:id="40"/>
    <w:bookmarkEnd w:id="41"/>
    <w:bookmarkStart w:id="46" w:name="X6a24adc3ddc920e9739118e8e6efd4e97af39bf"/>
    <w:p>
      <w:pPr>
        <w:pStyle w:val="Heading1"/>
      </w:pPr>
      <w:r>
        <w:t xml:space="preserve">5. Conclusion and Required Actions</w:t>
      </w:r>
    </w:p>
    <w:bookmarkStart w:id="42" w:name="Xef52c11645c6dd8606f13c1c2da0a4ee64a94fc"/>
    <w:p>
      <w:pPr>
        <w:pStyle w:val="Heading2"/>
      </w:pPr>
      <w:r>
        <w:t xml:space="preserve">5.1 Screening Outcome</w:t>
      </w:r>
    </w:p>
    <w:p>
      <w:pPr>
        <w:pStyle w:val="FirstParagraph"/>
      </w:pPr>
      <w:r>
        <w:t xml:space="preserve">The baseline privacy risk of Ogma Library is</w:t>
      </w:r>
      <w:r>
        <w:t xml:space="preserve"> </w:t>
      </w:r>
      <w:r>
        <w:rPr>
          <w:b/>
          <w:bCs/>
        </w:rPr>
        <w:t xml:space="preserve">Low</w:t>
      </w:r>
      <w:r>
        <w:t xml:space="preserve">. The product processes the user's own data on the user's own device, defaults to Tier 0 Offline, and creates no controller or processor relationship for fully local or local-model operation. There is no regulated third-party PII custody and no mandatory sector certification. A privacy impact surface appears at exactly one boundary — opt-in off-device transmission of user content or metadata — and that boundary is governed by default-deny, a single egress chokepoint, payload-preview consent, scoped erasure, and per-transmission audit.</w:t>
      </w:r>
    </w:p>
    <w:bookmarkEnd w:id="42"/>
    <w:bookmarkStart w:id="43" w:name="X6ba2e20aa8711716f5634c382323dace7447d8f"/>
    <w:p>
      <w:pPr>
        <w:pStyle w:val="Heading2"/>
      </w:pPr>
      <w:r>
        <w:t xml:space="preserve">5.2 Required Actions Before Shipping Any Off-Device Feature</w:t>
      </w:r>
    </w:p>
    <w:p>
      <w:pPr>
        <w:pStyle w:val="FirstParagraph"/>
      </w:pPr>
      <w:r>
        <w:t xml:space="preserve">The following controls must be implemented and verified before any feature that transmits user content or metadata off-device passes its release gate. Until then, only Tier 0 Offline and Tier 3 local-model operation may ship.</w:t>
      </w:r>
    </w:p>
    <w:p>
      <w:pPr>
        <w:pStyle w:val="Compact"/>
        <w:numPr>
          <w:ilvl w:val="0"/>
          <w:numId w:val="1003"/>
        </w:numPr>
      </w:pPr>
      <w:r>
        <w:rPr>
          <w:b/>
          <w:bCs/>
        </w:rPr>
        <w:t xml:space="preserve">Payload preview implemented</w:t>
      </w:r>
      <w:r>
        <w:t xml:space="preserve"> </w:t>
      </w:r>
      <w:r>
        <w:t xml:space="preserve">— the exact content, field set, and destination provider are shown before any send, and no off-device request issues without a recorded confirmation referencing the previewed payload (CTRL-OGMA-017, CTRL-OGMA-020).</w:t>
      </w:r>
    </w:p>
    <w:p>
      <w:pPr>
        <w:pStyle w:val="Compact"/>
        <w:numPr>
          <w:ilvl w:val="0"/>
          <w:numId w:val="1003"/>
        </w:numPr>
      </w:pPr>
      <w:r>
        <w:rPr>
          <w:b/>
          <w:bCs/>
        </w:rPr>
        <w:t xml:space="preserve">Consent capture per tier and per provider</w:t>
      </w:r>
      <w:r>
        <w:t xml:space="preserve"> </w:t>
      </w:r>
      <w:r>
        <w:t xml:space="preserve">— explicit, specific, informed opt-in is recorded with tier, provider, and timestamp, and is never bundled into general application acceptance (CTRL-OGMA-019).</w:t>
      </w:r>
    </w:p>
    <w:p>
      <w:pPr>
        <w:pStyle w:val="Compact"/>
        <w:numPr>
          <w:ilvl w:val="0"/>
          <w:numId w:val="1003"/>
        </w:numPr>
      </w:pPr>
      <w:r>
        <w:rPr>
          <w:b/>
          <w:bCs/>
        </w:rPr>
        <w:t xml:space="preserve">Erasure controls</w:t>
      </w:r>
      <w:r>
        <w:t xml:space="preserve"> </w:t>
      </w:r>
      <w:r>
        <w:t xml:space="preserve">— the user can delete AI history and embeddings by document or whole corpus, removing local vectors and cached responses and surfacing the provider deletion path (CTRL-OGMA-023).</w:t>
      </w:r>
    </w:p>
    <w:p>
      <w:pPr>
        <w:pStyle w:val="Compact"/>
        <w:numPr>
          <w:ilvl w:val="0"/>
          <w:numId w:val="1003"/>
        </w:numPr>
      </w:pPr>
      <w:r>
        <w:rPr>
          <w:b/>
          <w:bCs/>
        </w:rPr>
        <w:t xml:space="preserve">Audit log</w:t>
      </w:r>
      <w:r>
        <w:t xml:space="preserve"> </w:t>
      </w:r>
      <w:r>
        <w:t xml:space="preserve">— every off-device transmission, tier change, and credential change produces a user-viewable, user-exportable local audit entry (CTRL-OGMA-018).</w:t>
      </w:r>
    </w:p>
    <w:bookmarkEnd w:id="43"/>
    <w:bookmarkStart w:id="44" w:name="X25c1b919d244287870d2888ad6c62bcd56b980e"/>
    <w:p>
      <w:pPr>
        <w:pStyle w:val="Heading2"/>
      </w:pPr>
      <w:r>
        <w:t xml:space="preserve">5.3 Outstanding Input</w:t>
      </w:r>
    </w:p>
    <w:p>
      <w:pPr>
        <w:pStyle w:val="FirstParagraph"/>
      </w:pPr>
      <w:r>
        <w:t xml:space="preserve">A full DPIA, as opposed to this screening, is warranted for any content-aware off-device feature (Tier 2) because the processing may involve content the user considers sensitive. Completing the lawful-basis and cross-border-transfer sections at that depth requires the target-user jurisdiction.</w:t>
      </w:r>
    </w:p>
    <w:p>
      <w:pPr>
        <w:pStyle w:val="BodyText"/>
      </w:pPr>
      <w:r>
        <w:rPr>
          <w:rStyle w:val="VerbatimChar"/>
        </w:rPr>
        <w:t xml:space="preserve">[CONTEXT-GAP: target-user jurisdiction(s) are unspecified; required to determine which Data Protection Acts apply beyond GDPR and to finalise the cross-border-transfer assessment for any shipped off-device feature.]</w:t>
      </w:r>
    </w:p>
    <w:bookmarkEnd w:id="44"/>
    <w:bookmarkStart w:id="45" w:name="X69ef7d146725cb7bd8cdc0bdd9d0f7ea8c30094"/>
    <w:p>
      <w:pPr>
        <w:pStyle w:val="Heading2"/>
      </w:pPr>
      <w:r>
        <w:t xml:space="preserve">5.4 Status of This Document</w:t>
      </w:r>
    </w:p>
    <w:p>
      <w:pPr>
        <w:pStyle w:val="FirstParagraph"/>
      </w:pPr>
      <w:r>
        <w:t xml:space="preserve">This is product-design compliance guidance, not legal advice, and it does not replace jurisdiction-specific legal review. It is version 0.1 DRAFT, dated 2026-05-30, and is revisited before any off-device feature reaches its release gate and whenever a new provider or privacy tier is introduced.</w:t>
      </w:r>
    </w:p>
    <w:bookmarkEnd w:id="45"/>
    <w:bookmarkEnd w:id="4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 (Screening) — Ogma Library</dc:title>
  <dc:creator/>
  <cp:keywords/>
  <dcterms:created xsi:type="dcterms:W3CDTF">2026-05-30T10:28:36Z</dcterms:created>
  <dcterms:modified xsi:type="dcterms:W3CDTF">2026-05-30T10:28:36Z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y fmtid="{D5CDD505-2E9C-101B-9397-08002B2CF9AE}" pid="3" name="status">
    <vt:lpwstr>Draft</vt:lpwstr>
  </property>
  <property fmtid="{D5CDD505-2E9C-101B-9397-08002B2CF9AE}" pid="4" name="subtitle">
    <vt:lpwstr>Governance and Compliance — Privacy Impact Screening for Off-Device Features</vt:lpwstr>
  </property>
  <property fmtid="{D5CDD505-2E9C-101B-9397-08002B2CF9AE}" pid="5" name="version">
    <vt:lpwstr>0.1</vt:lpwstr>
  </property>
</Properties>
</file>