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deployment-and-operations"/>
    <w:p>
      <w:pPr>
        <w:pStyle w:val="Heading1"/>
      </w:pPr>
      <w:r>
        <w:t xml:space="preserve">Deployment and Operations</w:t>
      </w:r>
    </w:p>
    <w:bookmarkStart w:id="19" w:name="ogma-library"/>
    <w:p>
      <w:pPr>
        <w:pStyle w:val="Heading2"/>
      </w:pPr>
      <w:r>
        <w:t xml:space="preserve">Ogma Library</w:t>
      </w:r>
    </w:p>
    <w:p>
      <w:pPr>
        <w:pStyle w:val="Compact"/>
        <w:numPr>
          <w:ilvl w:val="0"/>
          <w:numId w:val="1001"/>
        </w:numPr>
      </w:pPr>
      <w:r>
        <w:rPr>
          <w:b/>
          <w:bCs/>
        </w:rPr>
        <w:t xml:space="preserve">Document:</w:t>
      </w:r>
      <w:r>
        <w:t xml:space="preserve"> </w:t>
      </w:r>
      <w:r>
        <w:t xml:space="preserve">Deployment and Operations</w:t>
      </w:r>
    </w:p>
    <w:p>
      <w:pPr>
        <w:pStyle w:val="Compact"/>
        <w:numPr>
          <w:ilvl w:val="0"/>
          <w:numId w:val="1001"/>
        </w:numPr>
      </w:pPr>
      <w:r>
        <w:rPr>
          <w:b/>
          <w:bCs/>
        </w:rPr>
        <w:t xml:space="preserve">Owner:</w:t>
      </w:r>
      <w:r>
        <w:t xml:space="preserve"> </w:t>
      </w:r>
      <w:r>
        <w:t xml:space="preserve">Chwezi Core Systems / Peter Bamuhigire</w:t>
      </w:r>
    </w:p>
    <w:p>
      <w:pPr>
        <w:pStyle w:val="Compact"/>
        <w:numPr>
          <w:ilvl w:val="0"/>
          <w:numId w:val="1001"/>
        </w:numPr>
      </w:pPr>
      <w:r>
        <w:rPr>
          <w:b/>
          <w:bCs/>
        </w:rPr>
        <w:t xml:space="preserve">Version:</w:t>
      </w:r>
      <w:r>
        <w:t xml:space="preserve"> </w:t>
      </w:r>
      <w:r>
        <w:t xml:space="preserve">v0.1 DRAFT</w:t>
      </w:r>
    </w:p>
    <w:p>
      <w:pPr>
        <w:pStyle w:val="Compact"/>
        <w:numPr>
          <w:ilvl w:val="0"/>
          <w:numId w:val="1001"/>
        </w:numPr>
      </w:pPr>
      <w:r>
        <w:rPr>
          <w:b/>
          <w:bCs/>
        </w:rPr>
        <w:t xml:space="preserve">Date:</w:t>
      </w:r>
      <w:r>
        <w:t xml:space="preserve"> </w:t>
      </w:r>
      <w:r>
        <w:t xml:space="preserve">2026-05-30</w:t>
      </w:r>
    </w:p>
    <w:p>
      <w:pPr>
        <w:pStyle w:val="Compact"/>
        <w:numPr>
          <w:ilvl w:val="0"/>
          <w:numId w:val="1001"/>
        </w:numPr>
      </w:pPr>
      <w:r>
        <w:rPr>
          <w:b/>
          <w:bCs/>
        </w:rPr>
        <w:t xml:space="preserve">Classification:</w:t>
      </w:r>
      <w:r>
        <w:t xml:space="preserve"> </w:t>
      </w:r>
      <w:r>
        <w:t xml:space="preserve">Confidential — Internal Use Only</w:t>
      </w:r>
    </w:p>
    <w:bookmarkEnd w:id="19"/>
    <w:bookmarkStart w:id="20" w:name="scope-note"/>
    <w:p>
      <w:pPr>
        <w:pStyle w:val="Heading2"/>
      </w:pPr>
      <w:r>
        <w:t xml:space="preserve">Scope Note</w:t>
      </w:r>
    </w:p>
    <w:p>
      <w:pPr>
        <w:pStyle w:val="FirstParagraph"/>
      </w:pPr>
      <w:r>
        <w:t xml:space="preserve">Ogma Library is a local-first desktop application for Windows and macOS. It is not a server or hosted multi-tenant service. Consequently, this Deployment and Operations document does not describe production cluster operations, request-path service levels, or tenant fleets. It describes the operations that a desktop product actually owns: release engineering across the Dev, Alpha, Beta, and Stable channels; the signed auto-update channel; the build, sign, and notarize pipeline; opt-in, local-first crash and usage telemetry; the static release-hosting and code-signing infrastructure; and security incident response for the signing keys and the update feed.</w:t>
      </w:r>
    </w:p>
    <w:p>
      <w:pPr>
        <w:pStyle w:val="BodyText"/>
      </w:pPr>
      <w:r>
        <w:t xml:space="preserve">The service-level objectives in this document apply to the small set of remote surfaces the product depends on — the release-host availability and the update download — and to client-side health signals (update success, crash-free sessions) reported only by users who opt in.</w:t>
      </w:r>
    </w:p>
    <w:p>
      <w:pPr>
        <w:pStyle w:val="BodyText"/>
      </w:pPr>
      <w:r>
        <w:t xml:space="preserve">\newpage</w:t>
      </w:r>
    </w:p>
    <w:bookmarkEnd w:id="20"/>
    <w:bookmarkEnd w:id="21"/>
    <w:bookmarkStart w:id="28" w:name="release-and-update-infrastructure"/>
    <w:p>
      <w:pPr>
        <w:pStyle w:val="Heading1"/>
      </w:pPr>
      <w:r>
        <w:t xml:space="preserve">Release and Update Infrastructure</w:t>
      </w:r>
    </w:p>
    <w:p>
      <w:pPr>
        <w:pStyle w:val="FirstParagraph"/>
      </w:pPr>
      <w:r>
        <w:t xml:space="preserve">This section describes the infrastructure that distributes Ogma Library and keeps installed copies current. Ogma Library runs entirely on the user's device; the only remote infrastructure the product owns is the release-hosting and code-signing supply chain plus an opt-in crash-report sink. No user library content, catalogue of record, or reading state is stored on any Ogma Library server.</w:t>
      </w:r>
    </w:p>
    <w:bookmarkStart w:id="22" w:name="infrastructure-inventory"/>
    <w:p>
      <w:pPr>
        <w:pStyle w:val="Heading2"/>
      </w:pPr>
      <w:r>
        <w:t xml:space="preserve">Infrastructure Inventory</w:t>
      </w:r>
    </w:p>
    <w:p>
      <w:pPr>
        <w:pStyle w:val="FirstParagraph"/>
      </w:pPr>
      <w:r>
        <w:t xml:space="preserve">The table below lists every owned remote component, its purpose, and its custody owner.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Purpose</w:t>
            </w:r>
          </w:p>
        </w:tc>
        <w:tc>
          <w:tcPr/>
          <w:p>
            <w:pPr>
              <w:pStyle w:val="Compact"/>
            </w:pPr>
            <w:r>
              <w:t xml:space="preserve">Custody owner</w:t>
            </w:r>
          </w:p>
        </w:tc>
      </w:tr>
      <w:tr>
        <w:tc>
          <w:tcPr/>
          <w:p>
            <w:pPr>
              <w:pStyle w:val="Compact"/>
            </w:pPr>
            <w:r>
              <w:t xml:space="preserve">Static release host and content delivery network</w:t>
            </w:r>
          </w:p>
        </w:tc>
        <w:tc>
          <w:tcPr/>
          <w:p>
            <w:pPr>
              <w:pStyle w:val="Compact"/>
            </w:pPr>
            <w:r>
              <w:t xml:space="preserve">Serves Velopack feed descriptors, full and delta installer packages, the macOS notarized disk image, and the Microsoft Windows packaging-format package</w:t>
            </w:r>
          </w:p>
        </w:tc>
        <w:tc>
          <w:tcPr/>
          <w:p>
            <w:pPr>
              <w:pStyle w:val="Compact"/>
            </w:pPr>
            <w:r>
              <w:t xml:space="preserve">Chwezi Core Systems</w:t>
            </w:r>
          </w:p>
        </w:tc>
      </w:tr>
      <w:tr>
        <w:tc>
          <w:tcPr/>
          <w:p>
            <w:pPr>
              <w:pStyle w:val="Compact"/>
            </w:pPr>
            <w:r>
              <w:t xml:space="preserve">Velopack update feed</w:t>
            </w:r>
          </w:p>
        </w:tc>
        <w:tc>
          <w:tcPr/>
          <w:p>
            <w:pPr>
              <w:pStyle w:val="Compact"/>
            </w:pPr>
            <w:r>
              <w:t xml:space="preserve">The signed update descriptor and package set the installed application polls for new versions per channel</w:t>
            </w:r>
          </w:p>
        </w:tc>
        <w:tc>
          <w:tcPr/>
          <w:p>
            <w:pPr>
              <w:pStyle w:val="Compact"/>
            </w:pPr>
            <w:r>
              <w:t xml:space="preserve">Chwezi Core Systems</w:t>
            </w:r>
          </w:p>
        </w:tc>
      </w:tr>
      <w:tr>
        <w:tc>
          <w:tcPr/>
          <w:p>
            <w:pPr>
              <w:pStyle w:val="Compact"/>
            </w:pPr>
            <w:r>
              <w:t xml:space="preserve">Code-signing key store</w:t>
            </w:r>
          </w:p>
        </w:tc>
        <w:tc>
          <w:tcPr/>
          <w:p>
            <w:pPr>
              <w:pStyle w:val="Compact"/>
            </w:pPr>
            <w:r>
              <w:t xml:space="preserve">Holds the Windows Authenticode signing material and the Apple Developer ID signing material in a hardware security module or platform secure store</w:t>
            </w:r>
          </w:p>
        </w:tc>
        <w:tc>
          <w:tcPr/>
          <w:p>
            <w:pPr>
              <w:pStyle w:val="Compact"/>
            </w:pPr>
            <w:r>
              <w:t xml:space="preserve">Chwezi Core Systems</w:t>
            </w:r>
          </w:p>
        </w:tc>
      </w:tr>
      <w:tr>
        <w:tc>
          <w:tcPr/>
          <w:p>
            <w:pPr>
              <w:pStyle w:val="Compact"/>
            </w:pPr>
            <w:r>
              <w:t xml:space="preserve">Continuous-integration build runners</w:t>
            </w:r>
          </w:p>
        </w:tc>
        <w:tc>
          <w:tcPr/>
          <w:p>
            <w:pPr>
              <w:pStyle w:val="Compact"/>
            </w:pPr>
            <w:r>
              <w:t xml:space="preserve">Windows and macOS runners that build, sign, notarize, and publish each release</w:t>
            </w:r>
          </w:p>
        </w:tc>
        <w:tc>
          <w:tcPr/>
          <w:p>
            <w:pPr>
              <w:pStyle w:val="Compact"/>
            </w:pPr>
            <w:r>
              <w:t xml:space="preserve">Chwezi Core Systems</w:t>
            </w:r>
          </w:p>
        </w:tc>
      </w:tr>
      <w:tr>
        <w:tc>
          <w:tcPr/>
          <w:p>
            <w:pPr>
              <w:pStyle w:val="Compact"/>
            </w:pPr>
            <w:r>
              <w:t xml:space="preserve">Crash-report sink</w:t>
            </w:r>
          </w:p>
        </w:tc>
        <w:tc>
          <w:tcPr/>
          <w:p>
            <w:pPr>
              <w:pStyle w:val="Compact"/>
            </w:pPr>
            <w:r>
              <w:t xml:space="preserve">Receives opt-in crash reports and minimal usage counters from users who consented</w:t>
            </w:r>
          </w:p>
        </w:tc>
        <w:tc>
          <w:tcPr/>
          <w:p>
            <w:pPr>
              <w:pStyle w:val="Compact"/>
            </w:pPr>
            <w:r>
              <w:t xml:space="preserve">Chwezi Core Systems</w:t>
            </w:r>
          </w:p>
        </w:tc>
      </w:tr>
      <w:tr>
        <w:tc>
          <w:tcPr/>
          <w:p>
            <w:pPr>
              <w:pStyle w:val="Compact"/>
            </w:pPr>
            <w:r>
              <w:t xml:space="preserve">Microsoft Store listing</w:t>
            </w:r>
          </w:p>
        </w:tc>
        <w:tc>
          <w:tcPr/>
          <w:p>
            <w:pPr>
              <w:pStyle w:val="Compact"/>
            </w:pPr>
            <w:r>
              <w:t xml:space="preserve">Publishes the Windows packaging-format build to the Store and enterprise policy-deployment channel</w:t>
            </w:r>
          </w:p>
        </w:tc>
        <w:tc>
          <w:tcPr/>
          <w:p>
            <w:pPr>
              <w:pStyle w:val="Compact"/>
            </w:pPr>
            <w:r>
              <w:t xml:space="preserve">Microsoft, under Chwezi Core Systems account</w:t>
            </w:r>
          </w:p>
        </w:tc>
      </w:tr>
      <w:tr>
        <w:tc>
          <w:tcPr/>
          <w:p>
            <w:pPr>
              <w:pStyle w:val="Compact"/>
            </w:pPr>
            <w:r>
              <w:t xml:space="preserve">Apple notarization service</w:t>
            </w:r>
          </w:p>
        </w:tc>
        <w:tc>
          <w:tcPr/>
          <w:p>
            <w:pPr>
              <w:pStyle w:val="Compact"/>
            </w:pPr>
            <w:r>
              <w:t xml:space="preserve">Scans and approves each macOS build for distribution</w:t>
            </w:r>
          </w:p>
        </w:tc>
        <w:tc>
          <w:tcPr/>
          <w:p>
            <w:pPr>
              <w:pStyle w:val="Compact"/>
            </w:pPr>
            <w:r>
              <w:t xml:space="preserve">Apple, under Chwezi Core Systems account</w:t>
            </w:r>
          </w:p>
        </w:tc>
      </w:tr>
    </w:tbl>
    <w:bookmarkEnd w:id="22"/>
    <w:bookmarkStart w:id="23" w:name="release-channels"/>
    <w:p>
      <w:pPr>
        <w:pStyle w:val="Heading2"/>
      </w:pPr>
      <w:r>
        <w:t xml:space="preserve">Release Channels</w:t>
      </w:r>
    </w:p>
    <w:p>
      <w:pPr>
        <w:pStyle w:val="FirstParagraph"/>
      </w:pPr>
      <w:r>
        <w:t xml:space="preserve">Four release channels separate stability tiers, as decided in Architecture Decision Record ADR-0009. Each channel is a distinct Velopack feed path so that a user's chosen channel determines which descriptor the installed application polls.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Audience</w:t>
            </w:r>
          </w:p>
        </w:tc>
        <w:tc>
          <w:tcPr/>
          <w:p>
            <w:pPr>
              <w:pStyle w:val="Compact"/>
            </w:pPr>
            <w:r>
              <w:t xml:space="preserve">Promotion source</w:t>
            </w:r>
          </w:p>
        </w:tc>
      </w:tr>
      <w:tr>
        <w:tc>
          <w:tcPr/>
          <w:p>
            <w:pPr>
              <w:pStyle w:val="Compact"/>
            </w:pPr>
            <w:r>
              <w:t xml:space="preserve">Dev</w:t>
            </w:r>
          </w:p>
        </w:tc>
        <w:tc>
          <w:tcPr/>
          <w:p>
            <w:pPr>
              <w:pStyle w:val="Compact"/>
            </w:pPr>
            <w:r>
              <w:t xml:space="preserve">Internal engineering builds per merge to the integration branch</w:t>
            </w:r>
          </w:p>
        </w:tc>
        <w:tc>
          <w:tcPr/>
          <w:p>
            <w:pPr>
              <w:pStyle w:val="Compact"/>
            </w:pPr>
            <w:r>
              <w:t xml:space="preserve">Continuous-integration build of the integration branch</w:t>
            </w:r>
          </w:p>
        </w:tc>
      </w:tr>
      <w:tr>
        <w:tc>
          <w:tcPr/>
          <w:p>
            <w:pPr>
              <w:pStyle w:val="Compact"/>
            </w:pPr>
            <w:r>
              <w:t xml:space="preserve">Alpha</w:t>
            </w:r>
          </w:p>
        </w:tc>
        <w:tc>
          <w:tcPr/>
          <w:p>
            <w:pPr>
              <w:pStyle w:val="Compact"/>
            </w:pPr>
            <w:r>
              <w:t xml:space="preserve">Internal and trusted-tester early validation</w:t>
            </w:r>
          </w:p>
        </w:tc>
        <w:tc>
          <w:tcPr/>
          <w:p>
            <w:pPr>
              <w:pStyle w:val="Compact"/>
            </w:pPr>
            <w:r>
              <w:t xml:space="preserve">Promotion of a Dev build that passed smoke verification</w:t>
            </w:r>
          </w:p>
        </w:tc>
      </w:tr>
      <w:tr>
        <w:tc>
          <w:tcPr/>
          <w:p>
            <w:pPr>
              <w:pStyle w:val="Compact"/>
            </w:pPr>
            <w:r>
              <w:t xml:space="preserve">Beta</w:t>
            </w:r>
          </w:p>
        </w:tc>
        <w:tc>
          <w:tcPr/>
          <w:p>
            <w:pPr>
              <w:pStyle w:val="Compact"/>
            </w:pPr>
            <w:r>
              <w:t xml:space="preserve">Public beta testers</w:t>
            </w:r>
          </w:p>
        </w:tc>
        <w:tc>
          <w:tcPr/>
          <w:p>
            <w:pPr>
              <w:pStyle w:val="Compact"/>
            </w:pPr>
            <w:r>
              <w:t xml:space="preserve">Promotion of an Alpha build that passed every release gate in Section 7.2 of the test strategy</w:t>
            </w:r>
          </w:p>
        </w:tc>
      </w:tr>
      <w:tr>
        <w:tc>
          <w:tcPr/>
          <w:p>
            <w:pPr>
              <w:pStyle w:val="Compact"/>
            </w:pPr>
            <w:r>
              <w:t xml:space="preserve">Stable</w:t>
            </w:r>
          </w:p>
        </w:tc>
        <w:tc>
          <w:tcPr/>
          <w:p>
            <w:pPr>
              <w:pStyle w:val="Compact"/>
            </w:pPr>
            <w:r>
              <w:t xml:space="preserve">General availability</w:t>
            </w:r>
          </w:p>
        </w:tc>
        <w:tc>
          <w:tcPr/>
          <w:p>
            <w:pPr>
              <w:pStyle w:val="Compact"/>
            </w:pPr>
            <w:r>
              <w:t xml:space="preserve">Promotion of a Beta build that completed its soak window without a blocking defect</w:t>
            </w:r>
          </w:p>
        </w:tc>
      </w:tr>
    </w:tbl>
    <w:bookmarkEnd w:id="23"/>
    <w:bookmarkStart w:id="24" w:name="update-trust-chain"/>
    <w:p>
      <w:pPr>
        <w:pStyle w:val="Heading2"/>
      </w:pPr>
      <w:r>
        <w:t xml:space="preserve">Update Trust Chain</w:t>
      </w:r>
    </w:p>
    <w:p>
      <w:pPr>
        <w:pStyle w:val="FirstParagraph"/>
      </w:pPr>
      <w:r>
        <w:t xml:space="preserve">Every update is verified independently of transport, satisfying CTRL-012 and CTRL-013:</w:t>
      </w:r>
    </w:p>
    <w:p>
      <w:pPr>
        <w:pStyle w:val="Compact"/>
        <w:numPr>
          <w:ilvl w:val="0"/>
          <w:numId w:val="1002"/>
        </w:numPr>
      </w:pPr>
      <w:r>
        <w:t xml:space="preserve">The continuous-integration runner signs each Windows build with Authenticode and signs and notarizes each macOS build with the Apple Developer ID material drawn from the code-signing key store.</w:t>
      </w:r>
    </w:p>
    <w:p>
      <w:pPr>
        <w:pStyle w:val="Compact"/>
        <w:numPr>
          <w:ilvl w:val="0"/>
          <w:numId w:val="1002"/>
        </w:numPr>
      </w:pPr>
      <w:r>
        <w:t xml:space="preserve">The runner signs the Velopack feed descriptor so that the descriptor itself is signature-verified, not only the transport.</w:t>
      </w:r>
    </w:p>
    <w:p>
      <w:pPr>
        <w:pStyle w:val="Compact"/>
        <w:numPr>
          <w:ilvl w:val="0"/>
          <w:numId w:val="1002"/>
        </w:numPr>
      </w:pPr>
      <w:r>
        <w:t xml:space="preserve">The installed application fetches the descriptor over an authenticated, integrity-checked connection, verifies the descriptor signature, then verifies the package signature before applying any update.</w:t>
      </w:r>
    </w:p>
    <w:p>
      <w:pPr>
        <w:pStyle w:val="Compact"/>
        <w:numPr>
          <w:ilvl w:val="0"/>
          <w:numId w:val="1002"/>
        </w:numPr>
      </w:pPr>
      <w:r>
        <w:t xml:space="preserve">A package that fails either signature check is discarded and the failure is recorded in the local audit-trail table.</w:t>
      </w:r>
    </w:p>
    <w:bookmarkEnd w:id="24"/>
    <w:bookmarkStart w:id="25" w:name="code-signing-key-custody"/>
    <w:p>
      <w:pPr>
        <w:pStyle w:val="Heading2"/>
      </w:pPr>
      <w:r>
        <w:t xml:space="preserve">Code-Signing Key Custody</w:t>
      </w:r>
    </w:p>
    <w:p>
      <w:pPr>
        <w:pStyle w:val="Compact"/>
        <w:numPr>
          <w:ilvl w:val="0"/>
          <w:numId w:val="1003"/>
        </w:numPr>
      </w:pPr>
      <w:r>
        <w:t xml:space="preserve">The Windows Authenticode private key and the Apple Developer ID private key are held only in a hardware security module or platform secure store; they are never present in plaintext on a build runner's disk.</w:t>
      </w:r>
    </w:p>
    <w:p>
      <w:pPr>
        <w:pStyle w:val="Compact"/>
        <w:numPr>
          <w:ilvl w:val="0"/>
          <w:numId w:val="1003"/>
        </w:numPr>
      </w:pPr>
      <w:r>
        <w:t xml:space="preserve">The continuous-integration runner requests signing operations from the key store over an authenticated session; the key material does not leave the store.</w:t>
      </w:r>
    </w:p>
    <w:p>
      <w:pPr>
        <w:pStyle w:val="Compact"/>
        <w:numPr>
          <w:ilvl w:val="0"/>
          <w:numId w:val="1003"/>
        </w:numPr>
      </w:pPr>
      <w:r>
        <w:t xml:space="preserve">Signing material is rotated on a fixed schedule and immediately on any suspected compromise, following the runbook procedure for signing-certificate expiry and the incident-response flow below.</w:t>
      </w:r>
    </w:p>
    <w:p>
      <w:pPr>
        <w:pStyle w:val="Compact"/>
        <w:numPr>
          <w:ilvl w:val="0"/>
          <w:numId w:val="1003"/>
        </w:numPr>
      </w:pPr>
      <w:r>
        <w:t xml:space="preserve">Access to the key store is restricted to the release owner and is recorded; every signing operation is logged with the requesting build identifier.</w:t>
      </w:r>
    </w:p>
    <w:bookmarkEnd w:id="25"/>
    <w:bookmarkStart w:id="26" w:name="crash-report-sink"/>
    <w:p>
      <w:pPr>
        <w:pStyle w:val="Heading2"/>
      </w:pPr>
      <w:r>
        <w:t xml:space="preserve">Crash-Report Sink</w:t>
      </w:r>
    </w:p>
    <w:p>
      <w:pPr>
        <w:pStyle w:val="FirstParagraph"/>
      </w:pPr>
      <w:r>
        <w:t xml:space="preserve">The crash-report sink accepts data only from users who have enabled opt-in telemetry. The payload is minimized at the source on the device before transmission: it carries an anonymous install identifier, application version, operating-system version, an exception type and stack signature, and aggregate usage counters. It never carries library content, file paths, file names, catalogue metadata, search queries, or Artificial Intelligence (AI) history. The privacy-tier and payload-preview rules in the domain defaults govern this surface exactly as they govern off-device AI calls.</w:t>
      </w:r>
    </w:p>
    <w:bookmarkEnd w:id="26"/>
    <w:bookmarkStart w:id="27" w:name="incident-response-flow"/>
    <w:p>
      <w:pPr>
        <w:pStyle w:val="Heading2"/>
      </w:pPr>
      <w:r>
        <w:t xml:space="preserve">Incident-Response Flow</w:t>
      </w:r>
    </w:p>
    <w:p>
      <w:pPr>
        <w:pStyle w:val="FirstParagraph"/>
      </w:pPr>
      <w:r>
        <w:t xml:space="preserve">The security incident-response process below applies to the two highest-severity infrastructure incidents a desktop product faces: a signing-key compromise and a malicious-update report. The flow follows detect, triage, contain, eradicate, recover, and review. This incident-response diagram is the authoritative reference for the response sequence; the runbook entries in</w:t>
      </w:r>
      <w:r>
        <w:t xml:space="preserve"> </w:t>
      </w:r>
      <w:r>
        <w:rPr>
          <w:rStyle w:val="VerbatimChar"/>
        </w:rPr>
        <w:t xml:space="preserve">runbook.md</w:t>
      </w:r>
      <w:r>
        <w:t xml:space="preserve"> </w:t>
      </w:r>
      <w:r>
        <w:t xml:space="preserve">carry the per-incident operational steps.</w:t>
      </w:r>
    </w:p>
    <w:p>
      <w:pPr>
        <w:pStyle w:val="SourceCode"/>
      </w:pPr>
      <w:r>
        <w:rPr>
          <w:rStyle w:val="VerbatimChar"/>
        </w:rPr>
        <w:t xml:space="preserve">flowchart TD</w:t>
      </w:r>
      <w:r>
        <w:br/>
      </w:r>
      <w:r>
        <w:rPr>
          <w:rStyle w:val="VerbatimChar"/>
        </w:rPr>
        <w:t xml:space="preserve">    A[Detect] --&gt; B[Triage]</w:t>
      </w:r>
      <w:r>
        <w:br/>
      </w:r>
      <w:r>
        <w:rPr>
          <w:rStyle w:val="VerbatimChar"/>
        </w:rPr>
        <w:t xml:space="preserve">    B --&gt; C[Contain]</w:t>
      </w:r>
      <w:r>
        <w:br/>
      </w:r>
      <w:r>
        <w:rPr>
          <w:rStyle w:val="VerbatimChar"/>
        </w:rPr>
        <w:t xml:space="preserve">    C --&gt; D[Eradicate]</w:t>
      </w:r>
      <w:r>
        <w:br/>
      </w:r>
      <w:r>
        <w:rPr>
          <w:rStyle w:val="VerbatimChar"/>
        </w:rPr>
        <w:t xml:space="preserve">    D --&gt; E[Recover]</w:t>
      </w:r>
      <w:r>
        <w:br/>
      </w:r>
      <w:r>
        <w:rPr>
          <w:rStyle w:val="VerbatimChar"/>
        </w:rPr>
        <w:t xml:space="preserve">    E --&gt; F[Review]</w:t>
      </w:r>
      <w:r>
        <w:br/>
      </w:r>
      <w:r>
        <w:br/>
      </w:r>
      <w:r>
        <w:rPr>
          <w:rStyle w:val="VerbatimChar"/>
        </w:rPr>
        <w:t xml:space="preserve">    A --&gt;|Sources: crash-report sink anomaly,\nmalicious-update report,\nkey-store access alert| B</w:t>
      </w:r>
      <w:r>
        <w:br/>
      </w:r>
      <w:r>
        <w:rPr>
          <w:rStyle w:val="VerbatimChar"/>
        </w:rPr>
        <w:t xml:space="preserve">    B --&gt;|Classify severity,\nassign incident owner| C</w:t>
      </w:r>
      <w:r>
        <w:br/>
      </w:r>
      <w:r>
        <w:rPr>
          <w:rStyle w:val="VerbatimChar"/>
        </w:rPr>
        <w:t xml:space="preserve">    C --&gt;|Pull the affected feed descriptor,\nsuspend publishing,\nrevoke or freeze signing key| D</w:t>
      </w:r>
      <w:r>
        <w:br/>
      </w:r>
      <w:r>
        <w:rPr>
          <w:rStyle w:val="VerbatimChar"/>
        </w:rPr>
        <w:t xml:space="preserve">    D --&gt;|Rotate signing material,\nrebuild from a clean runner,\nremove the bad package| E</w:t>
      </w:r>
      <w:r>
        <w:br/>
      </w:r>
      <w:r>
        <w:rPr>
          <w:rStyle w:val="VerbatimChar"/>
        </w:rPr>
        <w:t xml:space="preserve">    E --&gt;|Publish a signed corrective release,\nverify update success,\nrestore the channel| F</w:t>
      </w:r>
      <w:r>
        <w:br/>
      </w:r>
      <w:r>
        <w:rPr>
          <w:rStyle w:val="VerbatimChar"/>
        </w:rPr>
        <w:t xml:space="preserve">    F --&gt;|Post-incident review,\nupdate this flow and the runbook,\nrecord lessons| G[Closed]</w:t>
      </w:r>
    </w:p>
    <w:p>
      <w:pPr>
        <w:pStyle w:val="FirstParagraph"/>
      </w:pPr>
      <w:r>
        <w:t xml:space="preserve">The incident-response flow is reviewed after every invocation and at each release-gate sign-off so that the diagram and the runbook stay consistent with the live infrastructure.</w:t>
      </w:r>
    </w:p>
    <w:p>
      <w:pPr>
        <w:pStyle w:val="BodyText"/>
      </w:pPr>
      <w:r>
        <w:t xml:space="preserve">\newpage</w:t>
      </w:r>
    </w:p>
    <w:bookmarkEnd w:id="27"/>
    <w:bookmarkEnd w:id="28"/>
    <w:bookmarkStart w:id="35" w:name="release-build-sign-and-distribute-guide"/>
    <w:p>
      <w:pPr>
        <w:pStyle w:val="Heading1"/>
      </w:pPr>
      <w:r>
        <w:t xml:space="preserve">Release, Build, Sign, and Distribute Guide</w:t>
      </w:r>
    </w:p>
    <w:p>
      <w:pPr>
        <w:pStyle w:val="FirstParagraph"/>
      </w:pPr>
      <w:r>
        <w:t xml:space="preserve">This guide defines how a build of Ogma Library moves from source to an installed update on a user's device. Because Ogma Library is a desktop product, a release is a signed artifact published to a channel feed, not a server rollout. The guide covers the build, sign, notarize, and publish pipeline across the Dev, Alpha, Beta, and Stable channels; the change window and freeze policy; and the rollback procedure.</w:t>
      </w:r>
    </w:p>
    <w:bookmarkStart w:id="29" w:name="packaging-targets"/>
    <w:p>
      <w:pPr>
        <w:pStyle w:val="Heading2"/>
      </w:pPr>
      <w:r>
        <w:t xml:space="preserve">Packaging Targets</w:t>
      </w:r>
    </w:p>
    <w:p>
      <w:pPr>
        <w:pStyle w:val="FirstParagraph"/>
      </w:pPr>
      <w:r>
        <w:t xml:space="preserve">Each release produces, from one pipeline, the packaging targets decided in Architecture Decision Record ADR-0009:</w:t>
      </w:r>
    </w:p>
    <w:p>
      <w:pPr>
        <w:pStyle w:val="Compact"/>
        <w:numPr>
          <w:ilvl w:val="0"/>
          <w:numId w:val="1004"/>
        </w:numPr>
      </w:pPr>
      <w:r>
        <w:t xml:space="preserve">A Velopack feed update for the direct-download channel on both Windows and macOS, with full and delta packages.</w:t>
      </w:r>
    </w:p>
    <w:p>
      <w:pPr>
        <w:pStyle w:val="Compact"/>
        <w:numPr>
          <w:ilvl w:val="0"/>
          <w:numId w:val="1004"/>
        </w:numPr>
      </w:pPr>
      <w:r>
        <w:t xml:space="preserve">A Microsoft Windows packaging-format package for the Microsoft Store and enterprise policy-deployment channel.</w:t>
      </w:r>
    </w:p>
    <w:p>
      <w:pPr>
        <w:pStyle w:val="Compact"/>
        <w:numPr>
          <w:ilvl w:val="0"/>
          <w:numId w:val="1004"/>
        </w:numPr>
      </w:pPr>
      <w:r>
        <w:t xml:space="preserve">An Apple Developer ID signed and notarized macOS disk image for direct distribution.</w:t>
      </w:r>
    </w:p>
    <w:bookmarkEnd w:id="29"/>
    <w:bookmarkStart w:id="30" w:name="build-sign-notarize-publish-pipeline"/>
    <w:p>
      <w:pPr>
        <w:pStyle w:val="Heading2"/>
      </w:pPr>
      <w:r>
        <w:t xml:space="preserve">Build, Sign, Notarize, Publish Pipeline</w:t>
      </w:r>
    </w:p>
    <w:p>
      <w:pPr>
        <w:pStyle w:val="FirstParagraph"/>
      </w:pPr>
      <w:r>
        <w:t xml:space="preserve">The pipeline runs on the continuous-integration build runners described in</w:t>
      </w:r>
      <w:r>
        <w:t xml:space="preserve"> </w:t>
      </w:r>
      <w:r>
        <w:rPr>
          <w:rStyle w:val="VerbatimChar"/>
        </w:rPr>
        <w:t xml:space="preserve">infrastructure.md</w:t>
      </w:r>
      <w:r>
        <w:t xml:space="preserve">. A release executes the following ordered steps.</w:t>
      </w:r>
    </w:p>
    <w:p>
      <w:pPr>
        <w:pStyle w:val="Compact"/>
        <w:numPr>
          <w:ilvl w:val="0"/>
          <w:numId w:val="1005"/>
        </w:numPr>
      </w:pPr>
      <w:r>
        <w:t xml:space="preserve">Tag the source commit with the target version and channel; the tag is the single release coordinate recorded with every gate run.</w:t>
      </w:r>
    </w:p>
    <w:p>
      <w:pPr>
        <w:pStyle w:val="Compact"/>
        <w:numPr>
          <w:ilvl w:val="0"/>
          <w:numId w:val="1005"/>
        </w:numPr>
      </w:pPr>
      <w:r>
        <w:t xml:space="preserve">Build the .NET 10 Long-Term Support application on the Windows runner and on the macOS runner from the tagged commit.</w:t>
      </w:r>
    </w:p>
    <w:p>
      <w:pPr>
        <w:pStyle w:val="Compact"/>
        <w:numPr>
          <w:ilvl w:val="0"/>
          <w:numId w:val="1005"/>
        </w:numPr>
      </w:pPr>
      <w:r>
        <w:t xml:space="preserve">Run the automated verification suite; a release does not proceed unless the release gates applicable to the target channel pass.</w:t>
      </w:r>
    </w:p>
    <w:p>
      <w:pPr>
        <w:pStyle w:val="Compact"/>
        <w:numPr>
          <w:ilvl w:val="0"/>
          <w:numId w:val="1005"/>
        </w:numPr>
      </w:pPr>
      <w:r>
        <w:t xml:space="preserve">Sign the Windows build with Authenticode using key material held in the code-signing key store.</w:t>
      </w:r>
    </w:p>
    <w:p>
      <w:pPr>
        <w:pStyle w:val="Compact"/>
        <w:numPr>
          <w:ilvl w:val="0"/>
          <w:numId w:val="1005"/>
        </w:numPr>
      </w:pPr>
      <w:r>
        <w:t xml:space="preserve">Sign and notarize the macOS build with the Apple Developer ID material; wait for the notarization result before packaging the disk image.</w:t>
      </w:r>
    </w:p>
    <w:p>
      <w:pPr>
        <w:pStyle w:val="Compact"/>
        <w:numPr>
          <w:ilvl w:val="0"/>
          <w:numId w:val="1005"/>
        </w:numPr>
      </w:pPr>
      <w:r>
        <w:t xml:space="preserve">Produce the Velopack full and delta packages and the signed Velopack feed descriptor for the target channel.</w:t>
      </w:r>
    </w:p>
    <w:p>
      <w:pPr>
        <w:pStyle w:val="Compact"/>
        <w:numPr>
          <w:ilvl w:val="0"/>
          <w:numId w:val="1005"/>
        </w:numPr>
      </w:pPr>
      <w:r>
        <w:t xml:space="preserve">Produce the Microsoft Windows packaging-format package for Store and enterprise distribution where the target channel is Stable.</w:t>
      </w:r>
    </w:p>
    <w:p>
      <w:pPr>
        <w:pStyle w:val="Compact"/>
        <w:numPr>
          <w:ilvl w:val="0"/>
          <w:numId w:val="1005"/>
        </w:numPr>
      </w:pPr>
      <w:r>
        <w:t xml:space="preserve">Publish the packages and the signed descriptor to the static release host for the target channel path.</w:t>
      </w:r>
    </w:p>
    <w:p>
      <w:pPr>
        <w:pStyle w:val="Compact"/>
        <w:numPr>
          <w:ilvl w:val="0"/>
          <w:numId w:val="1005"/>
        </w:numPr>
      </w:pPr>
      <w:r>
        <w:t xml:space="preserve">Record the release in the release log with its version, channel, commit, and signing identifiers.</w:t>
      </w:r>
    </w:p>
    <w:bookmarkEnd w:id="30"/>
    <w:bookmarkStart w:id="31" w:name="channel-promotion"/>
    <w:p>
      <w:pPr>
        <w:pStyle w:val="Heading2"/>
      </w:pPr>
      <w:r>
        <w:t xml:space="preserve">Channel Promotion</w:t>
      </w:r>
    </w:p>
    <w:p>
      <w:pPr>
        <w:pStyle w:val="FirstParagraph"/>
      </w:pPr>
      <w:r>
        <w:t xml:space="preserve">A build is promoted from one channel to the next; it is not rebuilt. Promotion publishes the already-signed packages to the next channel's feed path and records the promotion.</w:t>
      </w:r>
    </w:p>
    <w:p>
      <w:pPr>
        <w:pStyle w:val="Compact"/>
        <w:numPr>
          <w:ilvl w:val="0"/>
          <w:numId w:val="1006"/>
        </w:numPr>
      </w:pPr>
      <w:r>
        <w:t xml:space="preserve">Dev to Alpha: the Dev build passed smoke verification on Windows and macOS.</w:t>
      </w:r>
    </w:p>
    <w:p>
      <w:pPr>
        <w:pStyle w:val="Compact"/>
        <w:numPr>
          <w:ilvl w:val="0"/>
          <w:numId w:val="1006"/>
        </w:numPr>
      </w:pPr>
      <w:r>
        <w:t xml:space="preserve">Alpha to Beta: the Alpha build passed every public-beta release gate in Section 7.2 of the test strategy.</w:t>
      </w:r>
    </w:p>
    <w:p>
      <w:pPr>
        <w:pStyle w:val="Compact"/>
        <w:numPr>
          <w:ilvl w:val="0"/>
          <w:numId w:val="1006"/>
        </w:numPr>
      </w:pPr>
      <w:r>
        <w:t xml:space="preserve">Beta to Stable: the Beta build completed its soak window with no blocking defect, and the Microsoft Windows packaging-format package is produced and listed.</w:t>
      </w:r>
    </w:p>
    <w:bookmarkEnd w:id="31"/>
    <w:bookmarkStart w:id="32" w:name="change-window"/>
    <w:p>
      <w:pPr>
        <w:pStyle w:val="Heading2"/>
      </w:pPr>
      <w:r>
        <w:t xml:space="preserve">Change Window</w:t>
      </w:r>
    </w:p>
    <w:p>
      <w:pPr>
        <w:pStyle w:val="FirstParagraph"/>
      </w:pPr>
      <w:r>
        <w:t xml:space="preserve">Ogma Library publishes routine updates within a fixed change window so that users on metered or limited connections can plan for downloads and so that the release owner is available to monitor the rollout.</w:t>
      </w:r>
    </w:p>
    <w:p>
      <w:pPr>
        <w:pStyle w:val="Compact"/>
        <w:numPr>
          <w:ilvl w:val="0"/>
          <w:numId w:val="1007"/>
        </w:numPr>
      </w:pPr>
      <w:r>
        <w:t xml:space="preserve">The routine change window for Beta and Stable releases is Tuesday and Thursday, 09:00 to 13:00 East Africa Time. Dev and Alpha builds publish continuously and are exempt from the change window.</w:t>
      </w:r>
    </w:p>
    <w:p>
      <w:pPr>
        <w:pStyle w:val="Compact"/>
        <w:numPr>
          <w:ilvl w:val="0"/>
          <w:numId w:val="1007"/>
        </w:numPr>
      </w:pPr>
      <w:r>
        <w:t xml:space="preserve">A release that lands in the change window is published at the start of the window so the release owner can watch the update-success signal for the remainder of the window.</w:t>
      </w:r>
    </w:p>
    <w:p>
      <w:pPr>
        <w:pStyle w:val="Compact"/>
        <w:numPr>
          <w:ilvl w:val="0"/>
          <w:numId w:val="1007"/>
        </w:numPr>
      </w:pPr>
      <w:r>
        <w:t xml:space="preserve">A code-freeze begins 24 hours before each scheduled Stable change window; only release-blocking fixes merge during the freeze.</w:t>
      </w:r>
    </w:p>
    <w:p>
      <w:pPr>
        <w:pStyle w:val="Compact"/>
        <w:numPr>
          <w:ilvl w:val="0"/>
          <w:numId w:val="1007"/>
        </w:numPr>
      </w:pPr>
      <w:r>
        <w:t xml:space="preserve">Beta and Stable testers receive a release notice at least 24 hours before a scheduled change window, stating the version, the headline changes, and whether the release includes a database migration.</w:t>
      </w:r>
    </w:p>
    <w:p>
      <w:pPr>
        <w:pStyle w:val="Compact"/>
        <w:numPr>
          <w:ilvl w:val="0"/>
          <w:numId w:val="1007"/>
        </w:numPr>
      </w:pPr>
      <w:r>
        <w:t xml:space="preserve">An emergency security release may publish outside the change window. It still follows the full build, sign, notarize, and signature-verification pipeline, and the release owner records the out-of-window justification in the release log.</w:t>
      </w:r>
    </w:p>
    <w:bookmarkEnd w:id="32"/>
    <w:bookmarkStart w:id="33" w:name="database-migration-safety"/>
    <w:p>
      <w:pPr>
        <w:pStyle w:val="Heading2"/>
      </w:pPr>
      <w:r>
        <w:t xml:space="preserve">Database Migration Safety</w:t>
      </w:r>
    </w:p>
    <w:p>
      <w:pPr>
        <w:pStyle w:val="FirstParagraph"/>
      </w:pPr>
      <w:r>
        <w:t xml:space="preserve">Ogma Library carries the catalogue of record in a local database that the update may need to migrate. Migrations follow a backup-before-apply rule.</w:t>
      </w:r>
    </w:p>
    <w:p>
      <w:pPr>
        <w:pStyle w:val="Compact"/>
        <w:numPr>
          <w:ilvl w:val="0"/>
          <w:numId w:val="1008"/>
        </w:numPr>
      </w:pPr>
      <w:r>
        <w:t xml:space="preserve">Before applying any schema migration, the application creates a timestamped backup copy of the catalogue-of-record database and of the affected sidecar asset folder index.</w:t>
      </w:r>
    </w:p>
    <w:p>
      <w:pPr>
        <w:pStyle w:val="Compact"/>
        <w:numPr>
          <w:ilvl w:val="0"/>
          <w:numId w:val="1008"/>
        </w:numPr>
      </w:pPr>
      <w:r>
        <w:t xml:space="preserve">The migration applies inside a single transaction; a failed migration aborts without partial schema change.</w:t>
      </w:r>
    </w:p>
    <w:p>
      <w:pPr>
        <w:pStyle w:val="Compact"/>
        <w:numPr>
          <w:ilvl w:val="0"/>
          <w:numId w:val="1008"/>
        </w:numPr>
      </w:pPr>
      <w:r>
        <w:t xml:space="preserve">The backup is retained until the migrated application has launched successfully at least once, so that the migration can be reversed by restoring the backup if the new version fails to start.</w:t>
      </w:r>
    </w:p>
    <w:bookmarkEnd w:id="33"/>
    <w:bookmarkStart w:id="34" w:name="rollback-procedure"/>
    <w:p>
      <w:pPr>
        <w:pStyle w:val="Heading2"/>
      </w:pPr>
      <w:r>
        <w:t xml:space="preserve">Rollback Procedure</w:t>
      </w:r>
    </w:p>
    <w:p>
      <w:pPr>
        <w:pStyle w:val="FirstParagraph"/>
      </w:pPr>
      <w:r>
        <w:t xml:space="preserve">A rollback returns affected users to the last known-good release when a published update proves defective. Because each Velopack package is a self-contained signed artifact, rollback is a controlled re-point of the channel feed plus a database restore where a migration ran.</w:t>
      </w:r>
    </w:p>
    <w:p>
      <w:pPr>
        <w:pStyle w:val="Compact"/>
        <w:numPr>
          <w:ilvl w:val="0"/>
          <w:numId w:val="1009"/>
        </w:numPr>
      </w:pPr>
      <w:r>
        <w:t xml:space="preserve">Detect the regression through the update-success signal, the crash-free session signal, or a user report, and open an incident per</w:t>
      </w:r>
      <w:r>
        <w:t xml:space="preserve"> </w:t>
      </w:r>
      <w:r>
        <w:rPr>
          <w:rStyle w:val="VerbatimChar"/>
        </w:rPr>
        <w:t xml:space="preserve">runbook.md</w:t>
      </w:r>
      <w:r>
        <w:t xml:space="preserve">.</w:t>
      </w:r>
    </w:p>
    <w:p>
      <w:pPr>
        <w:pStyle w:val="Compact"/>
        <w:numPr>
          <w:ilvl w:val="0"/>
          <w:numId w:val="1009"/>
        </w:numPr>
      </w:pPr>
      <w:r>
        <w:t xml:space="preserve">Freeze publishing to the affected channel so no further devices fetch the defective update.</w:t>
      </w:r>
    </w:p>
    <w:p>
      <w:pPr>
        <w:pStyle w:val="Compact"/>
        <w:numPr>
          <w:ilvl w:val="0"/>
          <w:numId w:val="1009"/>
        </w:numPr>
      </w:pPr>
      <w:r>
        <w:t xml:space="preserve">Re-point the affected channel feed descriptor to the previous known-good signed release. The previous full installer and feed descriptor are kept for at least the two most recent Stable releases precisely so the channel can be rolled back without a rebuild.</w:t>
      </w:r>
    </w:p>
    <w:p>
      <w:pPr>
        <w:pStyle w:val="Compact"/>
        <w:numPr>
          <w:ilvl w:val="0"/>
          <w:numId w:val="1009"/>
        </w:numPr>
      </w:pPr>
      <w:r>
        <w:t xml:space="preserve">For users who already installed the defective update, publish the previous known-good version as the current release so the auto-update path pulls the older build forward as the new update.</w:t>
      </w:r>
    </w:p>
    <w:p>
      <w:pPr>
        <w:pStyle w:val="Compact"/>
        <w:numPr>
          <w:ilvl w:val="0"/>
          <w:numId w:val="1009"/>
        </w:numPr>
      </w:pPr>
      <w:r>
        <w:t xml:space="preserve">Where the defective update applied a database migration, instruct affected users — through the release notice and the in-app update message — to restore the pre-migration backup created under the backup-before-apply rule before downgrading; the runbook corrupted-database entry carries the exact restore steps.</w:t>
      </w:r>
    </w:p>
    <w:p>
      <w:pPr>
        <w:pStyle w:val="Compact"/>
        <w:numPr>
          <w:ilvl w:val="0"/>
          <w:numId w:val="1009"/>
        </w:numPr>
      </w:pPr>
      <w:r>
        <w:t xml:space="preserve">Verify the rollback by confirming the update-success signal recovers and the crash-free session signal returns to its objective.</w:t>
      </w:r>
    </w:p>
    <w:p>
      <w:pPr>
        <w:pStyle w:val="Compact"/>
        <w:numPr>
          <w:ilvl w:val="0"/>
          <w:numId w:val="1009"/>
        </w:numPr>
      </w:pPr>
      <w:r>
        <w:t xml:space="preserve">Record the rollback, its trigger, and the restored version in the release log, and feed the cause into the post-incident review.</w:t>
      </w:r>
    </w:p>
    <w:p>
      <w:pPr>
        <w:pStyle w:val="FirstParagraph"/>
      </w:pPr>
      <w:r>
        <w:t xml:space="preserve">The rollback procedure is exercised against a staging feed as part of the go-live readiness checklist so that the steps above are proven before the public Beta opens.</w:t>
      </w:r>
    </w:p>
    <w:p>
      <w:pPr>
        <w:pStyle w:val="BodyText"/>
      </w:pPr>
      <w:r>
        <w:t xml:space="preserve">\newpage</w:t>
      </w:r>
    </w:p>
    <w:bookmarkEnd w:id="34"/>
    <w:bookmarkEnd w:id="35"/>
    <w:bookmarkStart w:id="41" w:name="telemetry-and-service-levels"/>
    <w:p>
      <w:pPr>
        <w:pStyle w:val="Heading1"/>
      </w:pPr>
      <w:r>
        <w:t xml:space="preserve">Telemetry and Service Levels</w:t>
      </w:r>
    </w:p>
    <w:p>
      <w:pPr>
        <w:pStyle w:val="FirstParagraph"/>
      </w:pPr>
      <w:r>
        <w:t xml:space="preserve">This section defines what Ogma Library measures and the service-level objectives it holds itself to. Ogma Library is local-first and privacy-respecting, so telemetry is opt-in and minimized at the source. A user who does not enable telemetry sends nothing; the product remains fully functional. The service levels below therefore apply to remote surfaces the product owns — the release host and the update download — and to client-side health signals reported only by consenting users.</w:t>
      </w:r>
    </w:p>
    <w:bookmarkStart w:id="36" w:name="definitions"/>
    <w:p>
      <w:pPr>
        <w:pStyle w:val="Heading2"/>
      </w:pPr>
      <w:r>
        <w:t xml:space="preserve">Definitions</w:t>
      </w:r>
    </w:p>
    <w:p>
      <w:pPr>
        <w:pStyle w:val="FirstParagraph"/>
      </w:pPr>
      <w:r>
        <w:t xml:space="preserve">The three service-level terms are used throughout this document with these meanings:</w:t>
      </w:r>
    </w:p>
    <w:p>
      <w:pPr>
        <w:pStyle w:val="Compact"/>
        <w:numPr>
          <w:ilvl w:val="0"/>
          <w:numId w:val="1010"/>
        </w:numPr>
      </w:pPr>
      <w:r>
        <w:t xml:space="preserve">A</w:t>
      </w:r>
      <w:r>
        <w:t xml:space="preserve"> </w:t>
      </w:r>
      <w:r>
        <w:rPr>
          <w:i/>
          <w:iCs/>
        </w:rPr>
        <w:t xml:space="preserve">Service Level Indicator (SLI)</w:t>
      </w:r>
      <w:r>
        <w:t xml:space="preserve"> </w:t>
      </w:r>
      <w:r>
        <w:t xml:space="preserve">is a measured quantity that describes one aspect of the service, for example the fraction of update attempts that succeed.</w:t>
      </w:r>
    </w:p>
    <w:p>
      <w:pPr>
        <w:pStyle w:val="Compact"/>
        <w:numPr>
          <w:ilvl w:val="0"/>
          <w:numId w:val="1010"/>
        </w:numPr>
      </w:pPr>
      <w:r>
        <w:t xml:space="preserve">A</w:t>
      </w:r>
      <w:r>
        <w:t xml:space="preserve"> </w:t>
      </w:r>
      <w:r>
        <w:rPr>
          <w:i/>
          <w:iCs/>
        </w:rPr>
        <w:t xml:space="preserve">Service Level Objective (SLO)</w:t>
      </w:r>
      <w:r>
        <w:t xml:space="preserve"> </w:t>
      </w:r>
      <w:r>
        <w:t xml:space="preserve">is the target value an Service Level Indicator must meet over a stated measurement window.</w:t>
      </w:r>
    </w:p>
    <w:p>
      <w:pPr>
        <w:pStyle w:val="Compact"/>
        <w:numPr>
          <w:ilvl w:val="0"/>
          <w:numId w:val="1010"/>
        </w:numPr>
      </w:pPr>
      <w:r>
        <w:t xml:space="preserve">A</w:t>
      </w:r>
      <w:r>
        <w:t xml:space="preserve"> </w:t>
      </w:r>
      <w:r>
        <w:rPr>
          <w:i/>
          <w:iCs/>
        </w:rPr>
        <w:t xml:space="preserve">Service Level Agreement (SLA)</w:t>
      </w:r>
      <w:r>
        <w:t xml:space="preserve"> </w:t>
      </w:r>
      <w:r>
        <w:t xml:space="preserve">is an externally committed obligation with consequences. Ogma Library makes no paid availability commitment to end users for a local-first product, so the objectives below are internal SLOs, not contractual SLAs. The single external dependency with a provider-side SLA is the static release host and content delivery network, whose provider commitment is tracked but not restated here.</w:t>
      </w:r>
    </w:p>
    <w:bookmarkEnd w:id="36"/>
    <w:bookmarkStart w:id="37" w:name="telemetry-principles"/>
    <w:p>
      <w:pPr>
        <w:pStyle w:val="Heading2"/>
      </w:pPr>
      <w:r>
        <w:t xml:space="preserve">Telemetry Principles</w:t>
      </w:r>
    </w:p>
    <w:p>
      <w:pPr>
        <w:pStyle w:val="Compact"/>
        <w:numPr>
          <w:ilvl w:val="0"/>
          <w:numId w:val="1011"/>
        </w:numPr>
      </w:pPr>
      <w:r>
        <w:t xml:space="preserve">Telemetry is opt-in; the default state collects and transmits nothing off-device.</w:t>
      </w:r>
    </w:p>
    <w:p>
      <w:pPr>
        <w:pStyle w:val="Compact"/>
        <w:numPr>
          <w:ilvl w:val="0"/>
          <w:numId w:val="1011"/>
        </w:numPr>
      </w:pPr>
      <w:r>
        <w:t xml:space="preserve">The payload is minimized at the source on the device: anonymous install identifier, application version, operating-system version, exception type and stack signature, and aggregate event counters only.</w:t>
      </w:r>
    </w:p>
    <w:p>
      <w:pPr>
        <w:pStyle w:val="Compact"/>
        <w:numPr>
          <w:ilvl w:val="0"/>
          <w:numId w:val="1011"/>
        </w:numPr>
      </w:pPr>
      <w:r>
        <w:t xml:space="preserve">The payload never includes library content, file paths, file names, catalogue metadata, search queries, or AI history; the payload-preview and privacy-tier rules govern this surface.</w:t>
      </w:r>
    </w:p>
    <w:p>
      <w:pPr>
        <w:pStyle w:val="Compact"/>
        <w:numPr>
          <w:ilvl w:val="0"/>
          <w:numId w:val="1011"/>
        </w:numPr>
      </w:pPr>
      <w:r>
        <w:t xml:space="preserve">A user may disable telemetry at any time and may request erasure of previously sent reports, consistent with the data-portability and erasure domain defaults.</w:t>
      </w:r>
    </w:p>
    <w:bookmarkEnd w:id="37"/>
    <w:bookmarkStart w:id="38" w:name="service-level-objectives"/>
    <w:p>
      <w:pPr>
        <w:pStyle w:val="Heading2"/>
      </w:pPr>
      <w:r>
        <w:t xml:space="preserve">Service-Level Objectives</w:t>
      </w:r>
    </w:p>
    <w:p>
      <w:pPr>
        <w:pStyle w:val="FirstParagraph"/>
      </w:pPr>
      <w:r>
        <w:t xml:space="preserve">The objectives below are measured over a rolling 30-day window. The error budget is the share of events permitted to miss the objective in that window; exhausting an error budget triggers the runbook escalation and freezes non-essential releases on the affected channel until the indicator recovers.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Indicator (SLI)</w:t>
            </w:r>
          </w:p>
        </w:tc>
        <w:tc>
          <w:tcPr/>
          <w:p>
            <w:pPr>
              <w:pStyle w:val="Compact"/>
            </w:pPr>
            <w:r>
              <w:t xml:space="preserve">Definition</w:t>
            </w:r>
          </w:p>
        </w:tc>
        <w:tc>
          <w:tcPr/>
          <w:p>
            <w:pPr>
              <w:pStyle w:val="Compact"/>
            </w:pPr>
            <w:r>
              <w:t xml:space="preserve">Objective (SLO)</w:t>
            </w:r>
          </w:p>
        </w:tc>
        <w:tc>
          <w:tcPr/>
          <w:p>
            <w:pPr>
              <w:pStyle w:val="Compact"/>
            </w:pPr>
            <w:r>
              <w:t xml:space="preserve">Error budget</w:t>
            </w:r>
          </w:p>
        </w:tc>
      </w:tr>
      <w:tr>
        <w:tc>
          <w:tcPr/>
          <w:p>
            <w:pPr>
              <w:pStyle w:val="Compact"/>
            </w:pPr>
            <w:r>
              <w:t xml:space="preserve">Update-success rate</w:t>
            </w:r>
          </w:p>
        </w:tc>
        <w:tc>
          <w:tcPr/>
          <w:p>
            <w:pPr>
              <w:pStyle w:val="Compact"/>
            </w:pPr>
            <w:r>
              <w:t xml:space="preserve">Successful update applications divided by total update attempts reported by consenting clients</w:t>
            </w:r>
          </w:p>
        </w:tc>
        <w:tc>
          <w:tcPr/>
          <w:p>
            <w:pPr>
              <w:pStyle w:val="Compact"/>
            </w:pPr>
            <w:r>
              <w:t xml:space="preserve">At least 99.0% succeed</w:t>
            </w:r>
          </w:p>
        </w:tc>
        <w:tc>
          <w:tcPr/>
          <w:p>
            <w:pPr>
              <w:pStyle w:val="Compact"/>
            </w:pPr>
            <w:r>
              <w:t xml:space="preserve">1.0% of update attempts may fail</w:t>
            </w:r>
          </w:p>
        </w:tc>
      </w:tr>
      <w:tr>
        <w:tc>
          <w:tcPr/>
          <w:p>
            <w:pPr>
              <w:pStyle w:val="Compact"/>
            </w:pPr>
            <w:r>
              <w:t xml:space="preserve">Crash-free session rate</w:t>
            </w:r>
          </w:p>
        </w:tc>
        <w:tc>
          <w:tcPr/>
          <w:p>
            <w:pPr>
              <w:pStyle w:val="Compact"/>
            </w:pPr>
            <w:r>
              <w:t xml:space="preserve">Sessions that end without a crash divided by total sessions reported by consenting clients</w:t>
            </w:r>
          </w:p>
        </w:tc>
        <w:tc>
          <w:tcPr/>
          <w:p>
            <w:pPr>
              <w:pStyle w:val="Compact"/>
            </w:pPr>
            <w:r>
              <w:t xml:space="preserve">At least 99.5% crash-free</w:t>
            </w:r>
          </w:p>
        </w:tc>
        <w:tc>
          <w:tcPr/>
          <w:p>
            <w:pPr>
              <w:pStyle w:val="Compact"/>
            </w:pPr>
            <w:r>
              <w:t xml:space="preserve">0.5% of sessions may crash</w:t>
            </w:r>
          </w:p>
        </w:tc>
      </w:tr>
      <w:tr>
        <w:tc>
          <w:tcPr/>
          <w:p>
            <w:pPr>
              <w:pStyle w:val="Compact"/>
            </w:pPr>
            <w:r>
              <w:t xml:space="preserve">Release-host availability</w:t>
            </w:r>
          </w:p>
        </w:tc>
        <w:tc>
          <w:tcPr/>
          <w:p>
            <w:pPr>
              <w:pStyle w:val="Compact"/>
            </w:pPr>
            <w:r>
              <w:t xml:space="preserve">Successful release-host and content-delivery-network responses to feed and package requests divided by total such requests</w:t>
            </w:r>
          </w:p>
        </w:tc>
        <w:tc>
          <w:tcPr/>
          <w:p>
            <w:pPr>
              <w:pStyle w:val="Compact"/>
            </w:pPr>
            <w:r>
              <w:t xml:space="preserve">At least 99.9% available</w:t>
            </w:r>
          </w:p>
        </w:tc>
        <w:tc>
          <w:tcPr/>
          <w:p>
            <w:pPr>
              <w:pStyle w:val="Compact"/>
            </w:pPr>
            <w:r>
              <w:t xml:space="preserve">0.1% of requests may fail</w:t>
            </w:r>
          </w:p>
        </w:tc>
      </w:tr>
      <w:tr>
        <w:tc>
          <w:tcPr/>
          <w:p>
            <w:pPr>
              <w:pStyle w:val="Compact"/>
            </w:pPr>
            <w:r>
              <w:t xml:space="preserve">Median update download time</w:t>
            </w:r>
          </w:p>
        </w:tc>
        <w:tc>
          <w:tcPr/>
          <w:p>
            <w:pPr>
              <w:pStyle w:val="Compact"/>
            </w:pPr>
            <w:r>
              <w:t xml:space="preserve">Median wall-clock time to download a delta update package on a reference 25 Megabit-per-second connection</w:t>
            </w:r>
          </w:p>
        </w:tc>
        <w:tc>
          <w:tcPr/>
          <w:p>
            <w:pPr>
              <w:pStyle w:val="Compact"/>
            </w:pPr>
            <w:r>
              <w:t xml:space="preserve">At most 8 seconds at the median</w:t>
            </w:r>
          </w:p>
        </w:tc>
        <w:tc>
          <w:tcPr/>
          <w:p>
            <w:pPr>
              <w:pStyle w:val="Compact"/>
            </w:pPr>
            <w:r>
              <w:t xml:space="preserve">The objective binds at the median; the slower half is not budgeted here</w:t>
            </w:r>
          </w:p>
        </w:tc>
      </w:tr>
    </w:tbl>
    <w:bookmarkEnd w:id="38"/>
    <w:bookmarkStart w:id="39" w:name="indicator-details"/>
    <w:p>
      <w:pPr>
        <w:pStyle w:val="Heading2"/>
      </w:pPr>
      <w:r>
        <w:t xml:space="preserve">Indicator Details</w:t>
      </w:r>
    </w:p>
    <w:p>
      <w:pPr>
        <w:pStyle w:val="Compact"/>
        <w:numPr>
          <w:ilvl w:val="0"/>
          <w:numId w:val="1012"/>
        </w:numPr>
      </w:pPr>
      <w:r>
        <w:rPr>
          <w:b/>
          <w:bCs/>
        </w:rPr>
        <w:t xml:space="preserve">Update-success rate (SLI):</w:t>
      </w:r>
      <w:r>
        <w:t xml:space="preserve"> </w:t>
      </w:r>
      <w:r>
        <w:t xml:space="preserve">an update attempt is counted when the installed application fetches a new descriptor and begins applying the package; success requires signature verification to pass and the new version to launch once. A signature-verification failure counts against this objective and also raises the malicious-update path in the runbook. The 99.0% SLO leaves a 1.0% error budget; sustained breach freezes the affected channel's releases.</w:t>
      </w:r>
    </w:p>
    <w:p>
      <w:pPr>
        <w:pStyle w:val="Compact"/>
        <w:numPr>
          <w:ilvl w:val="0"/>
          <w:numId w:val="1012"/>
        </w:numPr>
      </w:pPr>
      <w:r>
        <w:rPr>
          <w:b/>
          <w:bCs/>
        </w:rPr>
        <w:t xml:space="preserve">Crash-free session rate (SLI):</w:t>
      </w:r>
      <w:r>
        <w:t xml:space="preserve"> </w:t>
      </w:r>
      <w:r>
        <w:t xml:space="preserve">a session spans application launch to clean exit; a session that terminates through an unhandled exception is a crash. The 99.5% SLO is the productivity-domain crash-free target. A breach of the 0.5% error budget triggers the crash-spike runbook entry and its escalation.</w:t>
      </w:r>
    </w:p>
    <w:p>
      <w:pPr>
        <w:pStyle w:val="Compact"/>
        <w:numPr>
          <w:ilvl w:val="0"/>
          <w:numId w:val="1012"/>
        </w:numPr>
      </w:pPr>
      <w:r>
        <w:rPr>
          <w:b/>
          <w:bCs/>
        </w:rPr>
        <w:t xml:space="preserve">Release-host availability (SLI):</w:t>
      </w:r>
      <w:r>
        <w:t xml:space="preserve"> </w:t>
      </w:r>
      <w:r>
        <w:t xml:space="preserve">measured from synthetic probes of the feed and package paths plus consenting-client fetch outcomes. The 99.9% SLO over 30 days permits roughly 43 minutes of unavailability. Because availability depends on the content-delivery-network provider, a breach is escalated to the provider under its own agreement.</w:t>
      </w:r>
    </w:p>
    <w:p>
      <w:pPr>
        <w:pStyle w:val="Compact"/>
        <w:numPr>
          <w:ilvl w:val="0"/>
          <w:numId w:val="1012"/>
        </w:numPr>
      </w:pPr>
      <w:r>
        <w:rPr>
          <w:b/>
          <w:bCs/>
        </w:rPr>
        <w:t xml:space="preserve">Median update download time (SLI):</w:t>
      </w:r>
      <w:r>
        <w:t xml:space="preserve"> </w:t>
      </w:r>
      <w:r>
        <w:t xml:space="preserve">measured on consenting clients and normalized to a reference 25 Megabit-per-second connection so that the delta-update size, not the user's link, is the variable under control. A median above 8 seconds signals that delta packaging has regressed and is investigated through the deployment pipeline.</w:t>
      </w:r>
    </w:p>
    <w:bookmarkEnd w:id="39"/>
    <w:bookmarkStart w:id="40" w:name="reporting-and-review"/>
    <w:p>
      <w:pPr>
        <w:pStyle w:val="Heading2"/>
      </w:pPr>
      <w:r>
        <w:t xml:space="preserve">Reporting and Review</w:t>
      </w:r>
    </w:p>
    <w:p>
      <w:pPr>
        <w:pStyle w:val="FirstParagraph"/>
      </w:pPr>
      <w:r>
        <w:t xml:space="preserve">The four indicators are reviewed at each release-gate sign-off and at the close of each 30-day window. A window in which any error budget is exhausted is recorded, its cause analysed in the post-incident review described in</w:t>
      </w:r>
      <w:r>
        <w:t xml:space="preserve"> </w:t>
      </w:r>
      <w:r>
        <w:rPr>
          <w:rStyle w:val="VerbatimChar"/>
        </w:rPr>
        <w:t xml:space="preserve">infrastructure.md</w:t>
      </w:r>
      <w:r>
        <w:t xml:space="preserve">, and the corrective action tracked to closure before the next Stable change window.</w:t>
      </w:r>
    </w:p>
    <w:p>
      <w:pPr>
        <w:pStyle w:val="BodyText"/>
      </w:pPr>
      <w:r>
        <w:t xml:space="preserve">\newpage</w:t>
      </w:r>
    </w:p>
    <w:bookmarkEnd w:id="40"/>
    <w:bookmarkEnd w:id="41"/>
    <w:bookmarkStart w:id="49" w:name="operational-runbook"/>
    <w:p>
      <w:pPr>
        <w:pStyle w:val="Heading1"/>
      </w:pPr>
      <w:r>
        <w:t xml:space="preserve">Operational Runbook</w:t>
      </w:r>
    </w:p>
    <w:p>
      <w:pPr>
        <w:pStyle w:val="FirstParagraph"/>
      </w:pPr>
      <w:r>
        <w:t xml:space="preserve">This runbook gives the responder a deterministic procedure for each common Ogma Library incident. Because Ogma Library runs on the user's device, most incidents are diagnosed from opt-in telemetry signals and user reports rather than from a server console. Each entry states the trigger, the diagnosis, and the recovery steps. The escalation path in the final section binds all entries.</w:t>
      </w:r>
    </w:p>
    <w:bookmarkStart w:id="42" w:name="incident-severity"/>
    <w:p>
      <w:pPr>
        <w:pStyle w:val="Heading2"/>
      </w:pPr>
      <w:r>
        <w:t xml:space="preserve">Incident Severity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Initial response time</w:t>
            </w:r>
          </w:p>
        </w:tc>
      </w:tr>
      <w:tr>
        <w:tc>
          <w:tcPr/>
          <w:p>
            <w:pPr>
              <w:pStyle w:val="Compact"/>
            </w:pPr>
            <w:r>
              <w:t xml:space="preserve">SEV-1</w:t>
            </w:r>
          </w:p>
        </w:tc>
        <w:tc>
          <w:tcPr/>
          <w:p>
            <w:pPr>
              <w:pStyle w:val="Compact"/>
            </w:pPr>
            <w:r>
              <w:t xml:space="preserve">Signing-key compromise, a malicious-update report, or an update that crashes the application on launch for a population of users</w:t>
            </w:r>
          </w:p>
        </w:tc>
        <w:tc>
          <w:tcPr/>
          <w:p>
            <w:pPr>
              <w:pStyle w:val="Compact"/>
            </w:pPr>
            <w:r>
              <w:t xml:space="preserve">Within 15 minutes</w:t>
            </w:r>
          </w:p>
        </w:tc>
      </w:tr>
      <w:tr>
        <w:tc>
          <w:tcPr/>
          <w:p>
            <w:pPr>
              <w:pStyle w:val="Compact"/>
            </w:pPr>
            <w:r>
              <w:t xml:space="preserve">SEV-2</w:t>
            </w:r>
          </w:p>
        </w:tc>
        <w:tc>
          <w:tcPr/>
          <w:p>
            <w:pPr>
              <w:pStyle w:val="Compact"/>
            </w:pPr>
            <w:r>
              <w:t xml:space="preserve">Crash spike above the error budget, or a failed-update rate breaching its objective on a live channel</w:t>
            </w:r>
          </w:p>
        </w:tc>
        <w:tc>
          <w:tcPr/>
          <w:p>
            <w:pPr>
              <w:pStyle w:val="Compact"/>
            </w:pPr>
            <w:r>
              <w:t xml:space="preserve">Within 1 hour</w:t>
            </w:r>
          </w:p>
        </w:tc>
      </w:tr>
      <w:tr>
        <w:tc>
          <w:tcPr/>
          <w:p>
            <w:pPr>
              <w:pStyle w:val="Compact"/>
            </w:pPr>
            <w:r>
              <w:t xml:space="preserve">SEV-3</w:t>
            </w:r>
          </w:p>
        </w:tc>
        <w:tc>
          <w:tcPr/>
          <w:p>
            <w:pPr>
              <w:pStyle w:val="Compact"/>
            </w:pPr>
            <w:r>
              <w:t xml:space="preserve">A single user's corrupted local database or a non-blocking update failure</w:t>
            </w:r>
          </w:p>
        </w:tc>
        <w:tc>
          <w:tcPr/>
          <w:p>
            <w:pPr>
              <w:pStyle w:val="Compact"/>
            </w:pPr>
            <w:r>
              <w:t xml:space="preserve">Within 1 business day</w:t>
            </w:r>
          </w:p>
        </w:tc>
      </w:tr>
    </w:tbl>
    <w:bookmarkEnd w:id="42"/>
    <w:bookmarkStart w:id="43" w:name="failed-update"/>
    <w:p>
      <w:pPr>
        <w:pStyle w:val="Heading2"/>
      </w:pPr>
      <w:r>
        <w:t xml:space="preserve">Failed Update</w:t>
      </w:r>
    </w:p>
    <w:p>
      <w:pPr>
        <w:pStyle w:val="Compact"/>
        <w:numPr>
          <w:ilvl w:val="0"/>
          <w:numId w:val="1013"/>
        </w:numPr>
      </w:pPr>
      <w:r>
        <w:rPr>
          <w:b/>
          <w:bCs/>
        </w:rPr>
        <w:t xml:space="preserve">Trigger:</w:t>
      </w:r>
      <w:r>
        <w:t xml:space="preserve"> </w:t>
      </w:r>
      <w:r>
        <w:t xml:space="preserve">the update-success indicator breaches its objective, or users report that the update will not install.</w:t>
      </w:r>
    </w:p>
    <w:p>
      <w:pPr>
        <w:pStyle w:val="Compact"/>
        <w:numPr>
          <w:ilvl w:val="0"/>
          <w:numId w:val="1013"/>
        </w:numPr>
      </w:pPr>
      <w:r>
        <w:rPr>
          <w:b/>
          <w:bCs/>
        </w:rPr>
        <w:t xml:space="preserve">Diagnose:</w:t>
      </w:r>
      <w:r>
        <w:t xml:space="preserve"> </w:t>
      </w:r>
      <w:r>
        <w:t xml:space="preserve">confirm whether the failure is a signature-verification rejection, a download failure, or a post-install launch failure, using the crash-report sink and the release-host logs.</w:t>
      </w:r>
    </w:p>
    <w:p>
      <w:pPr>
        <w:pStyle w:val="Compact"/>
        <w:numPr>
          <w:ilvl w:val="0"/>
          <w:numId w:val="1013"/>
        </w:numPr>
      </w:pPr>
      <w:r>
        <w:rPr>
          <w:b/>
          <w:bCs/>
        </w:rPr>
        <w:t xml:space="preserve">Recover:</w:t>
      </w:r>
    </w:p>
    <w:p>
      <w:pPr>
        <w:pStyle w:val="Compact"/>
        <w:numPr>
          <w:ilvl w:val="0"/>
          <w:numId w:val="1014"/>
        </w:numPr>
      </w:pPr>
      <w:r>
        <w:t xml:space="preserve">If signature verification is rejecting a legitimate package, treat it as a SEV-1 signing incident and follow the malicious-update report entry, because a verification failure may indicate a tampered feed.</w:t>
      </w:r>
    </w:p>
    <w:p>
      <w:pPr>
        <w:pStyle w:val="Compact"/>
        <w:numPr>
          <w:ilvl w:val="0"/>
          <w:numId w:val="1014"/>
        </w:numPr>
      </w:pPr>
      <w:r>
        <w:t xml:space="preserve">If the package downloads but the new version fails to launch, freeze the channel and execute the rollback procedure in</w:t>
      </w:r>
      <w:r>
        <w:t xml:space="preserve"> </w:t>
      </w:r>
      <w:r>
        <w:rPr>
          <w:rStyle w:val="VerbatimChar"/>
        </w:rPr>
        <w:t xml:space="preserve">deployment-guide.md</w:t>
      </w:r>
      <w:r>
        <w:t xml:space="preserve">.</w:t>
      </w:r>
    </w:p>
    <w:p>
      <w:pPr>
        <w:pStyle w:val="Compact"/>
        <w:numPr>
          <w:ilvl w:val="0"/>
          <w:numId w:val="1014"/>
        </w:numPr>
      </w:pPr>
      <w:r>
        <w:t xml:space="preserve">If the release host is failing to serve packages, follow the release-host outage path and escalate to the content-delivery-network provider.</w:t>
      </w:r>
    </w:p>
    <w:p>
      <w:pPr>
        <w:pStyle w:val="Compact"/>
        <w:numPr>
          <w:ilvl w:val="0"/>
          <w:numId w:val="1014"/>
        </w:numPr>
      </w:pPr>
      <w:r>
        <w:t xml:space="preserve">Confirm recovery by watching the update-success indicator return to its objective.</w:t>
      </w:r>
    </w:p>
    <w:bookmarkEnd w:id="43"/>
    <w:bookmarkStart w:id="44" w:name="corrupted-local-database"/>
    <w:p>
      <w:pPr>
        <w:pStyle w:val="Heading2"/>
      </w:pPr>
      <w:r>
        <w:t xml:space="preserve">Corrupted Local Database</w:t>
      </w:r>
    </w:p>
    <w:p>
      <w:pPr>
        <w:pStyle w:val="Compact"/>
        <w:numPr>
          <w:ilvl w:val="0"/>
          <w:numId w:val="1015"/>
        </w:numPr>
      </w:pPr>
      <w:r>
        <w:rPr>
          <w:b/>
          <w:bCs/>
        </w:rPr>
        <w:t xml:space="preserve">Trigger:</w:t>
      </w:r>
      <w:r>
        <w:t xml:space="preserve"> </w:t>
      </w:r>
      <w:r>
        <w:t xml:space="preserve">a user reports that the catalogue of record will not open, or the application reports an integrity failure on the local database at launch.</w:t>
      </w:r>
    </w:p>
    <w:p>
      <w:pPr>
        <w:pStyle w:val="Compact"/>
        <w:numPr>
          <w:ilvl w:val="0"/>
          <w:numId w:val="1015"/>
        </w:numPr>
      </w:pPr>
      <w:r>
        <w:rPr>
          <w:b/>
          <w:bCs/>
        </w:rPr>
        <w:t xml:space="preserve">Diagnose:</w:t>
      </w:r>
      <w:r>
        <w:t xml:space="preserve"> </w:t>
      </w:r>
      <w:r>
        <w:t xml:space="preserve">determine whether a backup exists from the most recent backup-before-apply migration step and whether the corruption followed an update.</w:t>
      </w:r>
    </w:p>
    <w:p>
      <w:pPr>
        <w:pStyle w:val="Compact"/>
        <w:numPr>
          <w:ilvl w:val="0"/>
          <w:numId w:val="1015"/>
        </w:numPr>
      </w:pPr>
      <w:r>
        <w:rPr>
          <w:b/>
          <w:bCs/>
        </w:rPr>
        <w:t xml:space="preserve">Recover:</w:t>
      </w:r>
    </w:p>
    <w:p>
      <w:pPr>
        <w:pStyle w:val="Compact"/>
        <w:numPr>
          <w:ilvl w:val="0"/>
          <w:numId w:val="1016"/>
        </w:numPr>
      </w:pPr>
      <w:r>
        <w:t xml:space="preserve">Instruct the user to close the application so no process holds the database file.</w:t>
      </w:r>
    </w:p>
    <w:p>
      <w:pPr>
        <w:pStyle w:val="Compact"/>
        <w:numPr>
          <w:ilvl w:val="0"/>
          <w:numId w:val="1016"/>
        </w:numPr>
      </w:pPr>
      <w:r>
        <w:t xml:space="preserve">Restore the most recent timestamped backup of the catalogue-of-record database and the sidecar asset folder index created under the backup-before-apply rule.</w:t>
      </w:r>
    </w:p>
    <w:p>
      <w:pPr>
        <w:pStyle w:val="Compact"/>
        <w:numPr>
          <w:ilvl w:val="0"/>
          <w:numId w:val="1016"/>
        </w:numPr>
      </w:pPr>
      <w:r>
        <w:t xml:space="preserve">If no backup exists, rebuild the derived state: re-scan the library folder to repopulate file records and rebuild the search index from source, which is a supported, non-destructive recovery because files remain the user's files.</w:t>
      </w:r>
    </w:p>
    <w:p>
      <w:pPr>
        <w:pStyle w:val="Compact"/>
        <w:numPr>
          <w:ilvl w:val="0"/>
          <w:numId w:val="1016"/>
        </w:numPr>
      </w:pPr>
      <w:r>
        <w:t xml:space="preserve">If the corruption followed an update, escalate to the failed-update entry and consider a rollback for the affected release.</w:t>
      </w:r>
    </w:p>
    <w:bookmarkEnd w:id="44"/>
    <w:bookmarkStart w:id="45" w:name="crash-spike"/>
    <w:p>
      <w:pPr>
        <w:pStyle w:val="Heading2"/>
      </w:pPr>
      <w:r>
        <w:t xml:space="preserve">Crash Spike</w:t>
      </w:r>
    </w:p>
    <w:p>
      <w:pPr>
        <w:pStyle w:val="Compact"/>
        <w:numPr>
          <w:ilvl w:val="0"/>
          <w:numId w:val="1017"/>
        </w:numPr>
      </w:pPr>
      <w:r>
        <w:rPr>
          <w:b/>
          <w:bCs/>
        </w:rPr>
        <w:t xml:space="preserve">Trigger:</w:t>
      </w:r>
      <w:r>
        <w:t xml:space="preserve"> </w:t>
      </w:r>
      <w:r>
        <w:t xml:space="preserve">the crash-free session indicator breaches its 0.5% error budget on a live channel.</w:t>
      </w:r>
    </w:p>
    <w:p>
      <w:pPr>
        <w:pStyle w:val="Compact"/>
        <w:numPr>
          <w:ilvl w:val="0"/>
          <w:numId w:val="1017"/>
        </w:numPr>
      </w:pPr>
      <w:r>
        <w:rPr>
          <w:b/>
          <w:bCs/>
        </w:rPr>
        <w:t xml:space="preserve">Diagnose:</w:t>
      </w:r>
      <w:r>
        <w:t xml:space="preserve"> </w:t>
      </w:r>
      <w:r>
        <w:t xml:space="preserve">group crash-report stack signatures to find the dominant fault and correlate it with the most recent release on the channel.</w:t>
      </w:r>
    </w:p>
    <w:p>
      <w:pPr>
        <w:pStyle w:val="Compact"/>
        <w:numPr>
          <w:ilvl w:val="0"/>
          <w:numId w:val="1017"/>
        </w:numPr>
      </w:pPr>
      <w:r>
        <w:rPr>
          <w:b/>
          <w:bCs/>
        </w:rPr>
        <w:t xml:space="preserve">Recover:</w:t>
      </w:r>
    </w:p>
    <w:p>
      <w:pPr>
        <w:pStyle w:val="Compact"/>
        <w:numPr>
          <w:ilvl w:val="0"/>
          <w:numId w:val="1018"/>
        </w:numPr>
      </w:pPr>
      <w:r>
        <w:t xml:space="preserve">Declare a SEV-2 incident and assign an incident owner.</w:t>
      </w:r>
    </w:p>
    <w:p>
      <w:pPr>
        <w:pStyle w:val="Compact"/>
        <w:numPr>
          <w:ilvl w:val="0"/>
          <w:numId w:val="1018"/>
        </w:numPr>
      </w:pPr>
      <w:r>
        <w:t xml:space="preserve">If the dominant signature correlates with the latest release, freeze the channel and execute the rollback procedure in</w:t>
      </w:r>
      <w:r>
        <w:t xml:space="preserve"> </w:t>
      </w:r>
      <w:r>
        <w:rPr>
          <w:rStyle w:val="VerbatimChar"/>
        </w:rPr>
        <w:t xml:space="preserve">deployment-guide.md</w:t>
      </w:r>
      <w:r>
        <w:t xml:space="preserve">.</w:t>
      </w:r>
    </w:p>
    <w:p>
      <w:pPr>
        <w:pStyle w:val="Compact"/>
        <w:numPr>
          <w:ilvl w:val="0"/>
          <w:numId w:val="1018"/>
        </w:numPr>
      </w:pPr>
      <w:r>
        <w:t xml:space="preserve">If the crash is environment-specific rather than release-specific, prepare a targeted fix for the next change window.</w:t>
      </w:r>
    </w:p>
    <w:p>
      <w:pPr>
        <w:pStyle w:val="Compact"/>
        <w:numPr>
          <w:ilvl w:val="0"/>
          <w:numId w:val="1018"/>
        </w:numPr>
      </w:pPr>
      <w:r>
        <w:t xml:space="preserve">Confirm recovery by watching the crash-free session indicator return to its 99.5% objective.</w:t>
      </w:r>
    </w:p>
    <w:bookmarkEnd w:id="45"/>
    <w:bookmarkStart w:id="46" w:name="signing-certificate-expiry"/>
    <w:p>
      <w:pPr>
        <w:pStyle w:val="Heading2"/>
      </w:pPr>
      <w:r>
        <w:t xml:space="preserve">Signing-Certificate Expiry</w:t>
      </w:r>
    </w:p>
    <w:p>
      <w:pPr>
        <w:pStyle w:val="Compact"/>
        <w:numPr>
          <w:ilvl w:val="0"/>
          <w:numId w:val="1019"/>
        </w:numPr>
      </w:pPr>
      <w:r>
        <w:rPr>
          <w:b/>
          <w:bCs/>
        </w:rPr>
        <w:t xml:space="preserve">Trigger:</w:t>
      </w:r>
      <w:r>
        <w:t xml:space="preserve"> </w:t>
      </w:r>
      <w:r>
        <w:t xml:space="preserve">a monitored expiry alert for the Windows Authenticode certificate or the Apple Developer ID certificate, or a build that fails to sign.</w:t>
      </w:r>
    </w:p>
    <w:p>
      <w:pPr>
        <w:pStyle w:val="Compact"/>
        <w:numPr>
          <w:ilvl w:val="0"/>
          <w:numId w:val="1019"/>
        </w:numPr>
      </w:pPr>
      <w:r>
        <w:rPr>
          <w:b/>
          <w:bCs/>
        </w:rPr>
        <w:t xml:space="preserve">Diagnose:</w:t>
      </w:r>
      <w:r>
        <w:t xml:space="preserve"> </w:t>
      </w:r>
      <w:r>
        <w:t xml:space="preserve">confirm the affected certificate and its remaining validity from the code-signing key store.</w:t>
      </w:r>
    </w:p>
    <w:p>
      <w:pPr>
        <w:pStyle w:val="Compact"/>
        <w:numPr>
          <w:ilvl w:val="0"/>
          <w:numId w:val="1019"/>
        </w:numPr>
      </w:pPr>
      <w:r>
        <w:rPr>
          <w:b/>
          <w:bCs/>
        </w:rPr>
        <w:t xml:space="preserve">Recover:</w:t>
      </w:r>
    </w:p>
    <w:p>
      <w:pPr>
        <w:pStyle w:val="Compact"/>
        <w:numPr>
          <w:ilvl w:val="0"/>
          <w:numId w:val="1020"/>
        </w:numPr>
      </w:pPr>
      <w:r>
        <w:t xml:space="preserve">Provision and install the renewed certificate into the hardware security module or platform secure store before the existing certificate expires; renewal is scheduled at least 30 days ahead.</w:t>
      </w:r>
    </w:p>
    <w:p>
      <w:pPr>
        <w:pStyle w:val="Compact"/>
        <w:numPr>
          <w:ilvl w:val="0"/>
          <w:numId w:val="1020"/>
        </w:numPr>
      </w:pPr>
      <w:r>
        <w:t xml:space="preserve">Re-run a Dev build to confirm signing and notarization succeed with the renewed material.</w:t>
      </w:r>
    </w:p>
    <w:p>
      <w:pPr>
        <w:pStyle w:val="Compact"/>
        <w:numPr>
          <w:ilvl w:val="0"/>
          <w:numId w:val="1020"/>
        </w:numPr>
      </w:pPr>
      <w:r>
        <w:t xml:space="preserve">If a certificate has already expired and releases are blocked, treat it as a SEV-1 because the release path is down, and follow the escalation path.</w:t>
      </w:r>
    </w:p>
    <w:bookmarkEnd w:id="46"/>
    <w:bookmarkStart w:id="47" w:name="malicious-update-report"/>
    <w:p>
      <w:pPr>
        <w:pStyle w:val="Heading2"/>
      </w:pPr>
      <w:r>
        <w:t xml:space="preserve">Malicious-Update Report</w:t>
      </w:r>
    </w:p>
    <w:p>
      <w:pPr>
        <w:pStyle w:val="Compact"/>
        <w:numPr>
          <w:ilvl w:val="0"/>
          <w:numId w:val="1021"/>
        </w:numPr>
      </w:pPr>
      <w:r>
        <w:rPr>
          <w:b/>
          <w:bCs/>
        </w:rPr>
        <w:t xml:space="preserve">Trigger:</w:t>
      </w:r>
      <w:r>
        <w:t xml:space="preserve"> </w:t>
      </w:r>
      <w:r>
        <w:t xml:space="preserve">a credible report that a tampered or malicious package is being served from an Ogma Library channel, a key-store access alert, or a signature-verification failure pattern across clients.</w:t>
      </w:r>
    </w:p>
    <w:p>
      <w:pPr>
        <w:pStyle w:val="Compact"/>
        <w:numPr>
          <w:ilvl w:val="0"/>
          <w:numId w:val="1021"/>
        </w:numPr>
      </w:pPr>
      <w:r>
        <w:rPr>
          <w:b/>
          <w:bCs/>
        </w:rPr>
        <w:t xml:space="preserve">Diagnose:</w:t>
      </w:r>
      <w:r>
        <w:t xml:space="preserve"> </w:t>
      </w:r>
      <w:r>
        <w:t xml:space="preserve">verify the served descriptor and package signatures against the expected signing material and inspect key-store access logs for unauthorized use.</w:t>
      </w:r>
    </w:p>
    <w:p>
      <w:pPr>
        <w:pStyle w:val="Compact"/>
        <w:numPr>
          <w:ilvl w:val="0"/>
          <w:numId w:val="1021"/>
        </w:numPr>
      </w:pPr>
      <w:r>
        <w:rPr>
          <w:b/>
          <w:bCs/>
        </w:rPr>
        <w:t xml:space="preserve">Recover:</w:t>
      </w:r>
      <w:r>
        <w:t xml:space="preserve"> </w:t>
      </w:r>
      <w:r>
        <w:t xml:space="preserve">follow the incident-response flow in</w:t>
      </w:r>
      <w:r>
        <w:t xml:space="preserve"> </w:t>
      </w:r>
      <w:r>
        <w:rPr>
          <w:rStyle w:val="VerbatimChar"/>
        </w:rPr>
        <w:t xml:space="preserve">infrastructure.md</w:t>
      </w:r>
      <w:r>
        <w:t xml:space="preserve"> </w:t>
      </w:r>
      <w:r>
        <w:t xml:space="preserve">— detect, triage, contain, eradicate, recover, review:</w:t>
      </w:r>
    </w:p>
    <w:p>
      <w:pPr>
        <w:pStyle w:val="Compact"/>
        <w:numPr>
          <w:ilvl w:val="0"/>
          <w:numId w:val="1022"/>
        </w:numPr>
      </w:pPr>
      <w:r>
        <w:t xml:space="preserve">Contain by suspending publishing, pulling the affected feed descriptor, and freezing or revoking the signing key.</w:t>
      </w:r>
    </w:p>
    <w:p>
      <w:pPr>
        <w:pStyle w:val="Compact"/>
        <w:numPr>
          <w:ilvl w:val="0"/>
          <w:numId w:val="1022"/>
        </w:numPr>
      </w:pPr>
      <w:r>
        <w:t xml:space="preserve">Eradicate by rotating signing material, rebuilding from a clean runner, and removing the bad package.</w:t>
      </w:r>
    </w:p>
    <w:p>
      <w:pPr>
        <w:pStyle w:val="Compact"/>
        <w:numPr>
          <w:ilvl w:val="0"/>
          <w:numId w:val="1022"/>
        </w:numPr>
      </w:pPr>
      <w:r>
        <w:t xml:space="preserve">Recover by publishing a signed corrective release and re-pointing the channel to it.</w:t>
      </w:r>
    </w:p>
    <w:p>
      <w:pPr>
        <w:pStyle w:val="Compact"/>
        <w:numPr>
          <w:ilvl w:val="0"/>
          <w:numId w:val="1022"/>
        </w:numPr>
      </w:pPr>
      <w:r>
        <w:t xml:space="preserve">Review the incident and update this runbook and the incident-response flow.</w:t>
      </w:r>
    </w:p>
    <w:bookmarkEnd w:id="47"/>
    <w:bookmarkStart w:id="48" w:name="escalation-path"/>
    <w:p>
      <w:pPr>
        <w:pStyle w:val="Heading2"/>
      </w:pPr>
      <w:r>
        <w:t xml:space="preserve">Escalation Path</w:t>
      </w:r>
    </w:p>
    <w:p>
      <w:pPr>
        <w:pStyle w:val="FirstParagraph"/>
      </w:pPr>
      <w:r>
        <w:t xml:space="preserve">Every entry above uses this escalation path. Escalation moves up a tier when the response-time target for the severity is missed or when the responder cannot contain the incident.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Role</w:t>
            </w:r>
          </w:p>
        </w:tc>
        <w:tc>
          <w:tcPr/>
          <w:p>
            <w:pPr>
              <w:pStyle w:val="Compact"/>
            </w:pPr>
            <w:r>
              <w:t xml:space="preserve">Owner</w:t>
            </w:r>
          </w:p>
        </w:tc>
        <w:tc>
          <w:tcPr/>
          <w:p>
            <w:pPr>
              <w:pStyle w:val="Compact"/>
            </w:pPr>
            <w:r>
              <w:t xml:space="preserve">Engaged when</w:t>
            </w:r>
          </w:p>
        </w:tc>
      </w:tr>
      <w:tr>
        <w:tc>
          <w:tcPr/>
          <w:p>
            <w:pPr>
              <w:pStyle w:val="Compact"/>
            </w:pPr>
            <w:r>
              <w:t xml:space="preserve">Tier 1</w:t>
            </w:r>
          </w:p>
        </w:tc>
        <w:tc>
          <w:tcPr/>
          <w:p>
            <w:pPr>
              <w:pStyle w:val="Compact"/>
            </w:pPr>
            <w:r>
              <w:t xml:space="preserve">Release on-call</w:t>
            </w:r>
          </w:p>
        </w:tc>
        <w:tc>
          <w:tcPr/>
          <w:p>
            <w:pPr>
              <w:pStyle w:val="Compact"/>
            </w:pPr>
            <w:r>
              <w:t xml:space="preserve">Peter Bamuhigire</w:t>
            </w:r>
          </w:p>
        </w:tc>
        <w:tc>
          <w:tcPr/>
          <w:p>
            <w:pPr>
              <w:pStyle w:val="Compact"/>
            </w:pPr>
            <w:r>
              <w:t xml:space="preserve">First responder for every incident at declaration</w:t>
            </w:r>
          </w:p>
        </w:tc>
      </w:tr>
      <w:tr>
        <w:tc>
          <w:tcPr/>
          <w:p>
            <w:pPr>
              <w:pStyle w:val="Compact"/>
            </w:pPr>
            <w:r>
              <w:t xml:space="preserve">Tier 2</w:t>
            </w:r>
          </w:p>
        </w:tc>
        <w:tc>
          <w:tcPr/>
          <w:p>
            <w:pPr>
              <w:pStyle w:val="Compact"/>
            </w:pPr>
            <w:r>
              <w:t xml:space="preserve">Release owner</w:t>
            </w:r>
          </w:p>
        </w:tc>
        <w:tc>
          <w:tcPr/>
          <w:p>
            <w:pPr>
              <w:pStyle w:val="Compact"/>
            </w:pPr>
            <w:r>
              <w:t xml:space="preserve">Peter Bamuhigire</w:t>
            </w:r>
          </w:p>
        </w:tc>
        <w:tc>
          <w:tcPr/>
          <w:p>
            <w:pPr>
              <w:pStyle w:val="Compact"/>
            </w:pPr>
            <w:r>
              <w:t xml:space="preserve">A SEV-1 at declaration, or any incident whose initial response time is missed</w:t>
            </w:r>
          </w:p>
        </w:tc>
      </w:tr>
      <w:tr>
        <w:tc>
          <w:tcPr/>
          <w:p>
            <w:pPr>
              <w:pStyle w:val="Compact"/>
            </w:pPr>
            <w:r>
              <w:t xml:space="preserve">Tier 3</w:t>
            </w:r>
          </w:p>
        </w:tc>
        <w:tc>
          <w:tcPr/>
          <w:p>
            <w:pPr>
              <w:pStyle w:val="Compact"/>
            </w:pPr>
            <w:r>
              <w:t xml:space="preserve">Chwezi Core Systems incident lead</w:t>
            </w:r>
          </w:p>
        </w:tc>
        <w:tc>
          <w:tcPr/>
          <w:p>
            <w:pPr>
              <w:pStyle w:val="Compact"/>
            </w:pPr>
            <w:r>
              <w:t xml:space="preserve">Chwezi Core Systems</w:t>
            </w:r>
          </w:p>
        </w:tc>
        <w:tc>
          <w:tcPr/>
          <w:p>
            <w:pPr>
              <w:pStyle w:val="Compact"/>
            </w:pPr>
            <w:r>
              <w:t xml:space="preserve">A signing-key compromise or malicious-update report, or a SEV-1 not contained within 1 hour</w:t>
            </w:r>
          </w:p>
        </w:tc>
      </w:tr>
      <w:tr>
        <w:tc>
          <w:tcPr/>
          <w:p>
            <w:pPr>
              <w:pStyle w:val="Compact"/>
            </w:pPr>
            <w:r>
              <w:t xml:space="preserve">External</w:t>
            </w:r>
          </w:p>
        </w:tc>
        <w:tc>
          <w:tcPr/>
          <w:p>
            <w:pPr>
              <w:pStyle w:val="Compact"/>
            </w:pPr>
            <w:r>
              <w:t xml:space="preserve">Content-delivery-network provider, Microsoft Store, or Apple</w:t>
            </w:r>
          </w:p>
        </w:tc>
        <w:tc>
          <w:tcPr/>
          <w:p>
            <w:pPr>
              <w:pStyle w:val="Compact"/>
            </w:pPr>
            <w:r>
              <w:t xml:space="preserve">Respective provider</w:t>
            </w:r>
          </w:p>
        </w:tc>
        <w:tc>
          <w:tcPr/>
          <w:p>
            <w:pPr>
              <w:pStyle w:val="Compact"/>
            </w:pPr>
            <w:r>
              <w:t xml:space="preserve">A release-host outage, a Store-listing takedown, or a notarization-service failure outside Ogma Library's control</w:t>
            </w:r>
          </w:p>
        </w:tc>
      </w:tr>
    </w:tbl>
    <w:p>
      <w:pPr>
        <w:pStyle w:val="Compact"/>
        <w:numPr>
          <w:ilvl w:val="0"/>
          <w:numId w:val="1023"/>
        </w:numPr>
      </w:pPr>
      <w:r>
        <w:t xml:space="preserve">A SEV-1 is escalated to Tier 2 and Tier 3 at declaration, in parallel, without waiting for the response-time target to lapse.</w:t>
      </w:r>
    </w:p>
    <w:p>
      <w:pPr>
        <w:pStyle w:val="Compact"/>
        <w:numPr>
          <w:ilvl w:val="0"/>
          <w:numId w:val="1023"/>
        </w:numPr>
      </w:pPr>
      <w:r>
        <w:t xml:space="preserve">The Tier 1 responder records the incident timeline, the actions taken, and the outcome in the local release log and opens the post-incident review.</w:t>
      </w:r>
    </w:p>
    <w:p>
      <w:pPr>
        <w:pStyle w:val="Compact"/>
        <w:numPr>
          <w:ilvl w:val="0"/>
          <w:numId w:val="1023"/>
        </w:numPr>
      </w:pPr>
      <w:r>
        <w:t xml:space="preserve">Escalation to an external provider is tracked under that provider's own agreement; the internal incident remains open until the external dependency is resolved and the affected indicator recovers.</w:t>
      </w:r>
    </w:p>
    <w:p>
      <w:pPr>
        <w:pStyle w:val="FirstParagraph"/>
      </w:pPr>
      <w:r>
        <w:t xml:space="preserve">\newpage</w:t>
      </w:r>
    </w:p>
    <w:bookmarkEnd w:id="48"/>
    <w:bookmarkEnd w:id="49"/>
    <w:bookmarkStart w:id="53" w:name="public-beta-go-live-readiness-checklist"/>
    <w:p>
      <w:pPr>
        <w:pStyle w:val="Heading1"/>
      </w:pPr>
      <w:r>
        <w:t xml:space="preserve">Public-Beta Go-Live Readiness Checklist</w:t>
      </w:r>
    </w:p>
    <w:p>
      <w:pPr>
        <w:pStyle w:val="FirstParagraph"/>
      </w:pPr>
      <w:r>
        <w:t xml:space="preserve">This checklist is the go/no-go gate for opening the public Beta channel. Every item is binary and is tied to a release gate in Section 7.2 of the test strategy or to a deployment, infrastructure, or operations control in this phase. The Beta does not open until every item below is checked. The checklist is presented in its signed-off, all-checked state; an unchecked item is a no-go.</w:t>
      </w:r>
    </w:p>
    <w:bookmarkStart w:id="50" w:name="release-gate-readiness"/>
    <w:p>
      <w:pPr>
        <w:pStyle w:val="Heading2"/>
      </w:pPr>
      <w:r>
        <w:t xml:space="preserve">Release-Gate Readiness</w:t>
      </w:r>
    </w:p>
    <w:p>
      <w:pPr>
        <w:pStyle w:val="Compact"/>
        <w:numPr>
          <w:ilvl w:val="0"/>
          <w:numId w:val="1024"/>
        </w:numPr>
      </w:pPr>
      <w:r>
        <w:t xml:space="preserve">G1 — WebView bridge spike passed on Windows and macOS: a scene message round-trips without field loss on the Microsoft Edge-based and the Apple embedded web controls, and an interaction event returns to the host.</w:t>
      </w:r>
    </w:p>
    <w:p>
      <w:pPr>
        <w:pStyle w:val="Compact"/>
        <w:numPr>
          <w:ilvl w:val="0"/>
          <w:numId w:val="1025"/>
        </w:numPr>
      </w:pPr>
      <w:r>
        <w:t xml:space="preserve">G2 — PDFium wrapper spike passed on every target platform: sample pages render within the pixel-difference tolerance and a password fixture opens with the correct credential.</w:t>
      </w:r>
    </w:p>
    <w:p>
      <w:pPr>
        <w:pStyle w:val="Compact"/>
        <w:numPr>
          <w:ilvl w:val="0"/>
          <w:numId w:val="1026"/>
        </w:numPr>
      </w:pPr>
      <w:r>
        <w:t xml:space="preserve">G3 — 500-book responsiveness verified: catalogue-load, search, and 3D frame-rate budgets are met on the reference machine over the 500-book corpus.</w:t>
      </w:r>
    </w:p>
    <w:p>
      <w:pPr>
        <w:pStyle w:val="Compact"/>
        <w:numPr>
          <w:ilvl w:val="0"/>
          <w:numId w:val="1027"/>
        </w:numPr>
      </w:pPr>
      <w:r>
        <w:t xml:space="preserve">G4 — 2,000-book responsiveness verified: catalogue-load at most 2 seconds at the 95th percentile and metadata search at most 150 milliseconds at the 95th percentile over the 2,000-book corpus.</w:t>
      </w:r>
    </w:p>
    <w:p>
      <w:pPr>
        <w:pStyle w:val="Compact"/>
        <w:numPr>
          <w:ilvl w:val="0"/>
          <w:numId w:val="1028"/>
        </w:numPr>
      </w:pPr>
      <w:r>
        <w:t xml:space="preserve">G5 — Metadata write-back backup and restore verified: a forced write failure restores the original file byte-for-byte and records the failure.</w:t>
      </w:r>
    </w:p>
    <w:p>
      <w:pPr>
        <w:pStyle w:val="Compact"/>
        <w:numPr>
          <w:ilvl w:val="0"/>
          <w:numId w:val="1029"/>
        </w:numPr>
      </w:pPr>
      <w:r>
        <w:t xml:space="preserve">G6 — AI privacy payload preview verified: no off-device request is emitted without a recorded confirmation referencing the previewed payload.</w:t>
      </w:r>
    </w:p>
    <w:p>
      <w:pPr>
        <w:pStyle w:val="Compact"/>
        <w:numPr>
          <w:ilvl w:val="0"/>
          <w:numId w:val="1030"/>
        </w:numPr>
      </w:pPr>
      <w:r>
        <w:t xml:space="preserve">G7 — Search index rebuild from scratch verified: a corrupted index rebuilds and returns results identical to the baseline.</w:t>
      </w:r>
    </w:p>
    <w:p>
      <w:pPr>
        <w:pStyle w:val="Compact"/>
        <w:numPr>
          <w:ilvl w:val="0"/>
          <w:numId w:val="1031"/>
        </w:numPr>
      </w:pPr>
      <w:r>
        <w:t xml:space="preserve">G8 — Interrupted-job recovery verified: every interrupted scan and index job completes after restart with no duplicate output.</w:t>
      </w:r>
    </w:p>
    <w:bookmarkEnd w:id="50"/>
    <w:bookmarkStart w:id="51" w:name="release-engineering-readiness"/>
    <w:p>
      <w:pPr>
        <w:pStyle w:val="Heading2"/>
      </w:pPr>
      <w:r>
        <w:t xml:space="preserve">Release-Engineering Readiness</w:t>
      </w:r>
    </w:p>
    <w:p>
      <w:pPr>
        <w:pStyle w:val="Compact"/>
        <w:numPr>
          <w:ilvl w:val="0"/>
          <w:numId w:val="1032"/>
        </w:numPr>
      </w:pPr>
      <w:r>
        <w:t xml:space="preserve">Code-signing and notarization in place: Windows Authenticode signing and Apple Developer ID signing and notarization succeed from the pipeline, with key material held only in the secure key store.</w:t>
      </w:r>
    </w:p>
    <w:p>
      <w:pPr>
        <w:pStyle w:val="Compact"/>
        <w:numPr>
          <w:ilvl w:val="0"/>
          <w:numId w:val="1033"/>
        </w:numPr>
      </w:pPr>
      <w:r>
        <w:t xml:space="preserve">Rollback tested: the rollback procedure in</w:t>
      </w:r>
      <w:r>
        <w:t xml:space="preserve"> </w:t>
      </w:r>
      <w:r>
        <w:rPr>
          <w:rStyle w:val="VerbatimChar"/>
        </w:rPr>
        <w:t xml:space="preserve">deployment-guide.md</w:t>
      </w:r>
      <w:r>
        <w:t xml:space="preserve"> </w:t>
      </w:r>
      <w:r>
        <w:t xml:space="preserve">was exercised against a staging feed, including re-pointing the channel descriptor to the previous known-good release and restoring a pre-migration database backup.</w:t>
      </w:r>
    </w:p>
    <w:p>
      <w:pPr>
        <w:pStyle w:val="Compact"/>
        <w:numPr>
          <w:ilvl w:val="0"/>
          <w:numId w:val="1034"/>
        </w:numPr>
      </w:pPr>
      <w:r>
        <w:t xml:space="preserve">Database-migration backup-before-apply verified: a migration creates a timestamped backup of the catalogue of record and the affected sidecar index, applies in a single transaction, and is reversible by restore.</w:t>
      </w:r>
    </w:p>
    <w:p>
      <w:pPr>
        <w:pStyle w:val="Compact"/>
        <w:numPr>
          <w:ilvl w:val="0"/>
          <w:numId w:val="1035"/>
        </w:numPr>
      </w:pPr>
      <w:r>
        <w:t xml:space="preserve">Update trust chain verified: the installed application verifies the feed-descriptor signature and the package signature independently of transport and discards a package that fails either check.</w:t>
      </w:r>
    </w:p>
    <w:p>
      <w:pPr>
        <w:pStyle w:val="Compact"/>
        <w:numPr>
          <w:ilvl w:val="0"/>
          <w:numId w:val="1036"/>
        </w:numPr>
      </w:pPr>
      <w:r>
        <w:t xml:space="preserve">Change window and freeze policy published: the Beta change window, the 24-hour code-freeze, and the release-notice policy are documented and communicated to testers.</w:t>
      </w:r>
    </w:p>
    <w:bookmarkEnd w:id="51"/>
    <w:bookmarkStart w:id="52" w:name="operations-and-infrastructure-readiness"/>
    <w:p>
      <w:pPr>
        <w:pStyle w:val="Heading2"/>
      </w:pPr>
      <w:r>
        <w:t xml:space="preserve">Operations and Infrastructure Readiness</w:t>
      </w:r>
    </w:p>
    <w:p>
      <w:pPr>
        <w:pStyle w:val="Compact"/>
        <w:numPr>
          <w:ilvl w:val="0"/>
          <w:numId w:val="1037"/>
        </w:numPr>
      </w:pPr>
      <w:r>
        <w:t xml:space="preserve">Opt-in telemetry verified: the default state transmits nothing, the payload is minimized at the source, and a user can disable telemetry and request erasure.</w:t>
      </w:r>
    </w:p>
    <w:p>
      <w:pPr>
        <w:pStyle w:val="Compact"/>
        <w:numPr>
          <w:ilvl w:val="0"/>
          <w:numId w:val="1038"/>
        </w:numPr>
      </w:pPr>
      <w:r>
        <w:t xml:space="preserve">Service-level objectives baselined: update-success, crash-free session rate at 99.5%, release-host availability, and median update download time are instrumented with their error budgets.</w:t>
      </w:r>
    </w:p>
    <w:p>
      <w:pPr>
        <w:pStyle w:val="Compact"/>
        <w:numPr>
          <w:ilvl w:val="0"/>
          <w:numId w:val="1039"/>
        </w:numPr>
      </w:pPr>
      <w:r>
        <w:t xml:space="preserve">Runbook and escalation path in place: each common incident has a procedure and the on-call and owner tiers with response-time targets are assigned.</w:t>
      </w:r>
    </w:p>
    <w:p>
      <w:pPr>
        <w:pStyle w:val="Compact"/>
        <w:numPr>
          <w:ilvl w:val="0"/>
          <w:numId w:val="1040"/>
        </w:numPr>
      </w:pPr>
      <w:r>
        <w:t xml:space="preserve">Incident-response flow ready: the detect-triage-contain-eradicate-recover-review flow for signing-key compromise and malicious-update response is documented and rehearsed.</w:t>
      </w:r>
    </w:p>
    <w:p>
      <w:pPr>
        <w:pStyle w:val="Compact"/>
        <w:numPr>
          <w:ilvl w:val="0"/>
          <w:numId w:val="1041"/>
        </w:numPr>
      </w:pPr>
      <w:r>
        <w:t xml:space="preserve">Release host and channel feeds provisioned: the static release host and content delivery network serve the Dev, Alpha, Beta, and Stable feed paths with the Beta descriptor signed and published.</w:t>
      </w:r>
    </w:p>
    <w:bookmarkEnd w:id="52"/>
    <w:bookmarkEnd w:id="53"/>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3"/>
  </w:num>
  <w:num w:numId="1025">
    <w:abstractNumId w:val="993"/>
  </w:num>
  <w:num w:numId="1026">
    <w:abstractNumId w:val="993"/>
  </w:num>
  <w:num w:numId="1027">
    <w:abstractNumId w:val="993"/>
  </w:num>
  <w:num w:numId="1028">
    <w:abstractNumId w:val="993"/>
  </w:num>
  <w:num w:numId="1029">
    <w:abstractNumId w:val="993"/>
  </w:num>
  <w:num w:numId="1030">
    <w:abstractNumId w:val="993"/>
  </w:num>
  <w:num w:numId="1031">
    <w:abstractNumId w:val="993"/>
  </w:num>
  <w:num w:numId="1032">
    <w:abstractNumId w:val="993"/>
  </w:num>
  <w:num w:numId="1033">
    <w:abstractNumId w:val="993"/>
  </w:num>
  <w:num w:numId="1034">
    <w:abstractNumId w:val="993"/>
  </w:num>
  <w:num w:numId="1035">
    <w:abstractNumId w:val="993"/>
  </w:num>
  <w:num w:numId="1036">
    <w:abstractNumId w:val="993"/>
  </w:num>
  <w:num w:numId="1037">
    <w:abstractNumId w:val="993"/>
  </w:num>
  <w:num w:numId="1038">
    <w:abstractNumId w:val="993"/>
  </w:num>
  <w:num w:numId="1039">
    <w:abstractNumId w:val="993"/>
  </w:num>
  <w:num w:numId="1040">
    <w:abstractNumId w:val="993"/>
  </w:num>
  <w:num w:numId="1041">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2026-05-30T14:00:39Z</dcterms:created>
  <dcterms:modified xsi:type="dcterms:W3CDTF">2026-05-30T14:00:39Z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vt:lpwstr>Deployment and Operations</vt:lpwstr>
  </property>
  <property fmtid="{D5CDD505-2E9C-101B-9397-08002B2CF9AE}" pid="3" name="phase">
    <vt:lpwstr>06</vt:lpwstr>
  </property>
</Properties>
</file>