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\newpage</w:t>
      </w:r>
    </w:p>
    <w:bookmarkStart w:id="19" w:name="development-standards--environment"/>
    <w:p>
      <w:pPr>
        <w:pStyle w:val="Heading1"/>
      </w:pPr>
      <w:r>
        <w:t xml:space="preserve">Development Standards &amp; Environment</w:t>
      </w:r>
    </w:p>
    <w:p>
      <w:pPr>
        <w:pStyle w:val="FirstParagraph"/>
      </w:pPr>
      <w:r>
        <w:rPr>
          <w:b/>
          <w:bCs/>
        </w:rPr>
        <w:t xml:space="preserve">Ogma Library</w:t>
      </w:r>
    </w:p>
    <w:p>
      <w:pPr>
        <w:pStyle w:val="BodyText"/>
      </w:pPr>
      <w:r>
        <w:rPr>
          <w:i/>
          <w:iCs/>
        </w:rPr>
        <w:t xml:space="preserve">A local-first PDF library application by Chwezi Core Systems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Ogma Library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Chwezi Core Systems / Peter Bamuhigire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04 — Development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Version</w:t>
            </w:r>
          </w:p>
        </w:tc>
        <w:tc>
          <w:tcPr/>
          <w:p>
            <w:pPr>
              <w:pStyle w:val="Compact"/>
            </w:pPr>
            <w:r>
              <w:t xml:space="preserve">v0.1 DRAFT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Confidential — Internal Use Only</w:t>
            </w:r>
          </w:p>
        </w:tc>
      </w:tr>
    </w:tbl>
    <w:p>
      <w:pPr>
        <w:pStyle w:val="BodyText"/>
      </w:pPr>
      <w:r>
        <w:rPr>
          <w:i/>
          <w:iCs/>
        </w:rPr>
        <w:t xml:space="preserve">This document is the intellectual property of Chwezi Core Systems. No part may be reproduced or disclosed without written permission.</w:t>
      </w:r>
    </w:p>
    <w:p>
      <w:pPr>
        <w:pStyle w:val="BodyText"/>
      </w:pPr>
      <w:r>
        <w:t xml:space="preserve">\newpage</w:t>
      </w:r>
    </w:p>
    <w:bookmarkEnd w:id="19"/>
    <w:bookmarkStart w:id="30" w:name="X64a2d7027f842493b9544a3bb08f7bd25bf1b86"/>
    <w:p>
      <w:pPr>
        <w:pStyle w:val="Heading1"/>
      </w:pPr>
      <w:r>
        <w:t xml:space="preserve">Coding Standards for the Ogma Library Codebase</w:t>
      </w:r>
    </w:p>
    <w:p>
      <w:pPr>
        <w:pStyle w:val="FirstParagraph"/>
      </w:pPr>
      <w:r>
        <w:t xml:space="preserve">These standards are binding on every project in the</w:t>
      </w:r>
      <w:r>
        <w:t xml:space="preserve"> </w:t>
      </w:r>
      <w:r>
        <w:rPr>
          <w:rStyle w:val="VerbatimChar"/>
        </w:rPr>
        <w:t xml:space="preserve">OgmaLibrary.sln</w:t>
      </w:r>
      <w:r>
        <w:t xml:space="preserve"> </w:t>
      </w:r>
      <w:r>
        <w:t xml:space="preserve">solution. They exist to keep the catalogue of record authoritative, keep the domain free of outward dependencies, and keep every long-running operation isolated and recoverable. A pull request that violates a rule in this document is not ready to merge.</w:t>
      </w:r>
    </w:p>
    <w:bookmarkStart w:id="20" w:name="Xfe5d71982bb3a89110829646c20b7e2b7b6c995"/>
    <w:p>
      <w:pPr>
        <w:pStyle w:val="Heading2"/>
      </w:pPr>
      <w:r>
        <w:t xml:space="preserve">1. Target Runtime and Language Level</w:t>
      </w:r>
    </w:p>
    <w:p>
      <w:pPr>
        <w:pStyle w:val="Compact"/>
        <w:numPr>
          <w:ilvl w:val="0"/>
          <w:numId w:val="1001"/>
        </w:numPr>
      </w:pPr>
      <w:r>
        <w:t xml:space="preserve">Target</w:t>
      </w:r>
      <w:r>
        <w:t xml:space="preserve"> </w:t>
      </w:r>
      <w:r>
        <w:rPr>
          <w:b/>
          <w:bCs/>
        </w:rPr>
        <w:t xml:space="preserve">.NET 10 LTS</w:t>
      </w:r>
      <w:r>
        <w:t xml:space="preserve"> </w:t>
      </w:r>
      <w:r>
        <w:t xml:space="preserve">across every project. Set</w:t>
      </w:r>
      <w:r>
        <w:t xml:space="preserve"> </w:t>
      </w:r>
      <w:r>
        <w:rPr>
          <w:rStyle w:val="VerbatimChar"/>
        </w:rPr>
        <w:t xml:space="preserve">&lt;TargetFramework&gt;net10.0&lt;/TargetFramework&gt;</w:t>
      </w:r>
      <w:r>
        <w:t xml:space="preserve"> </w:t>
      </w:r>
      <w:r>
        <w:t xml:space="preserve">in each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. Do not mix target frameworks within the solution.</w:t>
      </w:r>
    </w:p>
    <w:p>
      <w:pPr>
        <w:pStyle w:val="Compact"/>
        <w:numPr>
          <w:ilvl w:val="0"/>
          <w:numId w:val="1001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&lt;LangVersion&gt;</w:t>
      </w:r>
      <w:r>
        <w:t xml:space="preserve"> </w:t>
      </w:r>
      <w:r>
        <w:t xml:space="preserve">to the version that ships with the .NET 10 SDK; do not pin an older language level.</w:t>
      </w:r>
    </w:p>
    <w:p>
      <w:pPr>
        <w:pStyle w:val="Compact"/>
        <w:numPr>
          <w:ilvl w:val="0"/>
          <w:numId w:val="1001"/>
        </w:numPr>
      </w:pPr>
      <w:r>
        <w:t xml:space="preserve">Treat</w:t>
      </w:r>
      <w:r>
        <w:t xml:space="preserve"> </w:t>
      </w:r>
      <w:r>
        <w:rPr>
          <w:b/>
          <w:bCs/>
        </w:rPr>
        <w:t xml:space="preserve">.NET 8</w:t>
      </w:r>
      <w:r>
        <w:t xml:space="preserve"> </w:t>
      </w:r>
      <w:r>
        <w:t xml:space="preserve">as a temporary fallback only, permitted behind a documented Architecture Decision Record (ADR) with a dated migration plan, per the architecture overview.</w:t>
      </w:r>
    </w:p>
    <w:p>
      <w:pPr>
        <w:pStyle w:val="Compact"/>
        <w:numPr>
          <w:ilvl w:val="0"/>
          <w:numId w:val="1001"/>
        </w:numPr>
      </w:pPr>
      <w:r>
        <w:t xml:space="preserve">Enable the following project properties in a shared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t xml:space="preserve">at the solution root so every project inherits them: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TargetFramework</w:t>
      </w:r>
      <w:r>
        <w:rPr>
          <w:rStyle w:val="NormalTok"/>
        </w:rPr>
        <w:t xml:space="preserve">&gt;net10.0&lt;/</w:t>
      </w:r>
      <w:r>
        <w:rPr>
          <w:rStyle w:val="KeywordTok"/>
        </w:rPr>
        <w:t xml:space="preserve">TargetFramework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Nullable</w:t>
      </w:r>
      <w:r>
        <w:rPr>
          <w:rStyle w:val="NormalTok"/>
        </w:rPr>
        <w:t xml:space="preserve">&gt;enable&lt;/</w:t>
      </w:r>
      <w:r>
        <w:rPr>
          <w:rStyle w:val="KeywordTok"/>
        </w:rPr>
        <w:t xml:space="preserve">Nullable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ImplicitUsings</w:t>
      </w:r>
      <w:r>
        <w:rPr>
          <w:rStyle w:val="NormalTok"/>
        </w:rPr>
        <w:t xml:space="preserve">&gt;enable&lt;/</w:t>
      </w:r>
      <w:r>
        <w:rPr>
          <w:rStyle w:val="KeywordTok"/>
        </w:rPr>
        <w:t xml:space="preserve">ImplicitUsings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TreatWarningsAsErrors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TreatWarningsAsErrors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EnforceCodeStyleInBuild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EnforceCodeStyleInBuild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AnalysisLevel</w:t>
      </w:r>
      <w:r>
        <w:rPr>
          <w:rStyle w:val="NormalTok"/>
        </w:rPr>
        <w:t xml:space="preserve">&gt;latest-recommended&lt;/</w:t>
      </w:r>
      <w:r>
        <w:rPr>
          <w:rStyle w:val="KeywordTok"/>
        </w:rPr>
        <w:t xml:space="preserve">AnalysisLevel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GenerateDocumentationFile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GenerateDocumentationFile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0"/>
    <w:bookmarkStart w:id="21" w:name="X6a4395ea47b06b1a3a0f081f5c69569b84b2276"/>
    <w:p>
      <w:pPr>
        <w:pStyle w:val="Heading2"/>
      </w:pPr>
      <w:r>
        <w:t xml:space="preserve">2. Nullable Reference Types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Nullable</w:t>
      </w:r>
      <w:r>
        <w:t xml:space="preserve"> </w:t>
      </w:r>
      <w:r>
        <w:t xml:space="preserve">is enabled solution-wide. The build fails on nullable warnings because</w:t>
      </w:r>
      <w:r>
        <w:t xml:space="preserve"> </w:t>
      </w:r>
      <w:r>
        <w:rPr>
          <w:rStyle w:val="VerbatimChar"/>
        </w:rPr>
        <w:t xml:space="preserve">TreatWarningsAsErrors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Do not suppress a nullable warning with the null-forgiving operator (</w:t>
      </w:r>
      <w:r>
        <w:rPr>
          <w:rStyle w:val="VerbatimChar"/>
        </w:rPr>
        <w:t xml:space="preserve">!</w:t>
      </w:r>
      <w:r>
        <w:t xml:space="preserve">) to silence the compiler. Either prove the value is non-null through a guard or model the value as nullable.</w:t>
      </w:r>
    </w:p>
    <w:p>
      <w:pPr>
        <w:pStyle w:val="Compact"/>
        <w:numPr>
          <w:ilvl w:val="0"/>
          <w:numId w:val="1002"/>
        </w:numPr>
      </w:pPr>
      <w:r>
        <w:t xml:space="preserve">A public method that can return no value returns a nullable reference type or a result type, never a sentinel string such as an empty path.</w:t>
      </w:r>
    </w:p>
    <w:p>
      <w:pPr>
        <w:pStyle w:val="Compact"/>
        <w:numPr>
          <w:ilvl w:val="0"/>
          <w:numId w:val="1002"/>
        </w:numPr>
      </w:pPr>
      <w:r>
        <w:t xml:space="preserve">Validate constructor and method arguments at the boundary with</w:t>
      </w:r>
      <w:r>
        <w:t xml:space="preserve"> </w:t>
      </w:r>
      <w:r>
        <w:rPr>
          <w:rStyle w:val="VerbatimChar"/>
        </w:rPr>
        <w:t xml:space="preserve">ArgumentNullException.ThrowIfNull(value)</w:t>
      </w:r>
      <w:r>
        <w:t xml:space="preserve"> </w:t>
      </w:r>
      <w:r>
        <w:t xml:space="preserve">rather than deferring to a later null dereference.</w:t>
      </w:r>
    </w:p>
    <w:bookmarkEnd w:id="21"/>
    <w:bookmarkStart w:id="22" w:name="Xdc5d4b6cba5467ad283672aeee1014a0e17ef5f"/>
    <w:p>
      <w:pPr>
        <w:pStyle w:val="Heading2"/>
      </w:pPr>
      <w:r>
        <w:t xml:space="preserve">3. Naming Conventions</w:t>
      </w:r>
    </w:p>
    <w:p>
      <w:pPr>
        <w:pStyle w:val="Compact"/>
        <w:numPr>
          <w:ilvl w:val="0"/>
          <w:numId w:val="1003"/>
        </w:numPr>
      </w:pPr>
      <w:r>
        <w:t xml:space="preserve">Namespaces, types, methods, properties, and events use</w:t>
      </w:r>
      <w:r>
        <w:t xml:space="preserve"> </w:t>
      </w:r>
      <w:r>
        <w:rPr>
          <w:b/>
          <w:bCs/>
        </w:rPr>
        <w:t xml:space="preserve">PascalCase</w:t>
      </w:r>
      <w:r>
        <w:t xml:space="preserve">. The root namespace is</w:t>
      </w:r>
      <w:r>
        <w:t xml:space="preserve"> </w:t>
      </w:r>
      <w:r>
        <w:rPr>
          <w:rStyle w:val="VerbatimChar"/>
        </w:rPr>
        <w:t xml:space="preserve">OgmaLibrary</w:t>
      </w:r>
      <w:r>
        <w:t xml:space="preserve">; project namespaces extend it, for example</w:t>
      </w:r>
      <w:r>
        <w:t xml:space="preserve"> </w:t>
      </w:r>
      <w:r>
        <w:rPr>
          <w:rStyle w:val="VerbatimChar"/>
        </w:rPr>
        <w:t xml:space="preserve">OgmaLibrary.Infrastructure.Pdf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Local variables and method parameters use</w:t>
      </w:r>
      <w:r>
        <w:t xml:space="preserve"> </w:t>
      </w:r>
      <w:r>
        <w:rPr>
          <w:b/>
          <w:bCs/>
        </w:rPr>
        <w:t xml:space="preserve">camelCase</w:t>
      </w:r>
      <w:r>
        <w:t xml:space="preserve">. Private fields use a leading underscore with camelCase, for example</w:t>
      </w:r>
      <w:r>
        <w:t xml:space="preserve"> </w:t>
      </w:r>
      <w:r>
        <w:rPr>
          <w:rStyle w:val="VerbatimChar"/>
        </w:rPr>
        <w:t xml:space="preserve">_catalogueContext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Constants use</w:t>
      </w:r>
      <w:r>
        <w:t xml:space="preserve"> </w:t>
      </w:r>
      <w:r>
        <w:rPr>
          <w:b/>
          <w:bCs/>
        </w:rPr>
        <w:t xml:space="preserve">PascalCase</w:t>
      </w:r>
      <w:r>
        <w:t xml:space="preserve">. Do not use SCREAMING_CASE.</w:t>
      </w:r>
    </w:p>
    <w:p>
      <w:pPr>
        <w:pStyle w:val="Compact"/>
        <w:numPr>
          <w:ilvl w:val="0"/>
          <w:numId w:val="1003"/>
        </w:numPr>
      </w:pPr>
      <w:r>
        <w:t xml:space="preserve">Interfaces start with</w:t>
      </w:r>
      <w:r>
        <w:t xml:space="preserve"> </w:t>
      </w:r>
      <w:r>
        <w:rPr>
          <w:rStyle w:val="VerbatimChar"/>
        </w:rPr>
        <w:t xml:space="preserve">I</w:t>
      </w:r>
      <w:r>
        <w:t xml:space="preserve">, for example</w:t>
      </w:r>
      <w:r>
        <w:t xml:space="preserve"> </w:t>
      </w:r>
      <w:r>
        <w:rPr>
          <w:rStyle w:val="VerbatimChar"/>
        </w:rPr>
        <w:t xml:space="preserve">IAiProvider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IMetadataProvider</w:t>
      </w:r>
      <w:r>
        <w:t xml:space="preserve">. Async methods end with the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suffix.</w:t>
      </w:r>
    </w:p>
    <w:p>
      <w:pPr>
        <w:pStyle w:val="Compact"/>
        <w:numPr>
          <w:ilvl w:val="0"/>
          <w:numId w:val="1003"/>
        </w:numPr>
      </w:pPr>
      <w:r>
        <w:t xml:space="preserve">Use the full domain term from the glossary in identifiers; do not invent abbreviations. A type that holds reading progress is</w:t>
      </w:r>
      <w:r>
        <w:t xml:space="preserve"> </w:t>
      </w:r>
      <w:r>
        <w:rPr>
          <w:rStyle w:val="VerbatimChar"/>
        </w:rPr>
        <w:t xml:space="preserve">ReadingProgress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RdProg</w:t>
      </w:r>
      <w:r>
        <w:t xml:space="preserve">.</w:t>
      </w:r>
    </w:p>
    <w:bookmarkEnd w:id="22"/>
    <w:bookmarkStart w:id="23" w:name="X8e2635f7b7eda1e1f2354d2c3eceb2fb9c329f7"/>
    <w:p>
      <w:pPr>
        <w:pStyle w:val="Heading2"/>
      </w:pPr>
      <w:r>
        <w:t xml:space="preserve">4. Bounded-Context Dependency Rule</w:t>
      </w:r>
    </w:p>
    <w:p>
      <w:pPr>
        <w:pStyle w:val="FirstParagraph"/>
      </w:pPr>
      <w:r>
        <w:t xml:space="preserve">The dependency direction defined in the high-level design is enforced in code, not only in documentation.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OgmaLibrary.Domain</w:t>
      </w:r>
      <w:r>
        <w:t xml:space="preserve"> </w:t>
      </w:r>
      <w:r>
        <w:t xml:space="preserve">references no other project and no infrastructure package. It has no Entity Framework Core (EF Core), file-system, Hypertext Transfer Protocol (HTTP), or user-interface reference.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OgmaLibrary.Application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OgmaLibrary.Domain</w:t>
      </w:r>
      <w:r>
        <w:t xml:space="preserve"> </w:t>
      </w:r>
      <w:r>
        <w:t xml:space="preserve">and the interfaces it declares. It never references a concrete SQLite, HTTP, or PDF type.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OgmaLibrary.Infrastructure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OgmaLibrary.Reader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OgmaLibrary.Bookshelf3D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OgmaLibrary.Workers</w:t>
      </w:r>
      <w:r>
        <w:t xml:space="preserve"> </w:t>
      </w:r>
      <w:r>
        <w:t xml:space="preserve">implement the interfaces declared in</w:t>
      </w:r>
      <w:r>
        <w:t xml:space="preserve"> </w:t>
      </w:r>
      <w:r>
        <w:rPr>
          <w:rStyle w:val="VerbatimChar"/>
        </w:rPr>
        <w:t xml:space="preserve">OgmaLibrary.Application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OgmaLibrary.Domain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OgmaLibrary.App</w:t>
      </w:r>
      <w:r>
        <w:t xml:space="preserve"> </w:t>
      </w:r>
      <w:r>
        <w:t xml:space="preserve">is the only composition root. It is the only project permitted to bind a concrete implementation to an interface.</w:t>
      </w:r>
    </w:p>
    <w:p>
      <w:pPr>
        <w:pStyle w:val="Compact"/>
        <w:numPr>
          <w:ilvl w:val="0"/>
          <w:numId w:val="1004"/>
        </w:numPr>
      </w:pPr>
      <w:r>
        <w:t xml:space="preserve">The user interface never calls a provider directly. Every Artificial Intelligence (AI), metadata, and HTTP behaviour is reached through an adapter interface implemented in</w:t>
      </w:r>
      <w:r>
        <w:t xml:space="preserve"> </w:t>
      </w:r>
      <w:r>
        <w:rPr>
          <w:rStyle w:val="VerbatimChar"/>
        </w:rPr>
        <w:t xml:space="preserve">OgmaLibrary.Infrastructure</w:t>
      </w:r>
      <w:r>
        <w:t xml:space="preserve"> </w:t>
      </w:r>
      <w:r>
        <w:t xml:space="preserve">and routed through the AI gateway (</w:t>
      </w:r>
      <w:r>
        <w:rPr>
          <w:rStyle w:val="VerbatimChar"/>
        </w:rPr>
        <w:t xml:space="preserve">IAiProvider</w:t>
      </w:r>
      <w:r>
        <w:t xml:space="preserve">) as the single off-device egress chokepoint.</w:t>
      </w:r>
    </w:p>
    <w:p>
      <w:pPr>
        <w:pStyle w:val="Compact"/>
        <w:numPr>
          <w:ilvl w:val="0"/>
          <w:numId w:val="1004"/>
        </w:numPr>
      </w:pPr>
      <w:r>
        <w:t xml:space="preserve">A view model that needs catalogue data depends on a query interface, not on the EF Core context. A context that must not write book identity receives a read-only query interface.</w:t>
      </w:r>
    </w:p>
    <w:p>
      <w:pPr>
        <w:pStyle w:val="FirstParagraph"/>
      </w:pPr>
      <w:r>
        <w:t xml:space="preserve">Enforce these rules with an architecture test in</w:t>
      </w:r>
      <w:r>
        <w:t xml:space="preserve"> </w:t>
      </w:r>
      <w:r>
        <w:rPr>
          <w:rStyle w:val="VerbatimChar"/>
        </w:rPr>
        <w:t xml:space="preserve">OgmaLibrary.Tests</w:t>
      </w:r>
      <w:r>
        <w:t xml:space="preserve"> </w:t>
      </w:r>
      <w:r>
        <w:t xml:space="preserve">that asserts the assembly dependency graph. A reference that violates the direction fails the test suite.</w:t>
      </w:r>
    </w:p>
    <w:bookmarkEnd w:id="23"/>
    <w:bookmarkStart w:id="24" w:name="Xb29f50cb2bd45e5f9474f5f8d2a25e0a795aedf"/>
    <w:p>
      <w:pPr>
        <w:pStyle w:val="Heading2"/>
      </w:pPr>
      <w:r>
        <w:t xml:space="preserve">5. Records versus Classes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for immutable data carriers: value objects, domain events, command and query messages, the compact scene model handed to the 3D shelf bridge, and provider response models. Records give value equality and a concise declaration.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class</w:t>
      </w:r>
      <w:r>
        <w:t xml:space="preserve"> </w:t>
      </w:r>
      <w:r>
        <w:t xml:space="preserve">for entities that have identity and a mutable lifecycle, for example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Annotation</w:t>
      </w:r>
      <w:r>
        <w:t xml:space="preserve">, and for services that hold behaviour or injected dependencies.</w:t>
      </w:r>
    </w:p>
    <w:p>
      <w:pPr>
        <w:pStyle w:val="Compact"/>
        <w:numPr>
          <w:ilvl w:val="0"/>
          <w:numId w:val="1005"/>
        </w:numPr>
      </w:pPr>
      <w:r>
        <w:t xml:space="preserve">Make every record property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-only or positional. Do not expose a settable property on a record.</w:t>
      </w:r>
    </w:p>
    <w:p>
      <w:pPr>
        <w:pStyle w:val="Compact"/>
        <w:numPr>
          <w:ilvl w:val="0"/>
          <w:numId w:val="1005"/>
        </w:numPr>
      </w:pPr>
      <w:r>
        <w:t xml:space="preserve">Do not place behaviour that mutates state on a record. A record models data; a class models an entity or a service.</w:t>
      </w:r>
    </w:p>
    <w:bookmarkEnd w:id="24"/>
    <w:bookmarkStart w:id="25" w:name="X92b7c849e4a8fcb7815e4cc40118480d8da4fb5"/>
    <w:p>
      <w:pPr>
        <w:pStyle w:val="Heading2"/>
      </w:pPr>
      <w:r>
        <w:t xml:space="preserve">6. Async, Await, and Cancellation</w:t>
      </w:r>
    </w:p>
    <w:p>
      <w:pPr>
        <w:pStyle w:val="Compact"/>
        <w:numPr>
          <w:ilvl w:val="0"/>
          <w:numId w:val="1006"/>
        </w:numPr>
      </w:pPr>
      <w:r>
        <w:t xml:space="preserve">Every input/output operation — SQLite access, file reads, PDF rendering, HTTP calls — is asynchronous and uses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. Do not block on a task with</w:t>
      </w:r>
      <w:r>
        <w:t xml:space="preserve"> </w:t>
      </w:r>
      <w:r>
        <w:rPr>
          <w:rStyle w:val="VerbatimChar"/>
        </w:rPr>
        <w:t xml:space="preserve">.Result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.Wait()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public asynchronous method accepts a cancellation token as its last parameter and forwards it to every awaited call. A background job in</w:t>
      </w:r>
      <w:r>
        <w:t xml:space="preserve"> </w:t>
      </w:r>
      <w:r>
        <w:rPr>
          <w:rStyle w:val="VerbatimChar"/>
        </w:rPr>
        <w:t xml:space="preserve">OgmaLibrary.Workers</w:t>
      </w:r>
      <w:r>
        <w:t xml:space="preserve"> </w:t>
      </w:r>
      <w:r>
        <w:t xml:space="preserve">honours cancellation within 1 second so the user interface is never blocked beyond 100 ms.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ConfigureAwait(false)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OgmaLibrary.Application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OgmaLibrary.Infrastructure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OgmaLibrary.Workers</w:t>
      </w:r>
      <w:r>
        <w:t xml:space="preserve"> </w:t>
      </w:r>
      <w:r>
        <w:t xml:space="preserve">library code. The Avalonia user-interface layer in</w:t>
      </w:r>
      <w:r>
        <w:t xml:space="preserve"> </w:t>
      </w:r>
      <w:r>
        <w:rPr>
          <w:rStyle w:val="VerbatimChar"/>
        </w:rPr>
        <w:t xml:space="preserve">OgmaLibrary.App</w:t>
      </w:r>
      <w:r>
        <w:t xml:space="preserve"> </w:t>
      </w:r>
      <w:r>
        <w:t xml:space="preserve">may omit it where it must resume on the user-interface thread.</w:t>
      </w:r>
    </w:p>
    <w:p>
      <w:pPr>
        <w:pStyle w:val="Compact"/>
        <w:numPr>
          <w:ilvl w:val="0"/>
          <w:numId w:val="1006"/>
        </w:numPr>
      </w:pPr>
      <w:r>
        <w:t xml:space="preserve">Do not create</w:t>
      </w:r>
      <w:r>
        <w:t xml:space="preserve"> </w:t>
      </w:r>
      <w:r>
        <w:rPr>
          <w:rStyle w:val="VerbatimChar"/>
        </w:rPr>
        <w:t xml:space="preserve">async void</w:t>
      </w:r>
      <w:r>
        <w:t xml:space="preserve"> </w:t>
      </w:r>
      <w:r>
        <w:t xml:space="preserve">methods except for Avalonia event handlers. An event handler that calls asynchronous work wraps it in a try/catch and surfaces failures through the application's error channel.</w:t>
      </w:r>
    </w:p>
    <w:p>
      <w:pPr>
        <w:pStyle w:val="Compact"/>
        <w:numPr>
          <w:ilvl w:val="0"/>
          <w:numId w:val="1006"/>
        </w:numPr>
      </w:pPr>
      <w:r>
        <w:t xml:space="preserve">Name the cancellation parameter</w:t>
      </w:r>
      <w:r>
        <w:t xml:space="preserve"> </w:t>
      </w:r>
      <w:r>
        <w:rPr>
          <w:rStyle w:val="VerbatimChar"/>
        </w:rPr>
        <w:t xml:space="preserve">cancellationToken</w:t>
      </w:r>
      <w:r>
        <w:t xml:space="preserve">.</w:t>
      </w:r>
    </w:p>
    <w:bookmarkEnd w:id="25"/>
    <w:bookmarkStart w:id="26" w:name="Xcfca0b7ec0250a4cfe5ffede8b014cdc910f4f2"/>
    <w:p>
      <w:pPr>
        <w:pStyle w:val="Heading2"/>
      </w:pPr>
      <w:r>
        <w:t xml:space="preserve">7. Error Handling and Per-File Scan Isolation</w:t>
      </w:r>
    </w:p>
    <w:p>
      <w:pPr>
        <w:pStyle w:val="Compact"/>
        <w:numPr>
          <w:ilvl w:val="0"/>
          <w:numId w:val="1007"/>
        </w:numPr>
      </w:pPr>
      <w:r>
        <w:t xml:space="preserve">A failure while scanning, rendering, extracting, or enriching one PDF file must not abort the batch. Each file is processed inside its own try/catch; a caught failure is recorded against that</w:t>
      </w:r>
      <w:r>
        <w:t xml:space="preserve"> </w:t>
      </w:r>
      <w:r>
        <w:rPr>
          <w:rStyle w:val="VerbatimChar"/>
        </w:rPr>
        <w:t xml:space="preserve">BookFile</w:t>
      </w:r>
      <w:r>
        <w:t xml:space="preserve"> </w:t>
      </w:r>
      <w:r>
        <w:t xml:space="preserve">and the worker continues to the next file.</w:t>
      </w:r>
    </w:p>
    <w:p>
      <w:pPr>
        <w:pStyle w:val="Compact"/>
        <w:numPr>
          <w:ilvl w:val="0"/>
          <w:numId w:val="1007"/>
        </w:numPr>
      </w:pPr>
      <w:r>
        <w:t xml:space="preserve">Record a per-file failure as a structured result (file path, operation, exception type, message) written to the catalogue and the audit trail, not as a thrown exception that unwinds the job.</w:t>
      </w:r>
    </w:p>
    <w:p>
      <w:pPr>
        <w:pStyle w:val="Compact"/>
        <w:numPr>
          <w:ilvl w:val="0"/>
          <w:numId w:val="1007"/>
        </w:numPr>
      </w:pPr>
      <w:r>
        <w:t xml:space="preserve">Catch the narrowest exception type that the operation can throw. Do not catch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except at a job boundary where the catch records the failure and allows the loop to continue.</w:t>
      </w:r>
    </w:p>
    <w:p>
      <w:pPr>
        <w:pStyle w:val="Compact"/>
        <w:numPr>
          <w:ilvl w:val="0"/>
          <w:numId w:val="1007"/>
        </w:numPr>
      </w:pPr>
      <w:r>
        <w:t xml:space="preserve">Do not swallow an exception silently. Every catch either rethrows, records a structured failure, or returns a result type that the caller inspects.</w:t>
      </w:r>
    </w:p>
    <w:p>
      <w:pPr>
        <w:pStyle w:val="Compact"/>
        <w:numPr>
          <w:ilvl w:val="0"/>
          <w:numId w:val="1007"/>
        </w:numPr>
      </w:pPr>
      <w:r>
        <w:t xml:space="preserve">Throw</w:t>
      </w:r>
      <w:r>
        <w:t xml:space="preserve"> </w:t>
      </w:r>
      <w:r>
        <w:rPr>
          <w:rStyle w:val="VerbatimChar"/>
        </w:rPr>
        <w:t xml:space="preserve">ArgumentException</w:t>
      </w:r>
      <w:r>
        <w:t xml:space="preserve"> </w:t>
      </w:r>
      <w:r>
        <w:t xml:space="preserve">and its subtypes for invalid arguments and a domain-specific exception for invariant violations. Do not throw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directly.</w:t>
      </w:r>
    </w:p>
    <w:p>
      <w:pPr>
        <w:pStyle w:val="Compact"/>
        <w:numPr>
          <w:ilvl w:val="0"/>
          <w:numId w:val="1007"/>
        </w:numPr>
      </w:pPr>
      <w:r>
        <w:t xml:space="preserve">A background job is idempotent and resumable: re-running it after an abnormal termination produces no duplicated completed work.</w:t>
      </w:r>
    </w:p>
    <w:bookmarkEnd w:id="26"/>
    <w:bookmarkStart w:id="27" w:name="Xc1b76cc92630752898326994987d7d4a20ae242"/>
    <w:p>
      <w:pPr>
        <w:pStyle w:val="Heading2"/>
      </w:pPr>
      <w:r>
        <w:t xml:space="preserve">8. Result Modelling</w:t>
      </w:r>
    </w:p>
    <w:p>
      <w:pPr>
        <w:pStyle w:val="Compact"/>
        <w:numPr>
          <w:ilvl w:val="0"/>
          <w:numId w:val="1008"/>
        </w:numPr>
      </w:pPr>
      <w:r>
        <w:t xml:space="preserve">Prefer an explicit result type over exceptions for expected, recoverable outcomes such as a single file that failed to render. Reserve exceptions for unexpected faults.</w:t>
      </w:r>
    </w:p>
    <w:p>
      <w:pPr>
        <w:pStyle w:val="Compact"/>
        <w:numPr>
          <w:ilvl w:val="0"/>
          <w:numId w:val="1008"/>
        </w:numPr>
      </w:pPr>
      <w:r>
        <w:t xml:space="preserve">A method that can fail in a recoverable way returns a result that carries either the value or the failure detail, so the caller decides whether to continue the batch.</w:t>
      </w:r>
    </w:p>
    <w:bookmarkEnd w:id="27"/>
    <w:bookmarkStart w:id="28" w:name="X22f78929db11a4f25e324986dee447a195af79a"/>
    <w:p>
      <w:pPr>
        <w:pStyle w:val="Heading2"/>
      </w:pPr>
      <w:r>
        <w:t xml:space="preserve">9. Formatting, Analyzers, and the</w:t>
      </w:r>
      <w:r>
        <w:t xml:space="preserve"> </w:t>
      </w:r>
      <w:r>
        <w:rPr>
          <w:rStyle w:val="VerbatimChar"/>
        </w:rPr>
        <w:t xml:space="preserve">.editorconfig</w:t>
      </w:r>
    </w:p>
    <w:p>
      <w:pPr>
        <w:pStyle w:val="Compact"/>
        <w:numPr>
          <w:ilvl w:val="0"/>
          <w:numId w:val="1009"/>
        </w:numPr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.editorconfig</w:t>
      </w:r>
      <w:r>
        <w:t xml:space="preserve"> </w:t>
      </w:r>
      <w:r>
        <w:t xml:space="preserve">at the solution root is the authoritative formatting and style configuration. Editor and command-line builds read the same file.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dotnet format</w:t>
      </w:r>
      <w:r>
        <w:t xml:space="preserve"> </w:t>
      </w:r>
      <w:r>
        <w:t xml:space="preserve">before every commit. The build also enforces style because</w:t>
      </w:r>
      <w:r>
        <w:t xml:space="preserve"> </w:t>
      </w:r>
      <w:r>
        <w:rPr>
          <w:rStyle w:val="VerbatimChar"/>
        </w:rPr>
        <w:t xml:space="preserve">EnforceCodeStyleInBuild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Enable the built-in .NET analyzers at</w:t>
      </w:r>
      <w:r>
        <w:t xml:space="preserve"> </w:t>
      </w:r>
      <w:r>
        <w:rPr>
          <w:rStyle w:val="VerbatimChar"/>
        </w:rPr>
        <w:t xml:space="preserve">latest-recommended</w:t>
      </w:r>
      <w:r>
        <w:t xml:space="preserve"> </w:t>
      </w:r>
      <w:r>
        <w:t xml:space="preserve">and do not lower the level per project. Suppress a specific diagnostic only with a justified, scoped</w:t>
      </w:r>
      <w:r>
        <w:t xml:space="preserve"> </w:t>
      </w:r>
      <w:r>
        <w:rPr>
          <w:rStyle w:val="VerbatimChar"/>
        </w:rPr>
        <w:t xml:space="preserve">#pragma</w:t>
      </w:r>
      <w:r>
        <w:t xml:space="preserve"> </w:t>
      </w:r>
      <w:r>
        <w:t xml:space="preserve">or an attribute that names the reason.</w:t>
      </w:r>
    </w:p>
    <w:p>
      <w:pPr>
        <w:pStyle w:val="Compact"/>
        <w:numPr>
          <w:ilvl w:val="0"/>
          <w:numId w:val="1009"/>
        </w:numPr>
      </w:pPr>
      <w:r>
        <w:t xml:space="preserve">Indentation is 4 spaces; do not use tabs. Files use UTF-8 encoding and end with a single trailing newline. The maximum line length target is 120 characters.</w:t>
      </w:r>
    </w:p>
    <w:p>
      <w:pPr>
        <w:pStyle w:val="Compact"/>
        <w:numPr>
          <w:ilvl w:val="0"/>
          <w:numId w:val="1009"/>
        </w:numPr>
      </w:pPr>
      <w:r>
        <w:t xml:space="preserve">Order members consistently: constants, fields, constructors, properties, then methods. Place</w:t>
      </w:r>
      <w:r>
        <w:t xml:space="preserve"> </w:t>
      </w:r>
      <w:r>
        <w:rPr>
          <w:rStyle w:val="VerbatimChar"/>
        </w:rPr>
        <w:t xml:space="preserve">using</w:t>
      </w:r>
      <w:r>
        <w:t xml:space="preserve"> </w:t>
      </w:r>
      <w:r>
        <w:t xml:space="preserve">directives outside the namespace and sort them with system namespaces first.</w:t>
      </w:r>
    </w:p>
    <w:p>
      <w:pPr>
        <w:pStyle w:val="FirstParagraph"/>
      </w:pPr>
      <w:r>
        <w:t xml:space="preserve">A representative</w:t>
      </w:r>
      <w:r>
        <w:t xml:space="preserve"> </w:t>
      </w:r>
      <w:r>
        <w:rPr>
          <w:rStyle w:val="VerbatimChar"/>
        </w:rPr>
        <w:t xml:space="preserve">.editorconfig</w:t>
      </w:r>
      <w:r>
        <w:t xml:space="preserve"> </w:t>
      </w:r>
      <w:r>
        <w:t xml:space="preserve">core:</w:t>
      </w:r>
    </w:p>
    <w:p>
      <w:pPr>
        <w:pStyle w:val="SourceCode"/>
      </w:pPr>
      <w:r>
        <w:rPr>
          <w:rStyle w:val="DataTypeTok"/>
        </w:rPr>
        <w:t xml:space="preserve">root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[*.cs]</w:t>
      </w:r>
      <w:r>
        <w:br/>
      </w:r>
      <w:r>
        <w:rPr>
          <w:rStyle w:val="DataTypeTok"/>
        </w:rPr>
        <w:t xml:space="preserve">indent_style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space</w:t>
      </w:r>
      <w:r>
        <w:br/>
      </w:r>
      <w:r>
        <w:rPr>
          <w:rStyle w:val="DataTypeTok"/>
        </w:rPr>
        <w:t xml:space="preserve">indent_size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DataTypeTok"/>
        </w:rPr>
        <w:t xml:space="preserve">charset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utf-8</w:t>
      </w:r>
      <w:r>
        <w:br/>
      </w:r>
      <w:r>
        <w:rPr>
          <w:rStyle w:val="DataTypeTok"/>
        </w:rPr>
        <w:t xml:space="preserve">insert_final_newline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DataTypeTok"/>
        </w:rPr>
        <w:t xml:space="preserve">dotnet_diagnostic.CA2007.severity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warning</w:t>
      </w:r>
      <w:r>
        <w:br/>
      </w:r>
      <w:r>
        <w:rPr>
          <w:rStyle w:val="DataTypeTok"/>
        </w:rPr>
        <w:t xml:space="preserve">dotnet_sort_system_directives_first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DataTypeTok"/>
        </w:rPr>
        <w:t xml:space="preserve">csharp_style_namespace_declarations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file_scoped:warning</w:t>
      </w:r>
      <w:r>
        <w:br/>
      </w:r>
      <w:r>
        <w:rPr>
          <w:rStyle w:val="DataTypeTok"/>
        </w:rPr>
        <w:t xml:space="preserve">dotnet_style_require_accessibility_modifiers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always:warning</w:t>
      </w:r>
    </w:p>
    <w:bookmarkEnd w:id="28"/>
    <w:bookmarkStart w:id="29" w:name="X62e4817b9dbc02acce91e9a780050ec748964e8"/>
    <w:p>
      <w:pPr>
        <w:pStyle w:val="Heading2"/>
      </w:pPr>
      <w:r>
        <w:t xml:space="preserve">10. Test Naming and Structure</w:t>
      </w:r>
    </w:p>
    <w:p>
      <w:pPr>
        <w:pStyle w:val="Compact"/>
        <w:numPr>
          <w:ilvl w:val="0"/>
          <w:numId w:val="1010"/>
        </w:numPr>
      </w:pPr>
      <w:r>
        <w:t xml:space="preserve">Test projects live only in</w:t>
      </w:r>
      <w:r>
        <w:t xml:space="preserve"> </w:t>
      </w:r>
      <w:r>
        <w:rPr>
          <w:rStyle w:val="VerbatimChar"/>
        </w:rPr>
        <w:t xml:space="preserve">OgmaLibrary.Tests</w:t>
      </w:r>
      <w:r>
        <w:t xml:space="preserve">. Production projects contain no test code.</w:t>
      </w:r>
    </w:p>
    <w:p>
      <w:pPr>
        <w:pStyle w:val="Compact"/>
        <w:numPr>
          <w:ilvl w:val="0"/>
          <w:numId w:val="1010"/>
        </w:numPr>
      </w:pPr>
      <w:r>
        <w:t xml:space="preserve">Name a test method</w:t>
      </w:r>
      <w:r>
        <w:t xml:space="preserve"> </w:t>
      </w:r>
      <w:r>
        <w:rPr>
          <w:rStyle w:val="VerbatimChar"/>
        </w:rPr>
        <w:t xml:space="preserve">MethodUnderTest_Scenario_ExpectedOutcome</w:t>
      </w:r>
      <w:r>
        <w:t xml:space="preserve">, for example</w:t>
      </w:r>
      <w:r>
        <w:t xml:space="preserve"> </w:t>
      </w:r>
      <w:r>
        <w:rPr>
          <w:rStyle w:val="VerbatimChar"/>
        </w:rPr>
        <w:t xml:space="preserve">ScanFolder_WhenOneFileIsCorrupt_ContinuesAndRecordsFailure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Use the Arrange-Act-Assert structure with a blank line between the three sections. One behaviour per test.</w:t>
      </w:r>
    </w:p>
    <w:p>
      <w:pPr>
        <w:pStyle w:val="Compact"/>
        <w:numPr>
          <w:ilvl w:val="0"/>
          <w:numId w:val="1010"/>
        </w:numPr>
      </w:pPr>
      <w:r>
        <w:t xml:space="preserve">Verify the catalogue of record stays authoritative: an integration test asserts that the Reader and the 3D shelf read projections and never write book identity.</w:t>
      </w:r>
    </w:p>
    <w:p>
      <w:pPr>
        <w:pStyle w:val="Compact"/>
        <w:numPr>
          <w:ilvl w:val="0"/>
          <w:numId w:val="1010"/>
        </w:numPr>
      </w:pPr>
      <w:r>
        <w:t xml:space="preserve">Run the golden corpus suite against the curated set of test PDFs (simple, scanned, password-protected, very large, two-column, rotated, non-English, malformed). A change to scan, render, extract, or enrich logic must keep the golden corpus suite passing.</w:t>
      </w:r>
    </w:p>
    <w:p>
      <w:pPr>
        <w:pStyle w:val="Compact"/>
        <w:numPr>
          <w:ilvl w:val="0"/>
          <w:numId w:val="1010"/>
        </w:numPr>
      </w:pPr>
      <w:r>
        <w:t xml:space="preserve">Name an architecture test that guards the dependency direction</w:t>
      </w:r>
      <w:r>
        <w:t xml:space="preserve"> </w:t>
      </w:r>
      <w:r>
        <w:rPr>
          <w:rStyle w:val="VerbatimChar"/>
        </w:rPr>
        <w:t xml:space="preserve">Architecture_DomainProject_HasNoOutwardDependencies</w:t>
      </w:r>
      <w:r>
        <w:t xml:space="preserve">.</w:t>
      </w:r>
    </w:p>
    <w:p>
      <w:pPr>
        <w:pStyle w:val="FirstParagraph"/>
      </w:pPr>
      <w:r>
        <w:t xml:space="preserve">\newpage</w:t>
      </w:r>
    </w:p>
    <w:bookmarkEnd w:id="29"/>
    <w:bookmarkEnd w:id="30"/>
    <w:bookmarkStart w:id="44" w:name="Xccf1e8659163021b1ddeb349dd037bdd58cb26a"/>
    <w:p>
      <w:pPr>
        <w:pStyle w:val="Heading1"/>
      </w:pPr>
      <w:r>
        <w:t xml:space="preserve">Developer Environment Setup for Ogma Library</w:t>
      </w:r>
    </w:p>
    <w:p>
      <w:pPr>
        <w:pStyle w:val="FirstParagraph"/>
      </w:pPr>
      <w:r>
        <w:t xml:space="preserve">This document defines a reproducible developer environment for the</w:t>
      </w:r>
      <w:r>
        <w:t xml:space="preserve"> </w:t>
      </w:r>
      <w:r>
        <w:rPr>
          <w:rStyle w:val="VerbatimChar"/>
        </w:rPr>
        <w:t xml:space="preserve">OgmaLibrary.sln</w:t>
      </w:r>
      <w:r>
        <w:t xml:space="preserve"> </w:t>
      </w:r>
      <w:r>
        <w:t xml:space="preserve">solution. Following these steps on a clean machine produces a build that launches the Avalonia shell and completes a sample scan. The setup is ordered: install the prerequisites, bootstrap the repository, then verify the result.</w:t>
      </w:r>
    </w:p>
    <w:bookmarkStart w:id="31" w:name="Xd38293d73c0611432ce64b398c00caec2426bb9"/>
    <w:p>
      <w:pPr>
        <w:pStyle w:val="Heading2"/>
      </w:pPr>
      <w:r>
        <w:t xml:space="preserve">1. Prerequisites and Dependencies</w:t>
      </w:r>
    </w:p>
    <w:p>
      <w:pPr>
        <w:pStyle w:val="FirstParagraph"/>
      </w:pPr>
      <w:r>
        <w:t xml:space="preserve">The following prerequisites are required before any build. Install the exact runtime and native dependencies; the build fails or degrades silently when a native dependency is absent.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Version / Note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.NET 10 SDK</w:t>
            </w:r>
          </w:p>
        </w:tc>
        <w:tc>
          <w:tcPr/>
          <w:p>
            <w:pPr>
              <w:pStyle w:val="Compact"/>
            </w:pPr>
            <w:r>
              <w:t xml:space="preserve">.NET 10 LTS (Long-Term Support)</w:t>
            </w:r>
          </w:p>
        </w:tc>
        <w:tc>
          <w:tcPr/>
          <w:p>
            <w:pPr>
              <w:pStyle w:val="Compact"/>
            </w:pPr>
            <w:r>
              <w:t xml:space="preserve">Builds and runs every project in the solution.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2.40 or later</w:t>
            </w:r>
          </w:p>
        </w:tc>
        <w:tc>
          <w:tcPr/>
          <w:p>
            <w:pPr>
              <w:pStyle w:val="Compact"/>
            </w:pPr>
            <w:r>
              <w:t xml:space="preserve">Clones the repository and runs hooks.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WebView2 runtime</w:t>
            </w:r>
          </w:p>
        </w:tc>
        <w:tc>
          <w:tcPr/>
          <w:p>
            <w:pPr>
              <w:pStyle w:val="Compact"/>
            </w:pPr>
            <w:r>
              <w:t xml:space="preserve">Evergreen runtime on Windows</w:t>
            </w:r>
          </w:p>
        </w:tc>
        <w:tc>
          <w:tcPr/>
          <w:p>
            <w:pPr>
              <w:pStyle w:val="Compact"/>
            </w:pPr>
            <w:r>
              <w:t xml:space="preserve">Hosts the embedded Three.js 3D shelf in</w:t>
            </w:r>
            <w:r>
              <w:t xml:space="preserve"> </w:t>
            </w:r>
            <w:r>
              <w:rPr>
                <w:rStyle w:val="VerbatimChar"/>
              </w:rPr>
              <w:t xml:space="preserve">OgmaLibrary.Bookshelf3D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WKWebView</w:t>
            </w:r>
          </w:p>
        </w:tc>
        <w:tc>
          <w:tcPr/>
          <w:p>
            <w:pPr>
              <w:pStyle w:val="Compact"/>
            </w:pPr>
            <w:r>
              <w:t xml:space="preserve">Bundled with macOS</w:t>
            </w:r>
          </w:p>
        </w:tc>
        <w:tc>
          <w:tcPr/>
          <w:p>
            <w:pPr>
              <w:pStyle w:val="Compact"/>
            </w:pPr>
            <w:r>
              <w:t xml:space="preserve">Hosts the same 3D shelf on macOS; no separate install is required.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PDFium native library</w:t>
            </w:r>
          </w:p>
        </w:tc>
        <w:tc>
          <w:tcPr/>
          <w:p>
            <w:pPr>
              <w:pStyle w:val="Compact"/>
            </w:pPr>
            <w:r>
              <w:t xml:space="preserve">Platform-matched binary</w:t>
            </w:r>
          </w:p>
        </w:tc>
        <w:tc>
          <w:tcPr/>
          <w:p>
            <w:pPr>
              <w:pStyle w:val="Compact"/>
            </w:pPr>
            <w:r>
              <w:t xml:space="preserve">Renders PDF pages and opens password-protected documents in</w:t>
            </w:r>
            <w:r>
              <w:t xml:space="preserve"> </w:t>
            </w:r>
            <w:r>
              <w:rPr>
                <w:rStyle w:val="VerbatimChar"/>
              </w:rPr>
              <w:t xml:space="preserve">OgmaLibrary.Reader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PdfPig</w:t>
            </w:r>
          </w:p>
        </w:tc>
        <w:tc>
          <w:tcPr/>
          <w:p>
            <w:pPr>
              <w:pStyle w:val="Compact"/>
            </w:pPr>
            <w:r>
              <w:t xml:space="preserve">NuGet package</w:t>
            </w:r>
          </w:p>
        </w:tc>
        <w:tc>
          <w:tcPr/>
          <w:p>
            <w:pPr>
              <w:pStyle w:val="Compact"/>
            </w:pPr>
            <w:r>
              <w:t xml:space="preserve">Extracts PDF text and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PDFsharp</w:t>
            </w:r>
          </w:p>
        </w:tc>
        <w:tc>
          <w:tcPr/>
          <w:p>
            <w:pPr>
              <w:pStyle w:val="Compact"/>
            </w:pPr>
            <w:r>
              <w:t xml:space="preserve">NuGet package</w:t>
            </w:r>
          </w:p>
        </w:tc>
        <w:tc>
          <w:tcPr/>
          <w:p>
            <w:pPr>
              <w:pStyle w:val="Compact"/>
            </w:pPr>
            <w:r>
              <w:t xml:space="preserve">Performs metadata write-back.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SkiaSharp native assets</w:t>
            </w:r>
          </w:p>
        </w:tc>
        <w:tc>
          <w:tcPr/>
          <w:p>
            <w:pPr>
              <w:pStyle w:val="Compact"/>
            </w:pPr>
            <w:r>
              <w:t xml:space="preserve">Platform-matched runtime package</w:t>
            </w:r>
          </w:p>
        </w:tc>
        <w:tc>
          <w:tcPr/>
          <w:p>
            <w:pPr>
              <w:pStyle w:val="Compact"/>
            </w:pPr>
            <w:r>
              <w:t xml:space="preserve">Resizes images and generates cover, thumbnail, and spine textures.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Bundled through the EF Core SQLite provider</w:t>
            </w:r>
          </w:p>
        </w:tc>
        <w:tc>
          <w:tcPr/>
          <w:p>
            <w:pPr>
              <w:pStyle w:val="Compact"/>
            </w:pPr>
            <w:r>
              <w:t xml:space="preserve">Stores the catalogue of record.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Optional, for local embeddings</w:t>
            </w:r>
          </w:p>
        </w:tc>
        <w:tc>
          <w:tcPr/>
          <w:p>
            <w:pPr>
              <w:pStyle w:val="Compact"/>
            </w:pPr>
            <w:r>
              <w:t xml:space="preserve">Runs embedding and language models on-device with no off-device egress.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Tesseract</w:t>
            </w:r>
          </w:p>
        </w:tc>
        <w:tc>
          <w:tcPr/>
          <w:p>
            <w:pPr>
              <w:pStyle w:val="Compact"/>
            </w:pPr>
            <w:r>
              <w:t xml:space="preserve">Optional, for Optical Character Recognition (OCR)</w:t>
            </w:r>
          </w:p>
        </w:tc>
        <w:tc>
          <w:tcPr/>
          <w:p>
            <w:pPr>
              <w:pStyle w:val="Compact"/>
            </w:pPr>
            <w:r>
              <w:t xml:space="preserve">Converts image-only PDF pages into searchable text.</w:t>
            </w:r>
          </w:p>
        </w:tc>
      </w:tr>
    </w:tbl>
    <w:p>
      <w:pPr>
        <w:pStyle w:val="BodyText"/>
      </w:pPr>
      <w:r>
        <w:t xml:space="preserve">Platform notes for the native dependencies:</w:t>
      </w:r>
    </w:p>
    <w:p>
      <w:pPr>
        <w:pStyle w:val="Compact"/>
        <w:numPr>
          <w:ilvl w:val="0"/>
          <w:numId w:val="1011"/>
        </w:numPr>
      </w:pPr>
      <w:r>
        <w:t xml:space="preserve">On</w:t>
      </w:r>
      <w:r>
        <w:t xml:space="preserve"> </w:t>
      </w:r>
      <w:r>
        <w:rPr>
          <w:b/>
          <w:bCs/>
        </w:rPr>
        <w:t xml:space="preserve">Windows</w:t>
      </w:r>
      <w:r>
        <w:t xml:space="preserve">, install the WebView2 Evergreen runtime. Most current Windows installs already carry it; confirm it in the verification section below.</w:t>
      </w:r>
    </w:p>
    <w:p>
      <w:pPr>
        <w:pStyle w:val="Compact"/>
        <w:numPr>
          <w:ilvl w:val="0"/>
          <w:numId w:val="1011"/>
        </w:numPr>
      </w:pPr>
      <w:r>
        <w:t xml:space="preserve">On</w:t>
      </w:r>
      <w:r>
        <w:t xml:space="preserve"> </w:t>
      </w:r>
      <w:r>
        <w:rPr>
          <w:b/>
          <w:bCs/>
        </w:rPr>
        <w:t xml:space="preserve">macOS</w:t>
      </w:r>
      <w:r>
        <w:t xml:space="preserve">, WKWebView ships with the operating system. SkiaSharp and PDFium native assets are restored as platform-matched NuGet runtime packages during</w:t>
      </w:r>
      <w:r>
        <w:t xml:space="preserve"> </w:t>
      </w:r>
      <w:r>
        <w:rPr>
          <w:rStyle w:val="VerbatimChar"/>
        </w:rPr>
        <w:t xml:space="preserve">dotnet restore</w:t>
      </w:r>
      <w:r>
        <w:t xml:space="preserve">; no separate Homebrew install is required for the default build.</w:t>
      </w:r>
    </w:p>
    <w:p>
      <w:pPr>
        <w:pStyle w:val="Compact"/>
        <w:numPr>
          <w:ilvl w:val="0"/>
          <w:numId w:val="1011"/>
        </w:numPr>
      </w:pPr>
      <w:r>
        <w:t xml:space="preserve">PDFium, PdfPig, PDFsharp, and SkiaSharp arrive as transitive NuGet dependencies. The manual install steps below cover only the runtimes that NuGet cannot supply: the .NET 10 SDK, the WebView2 runtime, and the optional Ollama and Tesseract tools.</w:t>
      </w:r>
    </w:p>
    <w:bookmarkEnd w:id="31"/>
    <w:bookmarkStart w:id="38" w:name="Xdbe26af9d876257ccaeec75f15470bd676bd572"/>
    <w:p>
      <w:pPr>
        <w:pStyle w:val="Heading2"/>
      </w:pPr>
      <w:r>
        <w:t xml:space="preserve">2. Install and Bootstrap</w:t>
      </w:r>
    </w:p>
    <w:p>
      <w:pPr>
        <w:pStyle w:val="FirstParagraph"/>
      </w:pPr>
      <w:r>
        <w:t xml:space="preserve">Run these steps in order on a clean machine. Each step is idempotent; re-running it does no harm.</w:t>
      </w:r>
    </w:p>
    <w:bookmarkStart w:id="32" w:name="Xe36b2c3b070b7d3cd7caf6c5e5b407a93425e0d"/>
    <w:p>
      <w:pPr>
        <w:pStyle w:val="Heading3"/>
      </w:pPr>
      <w:r>
        <w:t xml:space="preserve">2.1 Install the .NET 10 SDK</w:t>
      </w:r>
    </w:p>
    <w:p>
      <w:pPr>
        <w:pStyle w:val="FirstParagraph"/>
      </w:pPr>
      <w:r>
        <w:t xml:space="preserve">Install the</w:t>
      </w:r>
      <w:r>
        <w:t xml:space="preserve"> </w:t>
      </w:r>
      <w:r>
        <w:rPr>
          <w:b/>
          <w:bCs/>
        </w:rPr>
        <w:t xml:space="preserve">.NET 10 SDK</w:t>
      </w:r>
      <w:r>
        <w:t xml:space="preserve"> </w:t>
      </w:r>
      <w:r>
        <w:t xml:space="preserve">from the official distribution for your platform, then confirm the version on the command line: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The reported major version must be 10.</w:t>
      </w:r>
    </w:p>
    <w:bookmarkEnd w:id="32"/>
    <w:bookmarkStart w:id="33" w:name="X1062e430b638e58214a17dd662f487f09296695"/>
    <w:p>
      <w:pPr>
        <w:pStyle w:val="Heading3"/>
      </w:pPr>
      <w:r>
        <w:t xml:space="preserve">2.2 Install the WebView2 runtime (Windows)</w:t>
      </w:r>
    </w:p>
    <w:p>
      <w:pPr>
        <w:pStyle w:val="FirstParagraph"/>
      </w:pPr>
      <w:r>
        <w:t xml:space="preserve">On Windows, install the WebView2 Evergreen runtime from the Microsoft distribution if the verification step reports it missing. On macOS, skip this step; WKWebView is already present.</w:t>
      </w:r>
    </w:p>
    <w:bookmarkEnd w:id="33"/>
    <w:bookmarkStart w:id="34" w:name="X7eb53989eb7f49a2efbf71bdb3795c55699a380"/>
    <w:p>
      <w:pPr>
        <w:pStyle w:val="Heading3"/>
      </w:pPr>
      <w:r>
        <w:t xml:space="preserve">2.3 Install the optional local-AI and OCR tools</w:t>
      </w:r>
    </w:p>
    <w:p>
      <w:pPr>
        <w:pStyle w:val="FirstParagraph"/>
      </w:pPr>
      <w:r>
        <w:t xml:space="preserve">These tools are optional and only required for the Local AI privacy tier and the OCR job.</w:t>
      </w:r>
    </w:p>
    <w:p>
      <w:pPr>
        <w:pStyle w:val="SourceCode"/>
      </w:pPr>
      <w:r>
        <w:rPr>
          <w:rStyle w:val="CommentTok"/>
        </w:rPr>
        <w:t xml:space="preserve"># Local embeddings (optional): install Ollama, then pull an embedding model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nomic-embed-text</w:t>
      </w:r>
      <w:r>
        <w:br/>
      </w:r>
      <w:r>
        <w:br/>
      </w:r>
      <w:r>
        <w:rPr>
          <w:rStyle w:val="CommentTok"/>
        </w:rPr>
        <w:t xml:space="preserve"># OCR (optional): install Tesseract through your platform package manager</w:t>
      </w:r>
      <w:r>
        <w:br/>
      </w:r>
      <w:r>
        <w:rPr>
          <w:rStyle w:val="CommentTok"/>
        </w:rPr>
        <w:t xml:space="preserve"># Windows: install the Tesseract distribution and add it to PATH</w:t>
      </w:r>
      <w:r>
        <w:br/>
      </w:r>
      <w:r>
        <w:rPr>
          <w:rStyle w:val="CommentTok"/>
        </w:rPr>
        <w:t xml:space="preserve"># macOS:   brew install tesseract</w:t>
      </w:r>
    </w:p>
    <w:bookmarkEnd w:id="34"/>
    <w:bookmarkStart w:id="35" w:name="Xfc9d776cffb116c85f5f52c9d212ef9583015a2"/>
    <w:p>
      <w:pPr>
        <w:pStyle w:val="Heading3"/>
      </w:pPr>
      <w:r>
        <w:t xml:space="preserve">2.4 Clone the repository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https://example.invalid/chwezi/ogma-library.git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ogma-library</w:t>
      </w:r>
    </w:p>
    <w:bookmarkEnd w:id="35"/>
    <w:bookmarkStart w:id="36" w:name="X6937fdbff847a95a141cd647e1a105dba744b43"/>
    <w:p>
      <w:pPr>
        <w:pStyle w:val="Heading3"/>
      </w:pPr>
      <w:r>
        <w:t xml:space="preserve">2.5 Restore and build</w:t>
      </w:r>
    </w:p>
    <w:p>
      <w:pPr>
        <w:pStyle w:val="FirstParagraph"/>
      </w:pPr>
      <w:r>
        <w:t xml:space="preserve">Restore NuGet dependencies, then build the whole solution. The restore step pulls the PDFium, PdfPig, PDFsharp, and SkiaSharp native assets.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restore OgmaLibrary.sln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OgmaLibrary.sln </w:t>
      </w:r>
      <w:r>
        <w:rPr>
          <w:rStyle w:val="AttributeTok"/>
        </w:rPr>
        <w:t xml:space="preserve">--configuration</w:t>
      </w:r>
      <w:r>
        <w:rPr>
          <w:rStyle w:val="NormalTok"/>
        </w:rPr>
        <w:t xml:space="preserve"> Debug</w:t>
      </w:r>
    </w:p>
    <w:bookmarkEnd w:id="36"/>
    <w:bookmarkStart w:id="37" w:name="Xa5a9d2f86866bc4262d7b2c438ef72895c6e373"/>
    <w:p>
      <w:pPr>
        <w:pStyle w:val="Heading3"/>
      </w:pPr>
      <w:r>
        <w:t xml:space="preserve">2.6 Apply formatting and analyzer settings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format OgmaLibrary.sln </w:t>
      </w:r>
      <w:r>
        <w:rPr>
          <w:rStyle w:val="AttributeTok"/>
        </w:rPr>
        <w:t xml:space="preserve">--verify-no-changes</w:t>
      </w:r>
    </w:p>
    <w:p>
      <w:pPr>
        <w:pStyle w:val="FirstParagraph"/>
      </w:pPr>
      <w:r>
        <w:t xml:space="preserve">A clean tree reports no formatting changes. If it reports changes, run</w:t>
      </w:r>
      <w:r>
        <w:t xml:space="preserve"> </w:t>
      </w:r>
      <w:r>
        <w:rPr>
          <w:rStyle w:val="VerbatimChar"/>
        </w:rPr>
        <w:t xml:space="preserve">dotnet format OgmaLibrary.sln</w:t>
      </w:r>
      <w:r>
        <w:t xml:space="preserve"> </w:t>
      </w:r>
      <w:r>
        <w:t xml:space="preserve">to apply them before committing.</w:t>
      </w:r>
    </w:p>
    <w:bookmarkEnd w:id="37"/>
    <w:bookmarkEnd w:id="38"/>
    <w:bookmarkStart w:id="43" w:name="X83f74b46eb4ab55044a060b4799e2cebcea94ce"/>
    <w:p>
      <w:pPr>
        <w:pStyle w:val="Heading2"/>
      </w:pPr>
      <w:r>
        <w:t xml:space="preserve">3. Verify and Validate the Setup</w:t>
      </w:r>
    </w:p>
    <w:p>
      <w:pPr>
        <w:pStyle w:val="FirstParagraph"/>
      </w:pPr>
      <w:r>
        <w:t xml:space="preserve">Complete every check below. The setup is reproducible only when all checks pass.</w:t>
      </w:r>
    </w:p>
    <w:bookmarkStart w:id="39" w:name="X5f648e93d5b89eab5d68632e4f8bcb7e0303cdc"/>
    <w:p>
      <w:pPr>
        <w:pStyle w:val="Heading3"/>
      </w:pPr>
      <w:r>
        <w:t xml:space="preserve">3.1 Verify the build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OgmaLibrary.sln </w:t>
      </w:r>
      <w:r>
        <w:rPr>
          <w:rStyle w:val="AttributeTok"/>
        </w:rPr>
        <w:t xml:space="preserve">--configuration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t xml:space="preserve">The build completes with zero warnings and zero errors. Warnings are errors in this solution.</w:t>
      </w:r>
    </w:p>
    <w:bookmarkEnd w:id="39"/>
    <w:bookmarkStart w:id="40" w:name="Xc6942bf78212029a8a1dba091d98e3c82a83b55"/>
    <w:p>
      <w:pPr>
        <w:pStyle w:val="Heading3"/>
      </w:pPr>
      <w:r>
        <w:t xml:space="preserve">3.2 Verify the test suite</w:t>
      </w:r>
    </w:p>
    <w:p>
      <w:pPr>
        <w:pStyle w:val="FirstParagraph"/>
      </w:pPr>
      <w:r>
        <w:t xml:space="preserve">Run the test project and confirm the golden corpus suite passes: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 OgmaLibrary.sln </w:t>
      </w:r>
      <w:r>
        <w:rPr>
          <w:rStyle w:val="AttributeTok"/>
        </w:rPr>
        <w:t xml:space="preserve">--configuration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t xml:space="preserve">All unit, integration, and golden-corpus tests pass. A failure here means a native dependency is missing or misconfigured; re-check Section 1.</w:t>
      </w:r>
    </w:p>
    <w:bookmarkEnd w:id="40"/>
    <w:bookmarkStart w:id="41" w:name="Xa634bcbc54e85086678def8e63235ab4120890b"/>
    <w:p>
      <w:pPr>
        <w:pStyle w:val="Heading3"/>
      </w:pPr>
      <w:r>
        <w:t xml:space="preserve">3.3 Verify the WebView2 runtime (Windows)</w:t>
      </w:r>
    </w:p>
    <w:p>
      <w:pPr>
        <w:pStyle w:val="FirstParagraph"/>
      </w:pPr>
      <w:r>
        <w:t xml:space="preserve">Launch the application and open the 3D shelf view. If the shelf renders the Three.js scene, the WebView2 runtime is present. A blank shelf panel on Windows indicates a missing WebView2 runtime; return to Section 2.2.</w:t>
      </w:r>
    </w:p>
    <w:bookmarkEnd w:id="41"/>
    <w:bookmarkStart w:id="42" w:name="Xc722e43f83df9706bfa54fb2049caece4dd1c0f"/>
    <w:p>
      <w:pPr>
        <w:pStyle w:val="Heading3"/>
      </w:pPr>
      <w:r>
        <w:t xml:space="preserve">3.4 Verify the application launches and a sample scan works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OgmaLibrary.App</w:t>
      </w:r>
    </w:p>
    <w:p>
      <w:pPr>
        <w:pStyle w:val="FirstParagraph"/>
      </w:pPr>
      <w:r>
        <w:t xml:space="preserve">Confirm the following acceptance checks in order:</w:t>
      </w:r>
    </w:p>
    <w:p>
      <w:pPr>
        <w:pStyle w:val="Compact"/>
        <w:numPr>
          <w:ilvl w:val="0"/>
          <w:numId w:val="1012"/>
        </w:numPr>
      </w:pPr>
      <w:r>
        <w:t xml:space="preserve">The Avalonia main window opens within the cold-start budget of 3 seconds.</w:t>
      </w:r>
    </w:p>
    <w:p>
      <w:pPr>
        <w:pStyle w:val="Compact"/>
        <w:numPr>
          <w:ilvl w:val="0"/>
          <w:numId w:val="1012"/>
        </w:numPr>
      </w:pPr>
      <w:r>
        <w:t xml:space="preserve">Point the application at the sample PDF folder under</w:t>
      </w:r>
      <w:r>
        <w:t xml:space="preserve"> </w:t>
      </w:r>
      <w:r>
        <w:rPr>
          <w:rStyle w:val="VerbatimChar"/>
        </w:rPr>
        <w:t xml:space="preserve">OgmaLibrary.Tests</w:t>
      </w:r>
      <w:r>
        <w:t xml:space="preserve"> </w:t>
      </w:r>
      <w:r>
        <w:t xml:space="preserve">golden corpus assets and start a scan.</w:t>
      </w:r>
    </w:p>
    <w:p>
      <w:pPr>
        <w:pStyle w:val="Compact"/>
        <w:numPr>
          <w:ilvl w:val="0"/>
          <w:numId w:val="1012"/>
        </w:numPr>
      </w:pPr>
      <w:r>
        <w:t xml:space="preserve">The scan completes and the catalogue lists the scanned books with generated covers and thumbnails.</w:t>
      </w:r>
    </w:p>
    <w:p>
      <w:pPr>
        <w:pStyle w:val="Compact"/>
        <w:numPr>
          <w:ilvl w:val="0"/>
          <w:numId w:val="1012"/>
        </w:numPr>
      </w:pPr>
      <w:r>
        <w:t xml:space="preserve">Confirm a deliberately malformed sample PDF is recorded as a per-file failure while the rest of the batch completes, validating per-file scan isolation.</w:t>
      </w:r>
    </w:p>
    <w:p>
      <w:pPr>
        <w:pStyle w:val="FirstParagraph"/>
      </w:pPr>
      <w:r>
        <w:t xml:space="preserve">When all four checks pass, the environment is verified and ready for development.</w:t>
      </w:r>
    </w:p>
    <w:p>
      <w:pPr>
        <w:pStyle w:val="BodyText"/>
      </w:pPr>
      <w:r>
        <w:t xml:space="preserve">\newpage</w:t>
      </w:r>
    </w:p>
    <w:bookmarkEnd w:id="42"/>
    <w:bookmarkEnd w:id="43"/>
    <w:bookmarkEnd w:id="44"/>
    <w:bookmarkStart w:id="52" w:name="contributing-to-ogma-library"/>
    <w:p>
      <w:pPr>
        <w:pStyle w:val="Heading1"/>
      </w:pPr>
      <w:r>
        <w:t xml:space="preserve">Contributing to Ogma Library</w:t>
      </w:r>
    </w:p>
    <w:p>
      <w:pPr>
        <w:pStyle w:val="FirstParagraph"/>
      </w:pPr>
      <w:r>
        <w:t xml:space="preserve">This guide defines how work enters the Ogma Library codebase. It applies to every contributor. A change that does not follow this guide is not ready to merge. The product is delivered under a Hybrid (Water-Scrum-Fall) methodology: requirements are baselined in Phase 02, and delivery proceeds across the Phase 07 agile build phases. Every code change traces back to a baselined requirement.</w:t>
      </w:r>
    </w:p>
    <w:bookmarkStart w:id="45" w:name="Xd279a1387b4dcf274cb891ec71518b4231cbcad"/>
    <w:p>
      <w:pPr>
        <w:pStyle w:val="Heading2"/>
      </w:pPr>
      <w:r>
        <w:t xml:space="preserve">1. Branch Strategy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is always releasable. No one commits directly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Branch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for every change. Name the branch by type and the requirement or story it implements: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feature/LIB-012-scan-folder</w:t>
      </w:r>
      <w:r>
        <w:t xml:space="preserve"> </w:t>
      </w:r>
      <w:r>
        <w:t xml:space="preserve">for a functional-requirement feature.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fix/READ-004-page-turn-cache</w:t>
      </w:r>
      <w:r>
        <w:t xml:space="preserve"> </w:t>
      </w:r>
      <w:r>
        <w:t xml:space="preserve">for a defect fix.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chore/build-props-net10</w:t>
      </w:r>
      <w:r>
        <w:t xml:space="preserve"> </w:t>
      </w:r>
      <w:r>
        <w:t xml:space="preserve">for tooling and build changes.</w:t>
      </w:r>
    </w:p>
    <w:p>
      <w:pPr>
        <w:pStyle w:val="Compact"/>
        <w:numPr>
          <w:ilvl w:val="0"/>
          <w:numId w:val="1013"/>
        </w:numPr>
      </w:pPr>
      <w:r>
        <w:t xml:space="preserve">Keep a branch focused on one story or one defect. Rebase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before opening a pull request so the history is linear.</w:t>
      </w:r>
    </w:p>
    <w:p>
      <w:pPr>
        <w:pStyle w:val="Compact"/>
        <w:numPr>
          <w:ilvl w:val="0"/>
          <w:numId w:val="1013"/>
        </w:numPr>
      </w:pPr>
      <w:r>
        <w:t xml:space="preserve">Delete the branch after the pull request merges.</w:t>
      </w:r>
    </w:p>
    <w:bookmarkEnd w:id="45"/>
    <w:bookmarkStart w:id="46" w:name="X260c3ed8ed56d649fb5282c2f6dcfad64b0a013"/>
    <w:p>
      <w:pPr>
        <w:pStyle w:val="Heading2"/>
      </w:pPr>
      <w:r>
        <w:t xml:space="preserve">2. Commit Conventions</w:t>
      </w:r>
    </w:p>
    <w:p>
      <w:pPr>
        <w:pStyle w:val="Compact"/>
        <w:numPr>
          <w:ilvl w:val="0"/>
          <w:numId w:val="1015"/>
        </w:numPr>
      </w:pPr>
      <w:r>
        <w:t xml:space="preserve">Use Conventional Commits. The subject line is</w:t>
      </w:r>
      <w:r>
        <w:t xml:space="preserve"> </w:t>
      </w:r>
      <w:r>
        <w:rPr>
          <w:rStyle w:val="VerbatimChar"/>
        </w:rPr>
        <w:t xml:space="preserve">type(scope): summary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is one of</w:t>
      </w:r>
      <w:r>
        <w:t xml:space="preserve"> </w:t>
      </w:r>
      <w:r>
        <w:rPr>
          <w:rStyle w:val="VerbatimChar"/>
        </w:rPr>
        <w:t xml:space="preserve">feat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perf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is the bounded context or project, for example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bookshelf3d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app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Reference the requirement or story identifier in the commit body, for example</w:t>
      </w:r>
      <w:r>
        <w:t xml:space="preserve"> </w:t>
      </w:r>
      <w:r>
        <w:rPr>
          <w:rStyle w:val="VerbatimChar"/>
        </w:rPr>
        <w:t xml:space="preserve">Implements LIB-012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Closes READ-004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Keep the subject line at 72 characters or fewer in the imperative mood:</w:t>
      </w:r>
      <w:r>
        <w:t xml:space="preserve"> </w:t>
      </w:r>
      <w:r>
        <w:rPr>
          <w:rStyle w:val="VerbatimChar"/>
        </w:rPr>
        <w:t xml:space="preserve">feat(workers): isolate per-file scan failures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Each commit builds and passes tests on its own; do not commit a broken intermediate state.</w:t>
      </w:r>
    </w:p>
    <w:bookmarkEnd w:id="46"/>
    <w:bookmarkStart w:id="47" w:name="Xf8d629389cc116a16f0021aa355c834b672f507"/>
    <w:p>
      <w:pPr>
        <w:pStyle w:val="Heading2"/>
      </w:pPr>
      <w:r>
        <w:t xml:space="preserve">3. Traceability to Requirement Identifiers</w:t>
      </w:r>
    </w:p>
    <w:p>
      <w:pPr>
        <w:pStyle w:val="FirstParagraph"/>
      </w:pPr>
      <w:r>
        <w:t xml:space="preserve">Every story and every pull request links to one or more baselined identifiers so the Hybrid traceability chain stays intact.</w:t>
      </w:r>
    </w:p>
    <w:p>
      <w:pPr>
        <w:pStyle w:val="Compact"/>
        <w:numPr>
          <w:ilvl w:val="0"/>
          <w:numId w:val="1016"/>
        </w:numPr>
      </w:pPr>
      <w:r>
        <w:t xml:space="preserve">A user story names the functional-requirement identifiers it satisfies, drawn from the Phase 02 baseline. The group prefixes are</w:t>
      </w:r>
      <w:r>
        <w:t xml:space="preserve"> </w:t>
      </w:r>
      <w:r>
        <w:rPr>
          <w:b/>
          <w:bCs/>
        </w:rPr>
        <w:t xml:space="preserve">LIB</w:t>
      </w:r>
      <w:r>
        <w:t xml:space="preserve"> </w:t>
      </w:r>
      <w:r>
        <w:t xml:space="preserve">(Library Setup and Scanning),</w:t>
      </w:r>
      <w:r>
        <w:t xml:space="preserve"> </w:t>
      </w:r>
      <w:r>
        <w:rPr>
          <w:b/>
          <w:bCs/>
        </w:rPr>
        <w:t xml:space="preserve">CAT</w:t>
      </w:r>
      <w:r>
        <w:t xml:space="preserve"> </w:t>
      </w:r>
      <w:r>
        <w:t xml:space="preserve">(Catalogue Browsing),</w:t>
      </w:r>
      <w:r>
        <w:t xml:space="preserve"> </w:t>
      </w:r>
      <w:r>
        <w:rPr>
          <w:b/>
          <w:bCs/>
        </w:rPr>
        <w:t xml:space="preserve">META</w:t>
      </w:r>
      <w:r>
        <w:t xml:space="preserve"> </w:t>
      </w:r>
      <w:r>
        <w:t xml:space="preserve">(Metadata Enrichment),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(PDF Reader),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(Search and Indexing), and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(AI Advisor), plus generic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functional and</w:t>
      </w:r>
      <w:r>
        <w:t xml:space="preserve"> </w:t>
      </w:r>
      <w:r>
        <w:rPr>
          <w:b/>
          <w:bCs/>
        </w:rPr>
        <w:t xml:space="preserve">NFR</w:t>
      </w:r>
      <w:r>
        <w:t xml:space="preserve"> </w:t>
      </w:r>
      <w:r>
        <w:t xml:space="preserve">non-functional identifiers.</w:t>
      </w:r>
    </w:p>
    <w:p>
      <w:pPr>
        <w:pStyle w:val="Compact"/>
        <w:numPr>
          <w:ilvl w:val="0"/>
          <w:numId w:val="1016"/>
        </w:numPr>
      </w:pPr>
      <w:r>
        <w:t xml:space="preserve">The pull request description lists the identifiers it implements in the form</w:t>
      </w:r>
      <w:r>
        <w:t xml:space="preserve"> </w:t>
      </w:r>
      <w:r>
        <w:rPr>
          <w:rStyle w:val="VerbatimChar"/>
        </w:rPr>
        <w:t xml:space="preserve">FR-...</w:t>
      </w:r>
      <w:r>
        <w:t xml:space="preserve">,</w:t>
      </w:r>
      <w:r>
        <w:t xml:space="preserve"> </w:t>
      </w:r>
      <w:r>
        <w:rPr>
          <w:rStyle w:val="VerbatimChar"/>
        </w:rPr>
        <w:t xml:space="preserve">NFR-...</w:t>
      </w:r>
      <w:r>
        <w:t xml:space="preserve">, or a group identifier such as</w:t>
      </w:r>
      <w:r>
        <w:t xml:space="preserve"> </w:t>
      </w:r>
      <w:r>
        <w:rPr>
          <w:rStyle w:val="VerbatimChar"/>
        </w:rPr>
        <w:t xml:space="preserve">LIB-012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change that touches a non-functional requirement names the governing</w:t>
      </w:r>
      <w:r>
        <w:t xml:space="preserve"> </w:t>
      </w:r>
      <w:r>
        <w:rPr>
          <w:rStyle w:val="VerbatimChar"/>
        </w:rPr>
        <w:t xml:space="preserve">NFR-</w:t>
      </w:r>
      <w:r>
        <w:t xml:space="preserve"> </w:t>
      </w:r>
      <w:r>
        <w:t xml:space="preserve">identifier and states how the change keeps the measurable threshold, for example the cold-start budget of 3 seconds at the 95th percentile.</w:t>
      </w:r>
    </w:p>
    <w:p>
      <w:pPr>
        <w:pStyle w:val="Compact"/>
        <w:numPr>
          <w:ilvl w:val="0"/>
          <w:numId w:val="1016"/>
        </w:numPr>
      </w:pPr>
      <w:r>
        <w:t xml:space="preserve">A change that alters a baselined FR, NFR, or control requires a Change Impact Analysis entry with a rollback plan, per the governance protocol.</w:t>
      </w:r>
    </w:p>
    <w:bookmarkEnd w:id="47"/>
    <w:bookmarkStart w:id="48" w:name="X12f90da38b7a02f1d4c0842a0e79f10775e6d80"/>
    <w:p>
      <w:pPr>
        <w:pStyle w:val="Heading2"/>
      </w:pPr>
      <w:r>
        <w:t xml:space="preserve">4. Definition of Ready and Definition of Done</w:t>
      </w:r>
    </w:p>
    <w:p>
      <w:pPr>
        <w:pStyle w:val="FirstParagraph"/>
      </w:pPr>
      <w:r>
        <w:t xml:space="preserve">The Definition of Ready (DoR) and Definition of Done (DoD) for a story are maintained with the Phase 07 agile artifacts. A story enters a sprint only when it meets the Phase 07 DoR; it is complete only when it meets the Phase 07 DoD.</w:t>
      </w:r>
    </w:p>
    <w:p>
      <w:pPr>
        <w:pStyle w:val="Compact"/>
        <w:numPr>
          <w:ilvl w:val="0"/>
          <w:numId w:val="1017"/>
        </w:numPr>
      </w:pPr>
      <w:r>
        <w:t xml:space="preserve">A story is</w:t>
      </w:r>
      <w:r>
        <w:t xml:space="preserve"> </w:t>
      </w:r>
      <w:r>
        <w:rPr>
          <w:b/>
          <w:bCs/>
        </w:rPr>
        <w:t xml:space="preserve">ready</w:t>
      </w:r>
      <w:r>
        <w:t xml:space="preserve"> </w:t>
      </w:r>
      <w:r>
        <w:t xml:space="preserve">when it traces to a baselined requirement, has acceptance criteria with a deterministic pass or fail oracle, and names its target privacy tier where AI or off-device behaviour is involved.</w:t>
      </w:r>
    </w:p>
    <w:p>
      <w:pPr>
        <w:pStyle w:val="Compact"/>
        <w:numPr>
          <w:ilvl w:val="0"/>
          <w:numId w:val="1017"/>
        </w:numPr>
      </w:pPr>
      <w:r>
        <w:t xml:space="preserve">A story is</w:t>
      </w:r>
      <w:r>
        <w:t xml:space="preserve"> </w:t>
      </w:r>
      <w:r>
        <w:rPr>
          <w:b/>
          <w:bCs/>
        </w:rPr>
        <w:t xml:space="preserve">done</w:t>
      </w:r>
      <w:r>
        <w:t xml:space="preserve"> </w:t>
      </w:r>
      <w:r>
        <w:t xml:space="preserve">when the code is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 new and existing tests pass including the golden corpus suite, the coding standards hold, and the validation gate passes.</w:t>
      </w:r>
    </w:p>
    <w:p>
      <w:pPr>
        <w:pStyle w:val="FirstParagraph"/>
      </w:pPr>
      <w:r>
        <w:t xml:space="preserve">See the Phase 07 agile artifacts for the authoritative DoR and DoD checklists.</w:t>
      </w:r>
    </w:p>
    <w:bookmarkEnd w:id="48"/>
    <w:bookmarkStart w:id="49" w:name="X7b5c570d7ea777f0cead566109f65dfa2d2b9b8"/>
    <w:p>
      <w:pPr>
        <w:pStyle w:val="Heading2"/>
      </w:pPr>
      <w:r>
        <w:t xml:space="preserve">5. Code-Review Expectations</w:t>
      </w:r>
    </w:p>
    <w:p>
      <w:pPr>
        <w:pStyle w:val="Compact"/>
        <w:numPr>
          <w:ilvl w:val="0"/>
          <w:numId w:val="1018"/>
        </w:numPr>
      </w:pPr>
      <w:r>
        <w:t xml:space="preserve">Every change merges through a pull request with at least one approving review. The author does not approve their own pull request.</w:t>
      </w:r>
    </w:p>
    <w:p>
      <w:pPr>
        <w:pStyle w:val="Compact"/>
        <w:numPr>
          <w:ilvl w:val="0"/>
          <w:numId w:val="1018"/>
        </w:numPr>
      </w:pPr>
      <w:r>
        <w:t xml:space="preserve">A reviewer confirms the bounded-context dependency rule holds: the domain stays free of outward dependencies, and the user interface reaches AI, metadata, and HTTP behaviour only through adapter interfaces routed by the composition root.</w:t>
      </w:r>
    </w:p>
    <w:p>
      <w:pPr>
        <w:pStyle w:val="Compact"/>
        <w:numPr>
          <w:ilvl w:val="0"/>
          <w:numId w:val="1018"/>
        </w:numPr>
      </w:pPr>
      <w:r>
        <w:t xml:space="preserve">A reviewer confirms per-file scan isolation: a single corrupt file records a failure and the batch continues.</w:t>
      </w:r>
    </w:p>
    <w:p>
      <w:pPr>
        <w:pStyle w:val="Compact"/>
        <w:numPr>
          <w:ilvl w:val="0"/>
          <w:numId w:val="1018"/>
        </w:numPr>
      </w:pPr>
      <w:r>
        <w:t xml:space="preserve">A reviewer confirms the pull request lists the requirement identifiers it implements and that the acceptance criteria are verifiable.</w:t>
      </w:r>
    </w:p>
    <w:p>
      <w:pPr>
        <w:pStyle w:val="Compact"/>
        <w:numPr>
          <w:ilvl w:val="0"/>
          <w:numId w:val="1018"/>
        </w:numPr>
      </w:pPr>
      <w:r>
        <w:t xml:space="preserve">Keep a pull request small enough to review in one sitting. Split a large change into reviewable increments.</w:t>
      </w:r>
    </w:p>
    <w:bookmarkEnd w:id="49"/>
    <w:bookmarkStart w:id="50" w:name="X707d768747b6a6b5a1998be95238e9484abaf6b"/>
    <w:p>
      <w:pPr>
        <w:pStyle w:val="Heading2"/>
      </w:pPr>
      <w:r>
        <w:t xml:space="preserve">6. Security Expectations</w:t>
      </w:r>
    </w:p>
    <w:p>
      <w:pPr>
        <w:pStyle w:val="Compact"/>
        <w:numPr>
          <w:ilvl w:val="0"/>
          <w:numId w:val="1019"/>
        </w:numPr>
      </w:pPr>
      <w:r>
        <w:t xml:space="preserve">No secret of any kind is committed to the repository: no application programming interface key, token, password, or connection string with credentials. The build and review reject a change that introduces a secret.</w:t>
      </w:r>
    </w:p>
    <w:p>
      <w:pPr>
        <w:pStyle w:val="Compact"/>
        <w:numPr>
          <w:ilvl w:val="0"/>
          <w:numId w:val="1019"/>
        </w:numPr>
      </w:pPr>
      <w:r>
        <w:t xml:space="preserve">Store provider credentials, such as a cloud AI key, in the operating-system credential store, never in source, configuration files in the repository, or environment files that are committed.</w:t>
      </w:r>
    </w:p>
    <w:p>
      <w:pPr>
        <w:pStyle w:val="Compact"/>
        <w:numPr>
          <w:ilvl w:val="0"/>
          <w:numId w:val="1019"/>
        </w:numPr>
      </w:pPr>
      <w:r>
        <w:t xml:space="preserve">The application opens no inbound network listener. A change must not introduce a server endpoint.</w:t>
      </w:r>
    </w:p>
    <w:p>
      <w:pPr>
        <w:pStyle w:val="Compact"/>
        <w:numPr>
          <w:ilvl w:val="0"/>
          <w:numId w:val="1019"/>
        </w:numPr>
      </w:pPr>
      <w:r>
        <w:t xml:space="preserve">Every off-device call routes through the AI gateway as the single egress chokepoint and respects the active privacy tier and payload preview. A change must not add a direct provider call that bypasses the gateway.</w:t>
      </w:r>
    </w:p>
    <w:p>
      <w:pPr>
        <w:pStyle w:val="Compact"/>
        <w:numPr>
          <w:ilvl w:val="0"/>
          <w:numId w:val="1019"/>
        </w:numPr>
      </w:pPr>
      <w:r>
        <w:t xml:space="preserve">A change that affects personal data or off-device transmission is flagged for the privacy review defined in the governance phase.</w:t>
      </w:r>
    </w:p>
    <w:bookmarkEnd w:id="50"/>
    <w:bookmarkStart w:id="51" w:name="Xbc6b2a8549ea64becbc2f7c8bad2e9a5cc70b1c"/>
    <w:p>
      <w:pPr>
        <w:pStyle w:val="Heading2"/>
      </w:pPr>
      <w:r>
        <w:t xml:space="preserve">7. Run the Validation Gate Before a Pull Request</w:t>
      </w:r>
    </w:p>
    <w:p>
      <w:pPr>
        <w:pStyle w:val="FirstParagraph"/>
      </w:pPr>
      <w:r>
        <w:t xml:space="preserve">Run the engine validation gate from the repository that hosts the project workspace before opening a pull request. The gate must pass.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engine validate projects/Ogma-Library</w:t>
      </w:r>
    </w:p>
    <w:p>
      <w:pPr>
        <w:pStyle w:val="FirstParagraph"/>
      </w:pPr>
      <w:r>
        <w:t xml:space="preserve">Also run the local build, the formatter check, and the test suite before requesting review: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format OgmaLibrary.sln </w:t>
      </w:r>
      <w:r>
        <w:rPr>
          <w:rStyle w:val="AttributeTok"/>
        </w:rPr>
        <w:t xml:space="preserve">--verify-no-changes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OgmaLibrary.sln </w:t>
      </w:r>
      <w:r>
        <w:rPr>
          <w:rStyle w:val="AttributeTok"/>
        </w:rPr>
        <w:t xml:space="preserve">--configuration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OgmaLibrary.sln </w:t>
      </w:r>
      <w:r>
        <w:rPr>
          <w:rStyle w:val="AttributeTok"/>
        </w:rPr>
        <w:t xml:space="preserve">--configuration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t xml:space="preserve">A pull request that fails the validation gate, the formatter check, the build, or the test suite is not ready for review.</w:t>
      </w:r>
    </w:p>
    <w:bookmarkEnd w:id="51"/>
    <w:bookmarkEnd w:id="52"/>
    <w:sectPr w:rsidR="00FC693F" w:rsidRPr="0006063C" w:rsidSect="00034616">
      <w:footerReference r:id="rId9" w:type="default"/>
      <w:headerReference r:id="rId10" w:type="default"/>
      <w:pgSz w:h="16838" w:w="11906"/>
      <w:pgMar w:bottom="1134" w:footer="720" w:gutter="0" w:header="720" w:left="1440" w:right="1440" w:top="144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Calibri" w:hAnsi="Calibri"/>
        <w:color w:val="595959"/>
        <w:sz w:val="18"/>
      </w:rPr>
      <w:fldChar w:fldCharType="begin"/>
      <w:instrText xml:space="preserve"> PAGE </w:instrText>
      <w:fldChar w:fldCharType="separate"/>
      <w:fldChar w:fldCharType="end"/>
    </w:r>
    <w:r>
      <w:rPr>
        <w:rFonts w:ascii="Calibri" w:hAnsi="Calibri"/>
        <w:color w:val="595959"/>
        <w:sz w:val="18"/>
      </w:rPr>
      <w:t xml:space="preserve"> of </w:t>
    </w:r>
    <w:r>
      <w:rPr>
        <w:rFonts w:ascii="Calibri" w:hAnsi="Calibri"/>
        <w:color w:val="595959"/>
        <w:sz w:val="18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4" w:color="CCCCCC"/>
      </w:pBdr>
    </w:pPr>
    <w:r>
      <w:rPr>
        <w:rFonts w:ascii="Calibri" w:hAnsi="Calibri"/>
        <w:color w:val="595959"/>
        <w:sz w:val="18"/>
      </w:rPr>
      <w:fldChar w:fldCharType="begin"/>
      <w:instrText xml:space="preserve"> TITLE </w:instrText>
      <w:fldChar w:fldCharType="separate"/>
      <w:fldChar w:fldCharType="end"/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Lines/>
      <w:widowControl/>
      <w:spacing w:after="120" w:before="0" w:line="276" w:lineRule="auto"/>
    </w:pPr>
    <w:rPr>
      <w:rFonts w:ascii="Calibri" w:hAnsi="Calibri"/>
      <w:color w:val="262626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after="120" w:before="400"/>
      <w:outlineLvl w:val="0"/>
      <w:pBdr>
        <w:left w:color="1F3864" w:space="8" w:sz="18" w:val="single"/>
      </w:pBdr>
    </w:pPr>
    <w:rPr>
      <w:rFonts w:ascii="Calibri Light" w:asciiTheme="majorHAnsi" w:cstheme="majorBidi" w:eastAsiaTheme="majorEastAsia" w:hAnsi="Calibri Light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8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2E5D8A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60" w:before="200"/>
      <w:outlineLvl w:val="2"/>
    </w:pPr>
    <w:rPr>
      <w:rFonts w:ascii="Calibri" w:asciiTheme="majorHAnsi" w:cstheme="majorBidi" w:eastAsiaTheme="majorEastAsia" w:hAnsi="Calibri" w:hAnsiTheme="majorHAnsi"/>
      <w:b/>
      <w:bCs/>
      <w:i w:val="0"/>
      <w:color w:val="4472C4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160"/>
      <w:outlineLvl w:val="3"/>
    </w:pPr>
    <w:rPr>
      <w:rFonts w:ascii="Calibri" w:asciiTheme="majorHAnsi" w:cstheme="majorBidi" w:eastAsiaTheme="majorEastAsia" w:hAnsi="Calibri" w:hAnsiTheme="majorHAnsi"/>
      <w:b/>
      <w:bCs/>
      <w:i/>
      <w:iCs/>
      <w:color w:val="262626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60" w:before="0" w:line="240" w:lineRule="auto"/>
      <w:contextualSpacing/>
      <w:jc w:val="left"/>
    </w:pPr>
    <w:rPr>
      <w:rFonts w:ascii="Calibri Light" w:asciiTheme="majorHAnsi" w:cstheme="majorBidi" w:eastAsiaTheme="majorEastAsia" w:hAnsi="Calibri Light" w:hAnsiTheme="majorHAnsi"/>
      <w:b/>
      <w:color w:val="1F3864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480" w:before="0"/>
    </w:pPr>
    <w:rPr>
      <w:rFonts w:ascii="Calibri" w:asciiTheme="majorHAnsi" w:cstheme="majorBidi" w:eastAsiaTheme="majorEastAsia" w:hAnsi="Calibri" w:hAnsiTheme="majorHAnsi"/>
      <w:i/>
      <w:iCs/>
      <w:color w:val="595959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60" w:before="0"/>
    </w:pPr>
    <w:rPr>
      <w:rFonts w:ascii="Calibri" w:hAnsi="Calibri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60" w:before="40" w:line="240" w:lineRule="auto"/>
      <w:jc w:val="center"/>
    </w:pPr>
    <w:rPr>
      <w:rFonts w:ascii="Calibri" w:hAnsi="Calibri"/>
      <w:b/>
      <w:bCs/>
      <w:i/>
      <w:color w:val="595959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Normal"/>
    <w:pPr>
      <w:ind w:firstLine="0"/>
    </w:pPr>
  </w:style>
  <w:style w:customStyle="1" w:styleId="VerbatimChar" w:type="character">
    <w:name w:val="Verbatim Char"/>
    <w:rPr>
      <w:rFonts w:ascii="Consolas" w:hAnsi="Consolas"/>
      <w:color w:val="1A1A1A"/>
      <w:sz w:val="19"/>
    </w:rPr>
  </w:style>
  <w:style w:customStyle="1" w:styleId="Verbatim" w:type="paragraph">
    <w:name w:val="Verbatim"/>
    <w:pPr>
      <w:spacing w:after="80" w:before="80"/>
    </w:pPr>
    <w:rPr>
      <w:rFonts w:ascii="Consolas" w:hAnsi="Consolas"/>
      <w:color w:val="1A1A1A"/>
      <w:sz w:val="19"/>
    </w:rPr>
  </w:style>
  <w:style w:customStyle="1" w:styleId="SourceCode" w:type="paragraph">
    <w:name w:val="Source Code"/>
    <w:pPr>
      <w:spacing w:after="80" w:before="80"/>
    </w:pPr>
    <w:rPr>
      <w:rFonts w:ascii="Consolas" w:hAnsi="Consolas"/>
      <w:color w:val="1A1A1A"/>
      <w:sz w:val="19"/>
    </w:rPr>
  </w:style>
  <w:style w:customStyle="1" w:styleId="BlockText" w:type="paragraph">
    <w:name w:val="Block Text"/>
    <w:pPr>
      <w:spacing w:after="120" w:before="120"/>
      <w:ind w:left="567" w:right="567"/>
    </w:pPr>
    <w:rPr>
      <w:rFonts w:ascii="Calibri" w:hAnsi="Calibri"/>
      <w:i/>
      <w:color w:val="595959"/>
      <w:sz w:val="22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2026-05-30T14:00:38Z</dcterms:created>
  <dcterms:modified xsi:type="dcterms:W3CDTF">2026-05-30T14:00:38Z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">
    <vt:lpwstr>Development Standards</vt:lpwstr>
  </property>
  <property fmtid="{D5CDD505-2E9C-101B-9397-08002B2CF9AE}" pid="3" name="phase">
    <vt:lpwstr>04</vt:lpwstr>
  </property>
</Properties>
</file>