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High-Level Design / Architecture Document</w:t>
      </w:r>
    </w:p>
    <w:p>
      <w:pPr>
        <w:pStyle w:val="Date"/>
      </w:pPr>
      <w:r>
        <w:t xml:space="preserve">2026-05-30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\newpage</w:t>
      </w:r>
    </w:p>
    <w:bookmarkStart w:id="19" w:name="high-level-design--architecture-document"/>
    <w:p>
      <w:pPr>
        <w:pStyle w:val="Heading1"/>
      </w:pPr>
      <w:r>
        <w:t xml:space="preserve">High-Level Design / Architecture Document</w:t>
      </w:r>
    </w:p>
    <w:p>
      <w:pPr>
        <w:pStyle w:val="FirstParagraph"/>
      </w:pPr>
      <w:r>
        <w:rPr>
          <w:b/>
          <w:bCs/>
        </w:rPr>
        <w:t xml:space="preserve">Ogma Library</w:t>
      </w:r>
    </w:p>
    <w:p>
      <w:pPr>
        <w:pStyle w:val="BodyText"/>
      </w:pPr>
      <w:r>
        <w:rPr>
          <w:i/>
          <w:iCs/>
        </w:rPr>
        <w:t xml:space="preserve">A Local-First Personal PDF Library Application by Chwezi Core Systems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Product</w:t>
            </w:r>
          </w:p>
        </w:tc>
        <w:tc>
          <w:tcPr/>
          <w:p>
            <w:pPr>
              <w:pStyle w:val="Compact"/>
            </w:pPr>
            <w:r>
              <w:t xml:space="preserve">Ogma Library</w:t>
            </w:r>
          </w:p>
        </w:tc>
      </w:tr>
      <w:tr>
        <w:tc>
          <w:tcPr/>
          <w:p>
            <w:pPr>
              <w:pStyle w:val="Compact"/>
            </w:pPr>
            <w:r>
              <w:rPr>
                <w:b/>
                <w:bCs/>
              </w:rPr>
              <w:t xml:space="preserve">Company</w:t>
            </w:r>
          </w:p>
        </w:tc>
        <w:tc>
          <w:tcPr/>
          <w:p>
            <w:pPr>
              <w:pStyle w:val="Compact"/>
            </w:pPr>
            <w:r>
              <w:t xml:space="preserve">Chwezi Core Systems</w:t>
            </w:r>
          </w:p>
        </w:tc>
      </w:tr>
      <w:tr>
        <w:tc>
          <w:tcPr/>
          <w:p>
            <w:pPr>
              <w:pStyle w:val="Compact"/>
            </w:pPr>
            <w:r>
              <w:rPr>
                <w:b/>
                <w:bCs/>
              </w:rPr>
              <w:t xml:space="preserve">Website</w:t>
            </w:r>
          </w:p>
        </w:tc>
        <w:tc>
          <w:tcPr/>
          <w:p>
            <w:pPr>
              <w:pStyle w:val="Compact"/>
            </w:pPr>
            <w:r>
              <w:t xml:space="preserve">chwezicore.com</w:t>
            </w:r>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Document Version</w:t>
            </w:r>
          </w:p>
        </w:tc>
        <w:tc>
          <w:tcPr/>
          <w:p>
            <w:pPr>
              <w:pStyle w:val="Compact"/>
            </w:pPr>
            <w:r>
              <w:t xml:space="preserve">0.1 DRAFT</w:t>
            </w:r>
          </w:p>
        </w:tc>
      </w:tr>
      <w:tr>
        <w:tc>
          <w:tcPr/>
          <w:p>
            <w:pPr>
              <w:pStyle w:val="Compact"/>
            </w:pPr>
            <w:r>
              <w:rPr>
                <w:b/>
                <w:bCs/>
              </w:rPr>
              <w:t xml:space="preserve">Date</w:t>
            </w:r>
          </w:p>
        </w:tc>
        <w:tc>
          <w:tcPr/>
          <w:p>
            <w:pPr>
              <w:pStyle w:val="Compact"/>
            </w:pPr>
            <w:r>
              <w:t xml:space="preserve">2026-05-30</w:t>
            </w:r>
          </w:p>
        </w:tc>
      </w:tr>
      <w:tr>
        <w:tc>
          <w:tcPr/>
          <w:p>
            <w:pPr>
              <w:pStyle w:val="Compact"/>
            </w:pPr>
            <w:r>
              <w:rPr>
                <w:b/>
                <w:bCs/>
              </w:rPr>
              <w:t xml:space="preserve">Classification</w:t>
            </w:r>
          </w:p>
        </w:tc>
        <w:tc>
          <w:tcPr/>
          <w:p>
            <w:pPr>
              <w:pStyle w:val="Compact"/>
            </w:pPr>
            <w:r>
              <w:t xml:space="preserve">Confidential — Internal Use Only</w:t>
            </w:r>
          </w:p>
        </w:tc>
      </w:tr>
    </w:tbl>
    <w:p>
      <w:r>
        <w:pict>
          <v:rect style="width:0;height:1.5pt" o:hralign="center" o:hrstd="t" o:hr="t"/>
        </w:pict>
      </w:r>
    </w:p>
    <w:p>
      <w:pPr>
        <w:pStyle w:val="FirstParagraph"/>
      </w:pPr>
      <w:r>
        <w:rPr>
          <w:i/>
          <w:iCs/>
        </w:rPr>
        <w:t xml:space="preserve">Confidential — Internal Use Only. This document is the intellectual property of Chwezi Core Systems. It records the high-level architecture of Ogma Library and is not for external distribution. No part may be reproduced or disclosed without written permission.</w:t>
      </w:r>
    </w:p>
    <w:p>
      <w:r>
        <w:pict>
          <v:rect style="width:0;height:1.5pt" o:hralign="center" o:hrstd="t" o:hr="t"/>
        </w:pict>
      </w:r>
    </w:p>
    <w:p>
      <w:pPr>
        <w:pStyle w:val="FirstParagraph"/>
      </w:pPr>
      <w:r>
        <w:t xml:space="preserve">\newpage</w:t>
      </w:r>
    </w:p>
    <w:bookmarkEnd w:id="19"/>
    <w:bookmarkStart w:id="23" w:name="X7a8237e7d315e89f38a741ffdb86653a37c1ad7"/>
    <w:p>
      <w:pPr>
        <w:pStyle w:val="Heading1"/>
      </w:pPr>
      <w:r>
        <w:t xml:space="preserve">1. Architecture Overview</w:t>
      </w:r>
    </w:p>
    <w:bookmarkStart w:id="20" w:name="X25ab3f17505e7c452a424d7cc8c6224efc7f493"/>
    <w:p>
      <w:pPr>
        <w:pStyle w:val="Heading2"/>
      </w:pPr>
      <w:r>
        <w:t xml:space="preserve">1.1 Architectural Style and Rationale</w:t>
      </w:r>
    </w:p>
    <w:p>
      <w:pPr>
        <w:pStyle w:val="FirstParagraph"/>
      </w:pPr>
      <w:r>
        <w:t xml:space="preserve">Ogma Library is a</w:t>
      </w:r>
      <w:r>
        <w:t xml:space="preserve"> </w:t>
      </w:r>
      <w:r>
        <w:rPr>
          <w:b/>
          <w:bCs/>
        </w:rPr>
        <w:t xml:space="preserve">local-first modular monolith</w:t>
      </w:r>
      <w:r>
        <w:t xml:space="preserve">: a single deployable desktop application built on</w:t>
      </w:r>
      <w:r>
        <w:t xml:space="preserve"> </w:t>
      </w:r>
      <w:r>
        <w:rPr>
          <w:b/>
          <w:bCs/>
        </w:rPr>
        <w:t xml:space="preserve">Avalonia</w:t>
      </w:r>
      <w:r>
        <w:t xml:space="preserve"> </w:t>
      </w:r>
      <w:r>
        <w:t xml:space="preserve">over the</w:t>
      </w:r>
      <w:r>
        <w:t xml:space="preserve"> </w:t>
      </w:r>
      <w:r>
        <w:rPr>
          <w:b/>
          <w:bCs/>
        </w:rPr>
        <w:t xml:space="preserve">.NET 10 LTS</w:t>
      </w:r>
      <w:r>
        <w:t xml:space="preserve"> </w:t>
      </w:r>
      <w:r>
        <w:t xml:space="preserve">runtime, decomposed internally into bounded contexts rather than distributed services. The architecture is governed by one structural rule that overrides convenience at every layer: the</w:t>
      </w:r>
      <w:r>
        <w:t xml:space="preserve"> </w:t>
      </w:r>
      <w:r>
        <w:rPr>
          <w:i/>
          <w:iCs/>
        </w:rPr>
        <w:t xml:space="preserve">catalogue of record</w:t>
      </w:r>
      <w:r>
        <w:t xml:space="preserve"> </w:t>
      </w:r>
      <w:r>
        <w:t xml:space="preserve">is the single source of truth for book identity, and every other context — renderer, search index, AI advisor, 3D shelf — reads through contracts and never owns book identity.</w:t>
      </w:r>
    </w:p>
    <w:p>
      <w:pPr>
        <w:pStyle w:val="BodyText"/>
      </w:pPr>
      <w:r>
        <w:t xml:space="preserve">A modular monolith is the correct style for this product for four grounded reasons.</w:t>
      </w:r>
    </w:p>
    <w:p>
      <w:pPr>
        <w:pStyle w:val="Compact"/>
        <w:numPr>
          <w:ilvl w:val="0"/>
          <w:numId w:val="1001"/>
        </w:numPr>
      </w:pPr>
      <w:r>
        <w:t xml:space="preserve">The dominant operations — open the library, browse the catalogue, read a document, annotate, and run full-text search — must function with no network present and with identical result correctness, per</w:t>
      </w:r>
      <w:r>
        <w:t xml:space="preserve"> </w:t>
      </w:r>
      <w:r>
        <w:rPr>
          <w:b/>
          <w:bCs/>
        </w:rPr>
        <w:t xml:space="preserve">NFR-PROD-001</w:t>
      </w:r>
      <w:r>
        <w:t xml:space="preserve">. A distributed design would introduce network coupling into operations that must never depend on a network.</w:t>
      </w:r>
    </w:p>
    <w:p>
      <w:pPr>
        <w:pStyle w:val="Compact"/>
        <w:numPr>
          <w:ilvl w:val="0"/>
          <w:numId w:val="1001"/>
        </w:numPr>
      </w:pPr>
      <w:r>
        <w:t xml:space="preserve">The corpus is single-user and lives entirely on the user's device; there is no tenant-isolation boundary and no shared server state to justify a service mesh.</w:t>
      </w:r>
    </w:p>
    <w:p>
      <w:pPr>
        <w:pStyle w:val="Compact"/>
        <w:numPr>
          <w:ilvl w:val="0"/>
          <w:numId w:val="1001"/>
        </w:numPr>
      </w:pPr>
      <w:r>
        <w:t xml:space="preserve">A single process keeps the offline core simple and keeps cross-context calls in-process, which is required to meet the cold-start budget of 3 seconds at P95 (</w:t>
      </w:r>
      <w:r>
        <w:rPr>
          <w:b/>
          <w:bCs/>
        </w:rPr>
        <w:t xml:space="preserve">NFR-OGMA-001</w:t>
      </w:r>
      <w:r>
        <w:t xml:space="preserve">,</w:t>
      </w:r>
      <w:r>
        <w:t xml:space="preserve"> </w:t>
      </w:r>
      <w:r>
        <w:rPr>
          <w:b/>
          <w:bCs/>
        </w:rPr>
        <w:t xml:space="preserve">NFR-PROD-002</w:t>
      </w:r>
      <w:r>
        <w:t xml:space="preserve">) and the catalogue-load budget of 2 seconds at P95 for a 2,000-book corpus (</w:t>
      </w:r>
      <w:r>
        <w:rPr>
          <w:b/>
          <w:bCs/>
        </w:rPr>
        <w:t xml:space="preserve">NFR-OGMA-002</w:t>
      </w:r>
      <w:r>
        <w:t xml:space="preserve">).</w:t>
      </w:r>
    </w:p>
    <w:p>
      <w:pPr>
        <w:pStyle w:val="Compact"/>
        <w:numPr>
          <w:ilvl w:val="0"/>
          <w:numId w:val="1001"/>
        </w:numPr>
      </w:pPr>
      <w:r>
        <w:t xml:space="preserve">Clean module boundaries preserve the option to extract a context (for example, a sync service) later without rewriting the core, satisfying the extensibility intent in the vision without paying distributed-system cost now.</w:t>
      </w:r>
    </w:p>
    <w:p>
      <w:pPr>
        <w:pStyle w:val="FirstParagraph"/>
      </w:pPr>
      <w:r>
        <w:t xml:space="preserve">The runtime baseline is</w:t>
      </w:r>
      <w:r>
        <w:t xml:space="preserve"> </w:t>
      </w:r>
      <w:r>
        <w:rPr>
          <w:b/>
          <w:bCs/>
        </w:rPr>
        <w:t xml:space="preserve">.NET 10 LTS</w:t>
      </w:r>
      <w:r>
        <w:t xml:space="preserve">, active through 2028-11-14.</w:t>
      </w:r>
      <w:r>
        <w:t xml:space="preserve"> </w:t>
      </w:r>
      <w:r>
        <w:rPr>
          <w:b/>
          <w:bCs/>
        </w:rPr>
        <w:t xml:space="preserve">.NET 8</w:t>
      </w:r>
      <w:r>
        <w:t xml:space="preserve"> </w:t>
      </w:r>
      <w:r>
        <w:t xml:space="preserve">is permitted only as a temporary compatibility bridge behind a documented blocker recorded in an Architecture Decision Record (ADR) with a dated migration plan, per the vision's runtime correction.</w:t>
      </w:r>
    </w:p>
    <w:bookmarkEnd w:id="20"/>
    <w:bookmarkStart w:id="21" w:name="X39737c2e3d762889db3d114dc47fb18a52f70f3"/>
    <w:p>
      <w:pPr>
        <w:pStyle w:val="Heading2"/>
      </w:pPr>
      <w:r>
        <w:t xml:space="preserve">1.2 Quality Drivers Tied to Non-Functional Requirements</w:t>
      </w:r>
    </w:p>
    <w:p>
      <w:pPr>
        <w:pStyle w:val="FirstParagraph"/>
      </w:pPr>
      <w:r>
        <w:t xml:space="preserve">The architecture is shaped by measurable quality drivers, each traced to a specific NFR. Vague qualities ("fast", "reliable") are excluded; every driver carries a threshold.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Quality driver</w:t>
            </w:r>
          </w:p>
        </w:tc>
        <w:tc>
          <w:tcPr/>
          <w:p>
            <w:pPr>
              <w:pStyle w:val="Compact"/>
            </w:pPr>
            <w:r>
              <w:t xml:space="preserve">Architectural consequence</w:t>
            </w:r>
          </w:p>
        </w:tc>
        <w:tc>
          <w:tcPr/>
          <w:p>
            <w:pPr>
              <w:pStyle w:val="Compact"/>
            </w:pPr>
            <w:r>
              <w:t xml:space="preserve">Governing NFR</w:t>
            </w:r>
          </w:p>
        </w:tc>
      </w:tr>
      <w:tr>
        <w:tc>
          <w:tcPr/>
          <w:p>
            <w:pPr>
              <w:pStyle w:val="Compact"/>
            </w:pPr>
            <w:r>
              <w:t xml:space="preserve">Offline correctness</w:t>
            </w:r>
          </w:p>
        </w:tc>
        <w:tc>
          <w:tcPr/>
          <w:p>
            <w:pPr>
              <w:pStyle w:val="Compact"/>
            </w:pPr>
            <w:r>
              <w:t xml:space="preserve">No core path depends on a network call; off-device features are layered on a complete offline core.</w:t>
            </w:r>
          </w:p>
        </w:tc>
        <w:tc>
          <w:tcPr/>
          <w:p>
            <w:pPr>
              <w:pStyle w:val="Compact"/>
            </w:pPr>
            <w:r>
              <w:t xml:space="preserve">NFR-PROD-001</w:t>
            </w:r>
          </w:p>
        </w:tc>
      </w:tr>
      <w:tr>
        <w:tc>
          <w:tcPr/>
          <w:p>
            <w:pPr>
              <w:pStyle w:val="Compact"/>
            </w:pPr>
            <w:r>
              <w:t xml:space="preserve">Cold-start latency ≤ 3 s P95</w:t>
            </w:r>
          </w:p>
        </w:tc>
        <w:tc>
          <w:tcPr/>
          <w:p>
            <w:pPr>
              <w:pStyle w:val="Compact"/>
            </w:pPr>
            <w:r>
              <w:t xml:space="preserve">Lazy module activation; deferred index and AI warm-up; in-process catalogue access through EF Core.</w:t>
            </w:r>
          </w:p>
        </w:tc>
        <w:tc>
          <w:tcPr/>
          <w:p>
            <w:pPr>
              <w:pStyle w:val="Compact"/>
            </w:pPr>
            <w:r>
              <w:t xml:space="preserve">NFR-OGMA-001, NFR-PROD-002</w:t>
            </w:r>
          </w:p>
        </w:tc>
      </w:tr>
      <w:tr>
        <w:tc>
          <w:tcPr/>
          <w:p>
            <w:pPr>
              <w:pStyle w:val="Compact"/>
            </w:pPr>
            <w:r>
              <w:t xml:space="preserve">Catalogue-load latency ≤ 2 s P95 (2,000 books)</w:t>
            </w:r>
          </w:p>
        </w:tc>
        <w:tc>
          <w:tcPr/>
          <w:p>
            <w:pPr>
              <w:pStyle w:val="Compact"/>
            </w:pPr>
            <w:r>
              <w:t xml:space="preserve">Virtualised catalogue rendering; thumbnails as sidecar files, not database blobs.</w:t>
            </w:r>
          </w:p>
        </w:tc>
        <w:tc>
          <w:tcPr/>
          <w:p>
            <w:pPr>
              <w:pStyle w:val="Compact"/>
            </w:pPr>
            <w:r>
              <w:t xml:space="preserve">NFR-OGMA-002</w:t>
            </w:r>
          </w:p>
        </w:tc>
      </w:tr>
      <w:tr>
        <w:tc>
          <w:tcPr/>
          <w:p>
            <w:pPr>
              <w:pStyle w:val="Compact"/>
            </w:pPr>
            <w:r>
              <w:t xml:space="preserve">Search latency ≤ 150 ms metadata, ≤ 500 ms full-text P95</w:t>
            </w:r>
          </w:p>
        </w:tc>
        <w:tc>
          <w:tcPr/>
          <w:p>
            <w:pPr>
              <w:pStyle w:val="Compact"/>
            </w:pPr>
            <w:r>
              <w:t xml:space="preserve">Dedicated Search Index context over FTS5 external-content tables.</w:t>
            </w:r>
          </w:p>
        </w:tc>
        <w:tc>
          <w:tcPr/>
          <w:p>
            <w:pPr>
              <w:pStyle w:val="Compact"/>
            </w:pPr>
            <w:r>
              <w:t xml:space="preserve">NFR-OGMA-003, NFR-OGMA-004, NFR-PROD-004</w:t>
            </w:r>
          </w:p>
        </w:tc>
      </w:tr>
      <w:tr>
        <w:tc>
          <w:tcPr/>
          <w:p>
            <w:pPr>
              <w:pStyle w:val="Compact"/>
            </w:pPr>
            <w:r>
              <w:t xml:space="preserve">Page-turn latency ≤ 100 ms P95 (cached)</w:t>
            </w:r>
          </w:p>
        </w:tc>
        <w:tc>
          <w:tcPr/>
          <w:p>
            <w:pPr>
              <w:pStyle w:val="Compact"/>
            </w:pPr>
            <w:r>
              <w:t xml:space="preserve">Reader page-render cache with pre-render of adjacent pages and memory-budgeted eviction.</w:t>
            </w:r>
          </w:p>
        </w:tc>
        <w:tc>
          <w:tcPr/>
          <w:p>
            <w:pPr>
              <w:pStyle w:val="Compact"/>
            </w:pPr>
            <w:r>
              <w:t xml:space="preserve">NFR-OGMA-005</w:t>
            </w:r>
          </w:p>
        </w:tc>
      </w:tr>
      <w:tr>
        <w:tc>
          <w:tcPr/>
          <w:p>
            <w:pPr>
              <w:pStyle w:val="Compact"/>
            </w:pPr>
            <w:r>
              <w:t xml:space="preserve">3D shelf ≥ 60 FPS (500 books)</w:t>
            </w:r>
          </w:p>
        </w:tc>
        <w:tc>
          <w:tcPr/>
          <w:p>
            <w:pPr>
              <w:pStyle w:val="Compact"/>
            </w:pPr>
            <w:r>
              <w:t xml:space="preserve">WebGL2 rendering in an embedded WebView with a compact scene model over a typed message bridge.</w:t>
            </w:r>
          </w:p>
        </w:tc>
        <w:tc>
          <w:tcPr/>
          <w:p>
            <w:pPr>
              <w:pStyle w:val="Compact"/>
            </w:pPr>
            <w:r>
              <w:t xml:space="preserve">NFR-OGMA-006</w:t>
            </w:r>
          </w:p>
        </w:tc>
      </w:tr>
      <w:tr>
        <w:tc>
          <w:tcPr/>
          <w:p>
            <w:pPr>
              <w:pStyle w:val="Compact"/>
            </w:pPr>
            <w:r>
              <w:t xml:space="preserve">UI never blocked &gt; 100 ms</w:t>
            </w:r>
          </w:p>
        </w:tc>
        <w:tc>
          <w:tcPr/>
          <w:p>
            <w:pPr>
              <w:pStyle w:val="Compact"/>
            </w:pPr>
            <w:r>
              <w:t xml:space="preserve">Background-worker pipeline owns all long-running work off the UI thread.</w:t>
            </w:r>
          </w:p>
        </w:tc>
        <w:tc>
          <w:tcPr/>
          <w:p>
            <w:pPr>
              <w:pStyle w:val="Compact"/>
            </w:pPr>
            <w:r>
              <w:t xml:space="preserve">NFR-PROD-005</w:t>
            </w:r>
          </w:p>
        </w:tc>
      </w:tr>
      <w:tr>
        <w:tc>
          <w:tcPr/>
          <w:p>
            <w:pPr>
              <w:pStyle w:val="Compact"/>
            </w:pPr>
            <w:r>
              <w:t xml:space="preserve">Annotation durability</w:t>
            </w:r>
          </w:p>
        </w:tc>
        <w:tc>
          <w:tcPr/>
          <w:p>
            <w:pPr>
              <w:pStyle w:val="Compact"/>
            </w:pPr>
            <w:r>
              <w:t xml:space="preserve">Annotations persist to the catalogue before being reported saved; recoverable after abnormal termination.</w:t>
            </w:r>
          </w:p>
        </w:tc>
        <w:tc>
          <w:tcPr/>
          <w:p>
            <w:pPr>
              <w:pStyle w:val="Compact"/>
            </w:pPr>
            <w:r>
              <w:t xml:space="preserve">NFR-OGMA-008</w:t>
            </w:r>
          </w:p>
        </w:tc>
      </w:tr>
      <w:tr>
        <w:tc>
          <w:tcPr/>
          <w:p>
            <w:pPr>
              <w:pStyle w:val="Compact"/>
            </w:pPr>
            <w:r>
              <w:t xml:space="preserve">Job recoverability</w:t>
            </w:r>
          </w:p>
        </w:tc>
        <w:tc>
          <w:tcPr/>
          <w:p>
            <w:pPr>
              <w:pStyle w:val="Compact"/>
            </w:pPr>
            <w:r>
              <w:t xml:space="preserve">Background jobs are resumable and idempotent; no duplicated completed work after restart.</w:t>
            </w:r>
          </w:p>
        </w:tc>
        <w:tc>
          <w:tcPr/>
          <w:p>
            <w:pPr>
              <w:pStyle w:val="Compact"/>
            </w:pPr>
            <w:r>
              <w:t xml:space="preserve">NFR-OGMA-009</w:t>
            </w:r>
          </w:p>
        </w:tc>
      </w:tr>
      <w:tr>
        <w:tc>
          <w:tcPr/>
          <w:p>
            <w:pPr>
              <w:pStyle w:val="Compact"/>
            </w:pPr>
            <w:r>
              <w:t xml:space="preserve">Privacy-tier transparency</w:t>
            </w:r>
          </w:p>
        </w:tc>
        <w:tc>
          <w:tcPr/>
          <w:p>
            <w:pPr>
              <w:pStyle w:val="Compact"/>
            </w:pPr>
            <w:r>
              <w:t xml:space="preserve">Single network egress chokepoint (the AI gateway) enforces tier and payload preview before any off-device call.</w:t>
            </w:r>
          </w:p>
        </w:tc>
        <w:tc>
          <w:tcPr/>
          <w:p>
            <w:pPr>
              <w:pStyle w:val="Compact"/>
            </w:pPr>
            <w:r>
              <w:t xml:space="preserve">NFR-PROD-011, SI-1, SI-2</w:t>
            </w:r>
          </w:p>
        </w:tc>
      </w:tr>
      <w:tr>
        <w:tc>
          <w:tcPr/>
          <w:p>
            <w:pPr>
              <w:pStyle w:val="Compact"/>
            </w:pPr>
            <w:r>
              <w:t xml:space="preserve">Update and migration safety</w:t>
            </w:r>
          </w:p>
        </w:tc>
        <w:tc>
          <w:tcPr/>
          <w:p>
            <w:pPr>
              <w:pStyle w:val="Compact"/>
            </w:pPr>
            <w:r>
              <w:t xml:space="preserve">Signed builds verified before install; migrations snapshot and restore on verification failure.</w:t>
            </w:r>
          </w:p>
        </w:tc>
        <w:tc>
          <w:tcPr/>
          <w:p>
            <w:pPr>
              <w:pStyle w:val="Compact"/>
            </w:pPr>
            <w:r>
              <w:t xml:space="preserve">NFR-PROD-012</w:t>
            </w:r>
          </w:p>
        </w:tc>
      </w:tr>
      <w:tr>
        <w:tc>
          <w:tcPr/>
          <w:p>
            <w:pPr>
              <w:pStyle w:val="Compact"/>
            </w:pPr>
            <w:r>
              <w:t xml:space="preserve">No proprietary lock-in</w:t>
            </w:r>
          </w:p>
        </w:tc>
        <w:tc>
          <w:tcPr/>
          <w:p>
            <w:pPr>
              <w:pStyle w:val="Compact"/>
            </w:pPr>
            <w:r>
              <w:t xml:space="preserve">Source files remain the user's files; catalogue augments the folder and is exportable to open formats.</w:t>
            </w:r>
          </w:p>
        </w:tc>
        <w:tc>
          <w:tcPr/>
          <w:p>
            <w:pPr>
              <w:pStyle w:val="Compact"/>
            </w:pPr>
            <w:r>
              <w:t xml:space="preserve">NFR-PROD-009</w:t>
            </w:r>
          </w:p>
        </w:tc>
      </w:tr>
    </w:tbl>
    <w:bookmarkEnd w:id="21"/>
    <w:bookmarkStart w:id="22" w:name="X6cc6f3dcaf6b50d3545ccec7c5cdf8e43dd7081"/>
    <w:p>
      <w:pPr>
        <w:pStyle w:val="Heading2"/>
      </w:pPr>
      <w:r>
        <w:t xml:space="preserve">1.3 System Context (C4 Level 1)</w:t>
      </w:r>
    </w:p>
    <w:p>
      <w:pPr>
        <w:pStyle w:val="FirstParagraph"/>
      </w:pPr>
      <w:r>
        <w:t xml:space="preserve">At the context level, Ogma Library is one application that the user operates on a single desktop device. It reads a user-owned folder of PDF files, augments it with a local catalogue and sidecar assets, and reaches a small set of optional, privacy-gated off-device services. The application opens no inbound network listener and exposes no server endpoint (</w:t>
      </w:r>
      <w:r>
        <w:rPr>
          <w:b/>
          <w:bCs/>
        </w:rPr>
        <w:t xml:space="preserve">CI-2</w:t>
      </w:r>
      <w:r>
        <w:t xml:space="preserve">).</w:t>
      </w:r>
    </w:p>
    <w:p>
      <w:pPr>
        <w:pStyle w:val="SourceCode"/>
      </w:pPr>
      <w:r>
        <w:rPr>
          <w:rStyle w:val="VerbatimChar"/>
        </w:rPr>
        <w:t xml:space="preserve">                          ┌──────────────────────────────────────────────┐</w:t>
      </w:r>
      <w:r>
        <w:br/>
      </w:r>
      <w:r>
        <w:rPr>
          <w:rStyle w:val="VerbatimChar"/>
        </w:rPr>
        <w:t xml:space="preserve">                          │              OGMA LIBRARY                     │</w:t>
      </w:r>
      <w:r>
        <w:br/>
      </w:r>
      <w:r>
        <w:rPr>
          <w:rStyle w:val="VerbatimChar"/>
        </w:rPr>
        <w:t xml:space="preserve">                          │   Avalonia modular monolith on .NET 10 LTS    │</w:t>
      </w:r>
      <w:r>
        <w:br/>
      </w:r>
      <w:r>
        <w:rPr>
          <w:rStyle w:val="VerbatimChar"/>
        </w:rPr>
        <w:t xml:space="preserve">  ┌──────────────┐        │                                              │</w:t>
      </w:r>
      <w:r>
        <w:br/>
      </w:r>
      <w:r>
        <w:rPr>
          <w:rStyle w:val="VerbatimChar"/>
        </w:rPr>
        <w:t xml:space="preserve">  │   Reader     │ uses   │   Catalogue of record (SQLite + FTS5)         │</w:t>
      </w:r>
      <w:r>
        <w:br/>
      </w:r>
      <w:r>
        <w:rPr>
          <w:rStyle w:val="VerbatimChar"/>
        </w:rPr>
        <w:t xml:space="preserve">  │   (single    │───────▶│   = single source of truth for book identity │</w:t>
      </w:r>
      <w:r>
        <w:br/>
      </w:r>
      <w:r>
        <w:rPr>
          <w:rStyle w:val="VerbatimChar"/>
        </w:rPr>
        <w:t xml:space="preserve">  │    user,     │        │                                              │</w:t>
      </w:r>
      <w:r>
        <w:br/>
      </w:r>
      <w:r>
        <w:rPr>
          <w:rStyle w:val="VerbatimChar"/>
        </w:rPr>
        <w:t xml:space="preserve">  │   desktop)   │◀───────│   Sidecar asset folder (covers, thumbnails,  │</w:t>
      </w:r>
      <w:r>
        <w:br/>
      </w:r>
      <w:r>
        <w:rPr>
          <w:rStyle w:val="VerbatimChar"/>
        </w:rPr>
        <w:t xml:space="preserve">  └──────────────┘        │     spines, OCR, extracted text, embeddings, │</w:t>
      </w:r>
      <w:r>
        <w:br/>
      </w:r>
      <w:r>
        <w:rPr>
          <w:rStyle w:val="VerbatimChar"/>
        </w:rPr>
        <w:t xml:space="preserve">                          │     backups)                                  │</w:t>
      </w:r>
      <w:r>
        <w:br/>
      </w:r>
      <w:r>
        <w:rPr>
          <w:rStyle w:val="VerbatimChar"/>
        </w:rPr>
        <w:t xml:space="preserve">  ┌──────────────┐ reads  │                                              │</w:t>
      </w:r>
      <w:r>
        <w:br/>
      </w:r>
      <w:r>
        <w:rPr>
          <w:rStyle w:val="VerbatimChar"/>
        </w:rPr>
        <w:t xml:space="preserve">  │ User's PDF   │───────▶│   Bounded contexts: Catalogue · Ingestion ·  │</w:t>
      </w:r>
      <w:r>
        <w:br/>
      </w:r>
      <w:r>
        <w:rPr>
          <w:rStyle w:val="VerbatimChar"/>
        </w:rPr>
        <w:t xml:space="preserve">  │ folder       │        │   Enrichment · Reader · Search · AI Advisor ·│</w:t>
      </w:r>
      <w:r>
        <w:br/>
      </w:r>
      <w:r>
        <w:rPr>
          <w:rStyle w:val="VerbatimChar"/>
        </w:rPr>
        <w:t xml:space="preserve">  │ (on disk)    │        │   Bookshelf · Settings/Security · Packaging   │</w:t>
      </w:r>
      <w:r>
        <w:br/>
      </w:r>
      <w:r>
        <w:rPr>
          <w:rStyle w:val="VerbatimChar"/>
        </w:rPr>
        <w:t xml:space="preserve">  └──────────────┘        │                                              │</w:t>
      </w:r>
      <w:r>
        <w:br/>
      </w:r>
      <w:r>
        <w:rPr>
          <w:rStyle w:val="VerbatimChar"/>
        </w:rPr>
        <w:t xml:space="preserve">                          │   AI gateway = single off-device egress       │</w:t>
      </w:r>
      <w:r>
        <w:br/>
      </w:r>
      <w:r>
        <w:rPr>
          <w:rStyle w:val="VerbatimChar"/>
        </w:rPr>
        <w:t xml:space="preserve">                          └───────────────┬──────────────────────────────┘</w:t>
      </w:r>
      <w:r>
        <w:br/>
      </w:r>
      <w:r>
        <w:rPr>
          <w:rStyle w:val="VerbatimChar"/>
        </w:rPr>
        <w:t xml:space="preserve">                                          │ gated, privacy-tier enforced</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Metadata providers │    │ Cloud AI providers        │    │ Local AI (Ollama)  │</w:t>
      </w:r>
      <w:r>
        <w:br/>
      </w:r>
      <w:r>
        <w:rPr>
          <w:rStyle w:val="VerbatimChar"/>
        </w:rPr>
        <w:t xml:space="preserve">   │ Google Books /     │    │ OpenAI / Anthropic-compat │    │ on-device inference│</w:t>
      </w:r>
      <w:r>
        <w:br/>
      </w:r>
      <w:r>
        <w:rPr>
          <w:rStyle w:val="VerbatimChar"/>
        </w:rPr>
        <w:t xml:space="preserve">   │ Open Library       │    │ / DeepSeek-compatible     │    │ (no egress)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Update / release channel │  signed, integrity-checked</w:t>
      </w:r>
      <w:r>
        <w:br/>
      </w:r>
      <w:r>
        <w:rPr>
          <w:rStyle w:val="VerbatimChar"/>
        </w:rPr>
        <w:t xml:space="preserve">                           │ (Velopack / MSIX / DMG)  │</w:t>
      </w:r>
      <w:r>
        <w:br/>
      </w:r>
      <w:r>
        <w:rPr>
          <w:rStyle w:val="VerbatimChar"/>
        </w:rPr>
        <w:t xml:space="preserve">                           └──────────────────────────┘</w:t>
      </w:r>
    </w:p>
    <w:p>
      <w:pPr>
        <w:pStyle w:val="FirstParagraph"/>
      </w:pPr>
      <w:r>
        <w:t xml:space="preserve">Every connector crossing the application boundary toward an off-device service is dashed in intent: it fires only when the active</w:t>
      </w:r>
      <w:r>
        <w:t xml:space="preserve"> </w:t>
      </w:r>
      <w:r>
        <w:rPr>
          <w:i/>
          <w:iCs/>
        </w:rPr>
        <w:t xml:space="preserve">privacy tier</w:t>
      </w:r>
      <w:r>
        <w:t xml:space="preserve"> </w:t>
      </w:r>
      <w:r>
        <w:t xml:space="preserve">permits the call and the user has confirmed the previewed payload (</w:t>
      </w:r>
      <w:r>
        <w:rPr>
          <w:b/>
          <w:bCs/>
        </w:rPr>
        <w:t xml:space="preserve">SI-2</w:t>
      </w:r>
      <w:r>
        <w:t xml:space="preserve">,</w:t>
      </w:r>
      <w:r>
        <w:t xml:space="preserve"> </w:t>
      </w:r>
      <w:r>
        <w:rPr>
          <w:b/>
          <w:bCs/>
        </w:rPr>
        <w:t xml:space="preserve">NFR-PROD-011</w:t>
      </w:r>
      <w:r>
        <w:t xml:space="preserve">), and each such call produces a local audit entry (</w:t>
      </w:r>
      <w:r>
        <w:rPr>
          <w:b/>
          <w:bCs/>
        </w:rPr>
        <w:t xml:space="preserve">CI-3</w:t>
      </w:r>
      <w:r>
        <w:t xml:space="preserve">,</w:t>
      </w:r>
      <w:r>
        <w:t xml:space="preserve"> </w:t>
      </w:r>
      <w:r>
        <w:rPr>
          <w:b/>
          <w:bCs/>
        </w:rPr>
        <w:t xml:space="preserve">NFR-PROD-013</w:t>
      </w:r>
      <w:r>
        <w:t xml:space="preserve">). The full set of bounded contexts and their ownership rules is specified in Section 3; the container-level decomposition into projects is specified in Section 2.</w:t>
      </w:r>
    </w:p>
    <w:p>
      <w:pPr>
        <w:pStyle w:val="BodyText"/>
      </w:pPr>
      <w:r>
        <w:t xml:space="preserve">\newpage</w:t>
      </w:r>
    </w:p>
    <w:bookmarkEnd w:id="22"/>
    <w:bookmarkEnd w:id="23"/>
    <w:bookmarkStart w:id="27" w:name="Xd97b4128f7c944d8aa01c53adf0b0dff3e8dadc"/>
    <w:p>
      <w:pPr>
        <w:pStyle w:val="Heading1"/>
      </w:pPr>
      <w:r>
        <w:t xml:space="preserve">2. Solution Structure</w:t>
      </w:r>
    </w:p>
    <w:bookmarkStart w:id="24" w:name="Xaa7aac87c3aed700a03f22192c65c18969e867b"/>
    <w:p>
      <w:pPr>
        <w:pStyle w:val="Heading2"/>
      </w:pPr>
      <w:r>
        <w:t xml:space="preserve">2.1 Project Breakdown</w:t>
      </w:r>
    </w:p>
    <w:p>
      <w:pPr>
        <w:pStyle w:val="FirstParagraph"/>
      </w:pPr>
      <w:r>
        <w:t xml:space="preserve">The solution is one Visual Studio / .NET solution composed of nine projects. Each project maps to a layer or a rendering surface, and dependencies flow inward toward the domain. The Avalonia shell (</w:t>
      </w:r>
      <w:r>
        <w:rPr>
          <w:rStyle w:val="VerbatimChar"/>
        </w:rPr>
        <w:t xml:space="preserve">OgmaLibrary.App</w:t>
      </w:r>
      <w:r>
        <w:t xml:space="preserve">) is the composition root; it is the only project permitted to wire concrete implementations to interfaces.</w:t>
      </w:r>
    </w:p>
    <w:p>
      <w:pPr>
        <w:pStyle w:val="SourceCode"/>
      </w:pPr>
      <w:r>
        <w:rPr>
          <w:rStyle w:val="VerbatimChar"/>
        </w:rPr>
        <w:t xml:space="preserve">OgmaLibrary.sln</w:t>
      </w:r>
      <w:r>
        <w:br/>
      </w:r>
      <w:r>
        <w:rPr>
          <w:rStyle w:val="VerbatimChar"/>
        </w:rPr>
        <w:t xml:space="preserve">│</w:t>
      </w:r>
      <w:r>
        <w:br/>
      </w:r>
      <w:r>
        <w:rPr>
          <w:rStyle w:val="VerbatimChar"/>
        </w:rPr>
        <w:t xml:space="preserve">├── OgmaLibrary.App            (Avalonia shell, views, view models, composition root)</w:t>
      </w:r>
      <w:r>
        <w:br/>
      </w:r>
      <w:r>
        <w:rPr>
          <w:rStyle w:val="VerbatimChar"/>
        </w:rPr>
        <w:t xml:space="preserve">├── OgmaLibrary.Domain         (entities, value objects, domain events, invariants)</w:t>
      </w:r>
      <w:r>
        <w:br/>
      </w:r>
      <w:r>
        <w:rPr>
          <w:rStyle w:val="VerbatimChar"/>
        </w:rPr>
        <w:t xml:space="preserve">├── OgmaLibrary.Application     (use cases, command/query handlers)</w:t>
      </w:r>
      <w:r>
        <w:br/>
      </w:r>
      <w:r>
        <w:rPr>
          <w:rStyle w:val="VerbatimChar"/>
        </w:rPr>
        <w:t xml:space="preserve">├── OgmaLibrary.Infrastructure  (SQLite, file system, PDF adapters, HTTP clients, AI providers)</w:t>
      </w:r>
      <w:r>
        <w:br/>
      </w:r>
      <w:r>
        <w:rPr>
          <w:rStyle w:val="VerbatimChar"/>
        </w:rPr>
        <w:t xml:space="preserve">├── OgmaLibrary.Reader          (PDF rendering, page cache, text layer, annotation overlay)</w:t>
      </w:r>
      <w:r>
        <w:br/>
      </w:r>
      <w:r>
        <w:rPr>
          <w:rStyle w:val="VerbatimChar"/>
        </w:rPr>
        <w:t xml:space="preserve">├── OgmaLibrary.Bookshelf3D     (WebView bridge contract + embedded Three.js assets)</w:t>
      </w:r>
      <w:r>
        <w:br/>
      </w:r>
      <w:r>
        <w:rPr>
          <w:rStyle w:val="VerbatimChar"/>
        </w:rPr>
        <w:t xml:space="preserve">├── OgmaLibrary.Workers         (scan, thumbnail, OCR, indexing, enrichment background jobs)</w:t>
      </w:r>
      <w:r>
        <w:br/>
      </w:r>
      <w:r>
        <w:rPr>
          <w:rStyle w:val="VerbatimChar"/>
        </w:rPr>
        <w:t xml:space="preserve">└── OgmaLibrary.Tests           (unit, integration, golden corpus, visual, performance)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Project</w:t>
            </w:r>
          </w:p>
        </w:tc>
        <w:tc>
          <w:tcPr/>
          <w:p>
            <w:pPr>
              <w:pStyle w:val="Compact"/>
            </w:pPr>
            <w:r>
              <w:t xml:space="preserve">Responsibility</w:t>
            </w:r>
          </w:p>
        </w:tc>
        <w:tc>
          <w:tcPr/>
          <w:p>
            <w:pPr>
              <w:pStyle w:val="Compact"/>
            </w:pPr>
            <w:r>
              <w:t xml:space="preserve">Must not contain</w:t>
            </w:r>
          </w:p>
        </w:tc>
      </w:tr>
      <w:tr>
        <w:tc>
          <w:tcPr/>
          <w:p>
            <w:pPr>
              <w:pStyle w:val="Compact"/>
            </w:pPr>
            <w:r>
              <w:rPr>
                <w:rStyle w:val="VerbatimChar"/>
              </w:rPr>
              <w:t xml:space="preserve">OgmaLibrary.App</w:t>
            </w:r>
          </w:p>
        </w:tc>
        <w:tc>
          <w:tcPr/>
          <w:p>
            <w:pPr>
              <w:pStyle w:val="Compact"/>
            </w:pPr>
            <w:r>
              <w:t xml:space="preserve">Avalonia views, view models, navigation, dependency-injection wiring, and the composition root that binds interfaces to implementations.</w:t>
            </w:r>
          </w:p>
        </w:tc>
        <w:tc>
          <w:tcPr/>
          <w:p>
            <w:pPr>
              <w:pStyle w:val="Compact"/>
            </w:pPr>
            <w:r>
              <w:t xml:space="preserve">Persistence logic, provider calls, or PDF parsing.</w:t>
            </w:r>
          </w:p>
        </w:tc>
      </w:tr>
      <w:tr>
        <w:tc>
          <w:tcPr/>
          <w:p>
            <w:pPr>
              <w:pStyle w:val="Compact"/>
            </w:pPr>
            <w:r>
              <w:rPr>
                <w:rStyle w:val="VerbatimChar"/>
              </w:rPr>
              <w:t xml:space="preserve">OgmaLibrary.Domain</w:t>
            </w:r>
          </w:p>
        </w:tc>
        <w:tc>
          <w:tcPr/>
          <w:p>
            <w:pPr>
              <w:pStyle w:val="Compact"/>
            </w:pPr>
            <w:r>
              <w:t xml:space="preserve">Entities (Book, BookFile, Shelf, Annotation), value objects, domain events, and invariants. No dependency on any other project.</w:t>
            </w:r>
          </w:p>
        </w:tc>
        <w:tc>
          <w:tcPr/>
          <w:p>
            <w:pPr>
              <w:pStyle w:val="Compact"/>
            </w:pPr>
            <w:r>
              <w:t xml:space="preserve">EF Core, file-system, HTTP, or UI references.</w:t>
            </w:r>
          </w:p>
        </w:tc>
      </w:tr>
      <w:tr>
        <w:tc>
          <w:tcPr/>
          <w:p>
            <w:pPr>
              <w:pStyle w:val="Compact"/>
            </w:pPr>
            <w:r>
              <w:rPr>
                <w:rStyle w:val="VerbatimChar"/>
              </w:rPr>
              <w:t xml:space="preserve">OgmaLibrary.Application</w:t>
            </w:r>
          </w:p>
        </w:tc>
        <w:tc>
          <w:tcPr/>
          <w:p>
            <w:pPr>
              <w:pStyle w:val="Compact"/>
            </w:pPr>
            <w:r>
              <w:t xml:space="preserve">Use cases as command and query handlers; orchestrates domain objects and calls infrastructure through interfaces it defines.</w:t>
            </w:r>
          </w:p>
        </w:tc>
        <w:tc>
          <w:tcPr/>
          <w:p>
            <w:pPr>
              <w:pStyle w:val="Compact"/>
            </w:pPr>
            <w:r>
              <w:t xml:space="preserve">Concrete SQLite, HTTP, or PDF types.</w:t>
            </w:r>
          </w:p>
        </w:tc>
      </w:tr>
      <w:tr>
        <w:tc>
          <w:tcPr/>
          <w:p>
            <w:pPr>
              <w:pStyle w:val="Compact"/>
            </w:pPr>
            <w:r>
              <w:rPr>
                <w:rStyle w:val="VerbatimChar"/>
              </w:rPr>
              <w:t xml:space="preserve">OgmaLibrary.Infrastructure</w:t>
            </w:r>
          </w:p>
        </w:tc>
        <w:tc>
          <w:tcPr/>
          <w:p>
            <w:pPr>
              <w:pStyle w:val="Compact"/>
            </w:pPr>
            <w:r>
              <w:t xml:space="preserve">EF Core SQLite context, file-system access, PDF adapters (PDFium, PdfPig, PDFsharp), HTTP clients, and AI provider implementations behind the gateway interfaces.</w:t>
            </w:r>
          </w:p>
        </w:tc>
        <w:tc>
          <w:tcPr/>
          <w:p>
            <w:pPr>
              <w:pStyle w:val="Compact"/>
            </w:pPr>
            <w:r>
              <w:t xml:space="preserve">View-model or UI code.</w:t>
            </w:r>
          </w:p>
        </w:tc>
      </w:tr>
      <w:tr>
        <w:tc>
          <w:tcPr/>
          <w:p>
            <w:pPr>
              <w:pStyle w:val="Compact"/>
            </w:pPr>
            <w:r>
              <w:rPr>
                <w:rStyle w:val="VerbatimChar"/>
              </w:rPr>
              <w:t xml:space="preserve">OgmaLibrary.Reader</w:t>
            </w:r>
          </w:p>
        </w:tc>
        <w:tc>
          <w:tcPr/>
          <w:p>
            <w:pPr>
              <w:pStyle w:val="Compact"/>
            </w:pPr>
            <w:r>
              <w:t xml:space="preserve">Reader rendering services, the page-render cache, the text-layer service, and the annotation overlay.</w:t>
            </w:r>
          </w:p>
        </w:tc>
        <w:tc>
          <w:tcPr/>
          <w:p>
            <w:pPr>
              <w:pStyle w:val="Compact"/>
            </w:pPr>
            <w:r>
              <w:t xml:space="preserve">Scan policy or external metadata lookup.</w:t>
            </w:r>
          </w:p>
        </w:tc>
      </w:tr>
      <w:tr>
        <w:tc>
          <w:tcPr/>
          <w:p>
            <w:pPr>
              <w:pStyle w:val="Compact"/>
            </w:pPr>
            <w:r>
              <w:rPr>
                <w:rStyle w:val="VerbatimChar"/>
              </w:rPr>
              <w:t xml:space="preserve">OgmaLibrary.Bookshelf3D</w:t>
            </w:r>
          </w:p>
        </w:tc>
        <w:tc>
          <w:tcPr/>
          <w:p>
            <w:pPr>
              <w:pStyle w:val="Compact"/>
            </w:pPr>
            <w:r>
              <w:t xml:space="preserve">The C#↔JavaScript bridge contract and the embedded Three.js scene assets for the 3D shelf.</w:t>
            </w:r>
          </w:p>
        </w:tc>
        <w:tc>
          <w:tcPr/>
          <w:p>
            <w:pPr>
              <w:pStyle w:val="Compact"/>
            </w:pPr>
            <w:r>
              <w:t xml:space="preserve">Catalogue truth; it renders a projection it is handed.</w:t>
            </w:r>
          </w:p>
        </w:tc>
      </w:tr>
      <w:tr>
        <w:tc>
          <w:tcPr/>
          <w:p>
            <w:pPr>
              <w:pStyle w:val="Compact"/>
            </w:pPr>
            <w:r>
              <w:rPr>
                <w:rStyle w:val="VerbatimChar"/>
              </w:rPr>
              <w:t xml:space="preserve">OgmaLibrary.Workers</w:t>
            </w:r>
          </w:p>
        </w:tc>
        <w:tc>
          <w:tcPr/>
          <w:p>
            <w:pPr>
              <w:pStyle w:val="Compact"/>
            </w:pPr>
            <w:r>
              <w:t xml:space="preserve">Background job definitions and runners for scan, thumbnail, OCR, indexing, embedding, and enrichment.</w:t>
            </w:r>
          </w:p>
        </w:tc>
        <w:tc>
          <w:tcPr/>
          <w:p>
            <w:pPr>
              <w:pStyle w:val="Compact"/>
            </w:pPr>
            <w:r>
              <w:t xml:space="preserve">UI thread work or direct view-model references.</w:t>
            </w:r>
          </w:p>
        </w:tc>
      </w:tr>
      <w:tr>
        <w:tc>
          <w:tcPr/>
          <w:p>
            <w:pPr>
              <w:pStyle w:val="Compact"/>
            </w:pPr>
            <w:r>
              <w:rPr>
                <w:rStyle w:val="VerbatimChar"/>
              </w:rPr>
              <w:t xml:space="preserve">OgmaLibrary.Tests</w:t>
            </w:r>
          </w:p>
        </w:tc>
        <w:tc>
          <w:tcPr/>
          <w:p>
            <w:pPr>
              <w:pStyle w:val="Compact"/>
            </w:pPr>
            <w:r>
              <w:t xml:space="preserve">Unit, integration, golden-corpus, visual-regression, and performance benchmark suites.</w:t>
            </w:r>
          </w:p>
        </w:tc>
        <w:tc>
          <w:tcPr/>
          <w:p>
            <w:pPr>
              <w:pStyle w:val="Compact"/>
            </w:pPr>
            <w:r>
              <w:t xml:space="preserve">Production runtime code.</w:t>
            </w:r>
          </w:p>
        </w:tc>
      </w:tr>
    </w:tbl>
    <w:bookmarkEnd w:id="24"/>
    <w:bookmarkStart w:id="25" w:name="X42fe4b53c09210cfc688ef3fa31403c48b6f24f"/>
    <w:p>
      <w:pPr>
        <w:pStyle w:val="Heading2"/>
      </w:pPr>
      <w:r>
        <w:t xml:space="preserve">2.2 Dependency Direction</w:t>
      </w:r>
    </w:p>
    <w:p>
      <w:pPr>
        <w:pStyle w:val="FirstParagraph"/>
      </w:pPr>
      <w:r>
        <w:t xml:space="preserve">Dependencies are acyclic and point inward.</w:t>
      </w:r>
      <w:r>
        <w:t xml:space="preserve"> </w:t>
      </w:r>
      <w:r>
        <w:rPr>
          <w:rStyle w:val="VerbatimChar"/>
        </w:rPr>
        <w:t xml:space="preserve">OgmaLibrary.Domain</w:t>
      </w:r>
      <w:r>
        <w:t xml:space="preserve"> </w:t>
      </w:r>
      <w:r>
        <w:t xml:space="preserve">depends on nothing.</w:t>
      </w:r>
      <w:r>
        <w:t xml:space="preserve"> </w:t>
      </w:r>
      <w:r>
        <w:rPr>
          <w:rStyle w:val="VerbatimChar"/>
        </w:rPr>
        <w:t xml:space="preserve">OgmaLibrary.Application</w:t>
      </w:r>
      <w:r>
        <w:t xml:space="preserve"> </w:t>
      </w:r>
      <w:r>
        <w:t xml:space="preserve">depends only on</w:t>
      </w:r>
      <w:r>
        <w:t xml:space="preserve"> </w:t>
      </w:r>
      <w:r>
        <w:rPr>
          <w:rStyle w:val="VerbatimChar"/>
        </w:rPr>
        <w:t xml:space="preserve">OgmaLibrary.Domain</w:t>
      </w:r>
      <w:r>
        <w:t xml:space="preserve"> </w:t>
      </w:r>
      <w:r>
        <w:t xml:space="preserve">and on interfaces it declares.</w:t>
      </w:r>
      <w:r>
        <w:t xml:space="preserve"> </w:t>
      </w:r>
      <w:r>
        <w:rPr>
          <w:rStyle w:val="VerbatimChar"/>
        </w:rPr>
        <w:t xml:space="preserve">OgmaLibrary.Infrastructure</w:t>
      </w:r>
      <w:r>
        <w:t xml:space="preserve">,</w:t>
      </w:r>
      <w:r>
        <w:t xml:space="preserve"> </w:t>
      </w:r>
      <w:r>
        <w:rPr>
          <w:rStyle w:val="VerbatimChar"/>
        </w:rPr>
        <w:t xml:space="preserve">OgmaLibrary.Reader</w:t>
      </w:r>
      <w:r>
        <w:t xml:space="preserve">,</w:t>
      </w:r>
      <w:r>
        <w:t xml:space="preserve"> </w:t>
      </w:r>
      <w:r>
        <w:rPr>
          <w:rStyle w:val="VerbatimChar"/>
        </w:rPr>
        <w:t xml:space="preserve">OgmaLibrary.Bookshelf3D</w:t>
      </w:r>
      <w:r>
        <w:t xml:space="preserve">, and</w:t>
      </w:r>
      <w:r>
        <w:t xml:space="preserve"> </w:t>
      </w:r>
      <w:r>
        <w:rPr>
          <w:rStyle w:val="VerbatimChar"/>
        </w:rPr>
        <w:t xml:space="preserve">OgmaLibrary.Workers</w:t>
      </w:r>
      <w:r>
        <w:t xml:space="preserve"> </w:t>
      </w:r>
      <w:r>
        <w:t xml:space="preserve">depend on</w:t>
      </w:r>
      <w:r>
        <w:t xml:space="preserve"> </w:t>
      </w:r>
      <w:r>
        <w:rPr>
          <w:rStyle w:val="VerbatimChar"/>
        </w:rPr>
        <w:t xml:space="preserve">OgmaLibrary.Application</w:t>
      </w:r>
      <w:r>
        <w:t xml:space="preserve"> </w:t>
      </w:r>
      <w:r>
        <w:t xml:space="preserve">and</w:t>
      </w:r>
      <w:r>
        <w:t xml:space="preserve"> </w:t>
      </w:r>
      <w:r>
        <w:rPr>
          <w:rStyle w:val="VerbatimChar"/>
        </w:rPr>
        <w:t xml:space="preserve">OgmaLibrary.Domain</w:t>
      </w:r>
      <w:r>
        <w:t xml:space="preserve"> </w:t>
      </w:r>
      <w:r>
        <w:t xml:space="preserve">and implement the interfaces those layers define.</w:t>
      </w:r>
      <w:r>
        <w:t xml:space="preserve"> </w:t>
      </w:r>
      <w:r>
        <w:rPr>
          <w:rStyle w:val="VerbatimChar"/>
        </w:rPr>
        <w:t xml:space="preserve">OgmaLibrary.App</w:t>
      </w:r>
      <w:r>
        <w:t xml:space="preserve"> </w:t>
      </w:r>
      <w:r>
        <w:t xml:space="preserve">depends on all of the above solely to compose them.</w:t>
      </w:r>
    </w:p>
    <w:p>
      <w:pPr>
        <w:pStyle w:val="SourceCode"/>
      </w:pPr>
      <w:r>
        <w:rPr>
          <w:rStyle w:val="VerbatimChar"/>
        </w:rPr>
        <w:t xml:space="preserve">        OgmaLibrary.App  (composition root)</w:t>
      </w:r>
      <w:r>
        <w:br/>
      </w:r>
      <w:r>
        <w:rPr>
          <w:rStyle w:val="VerbatimChar"/>
        </w:rPr>
        <w:t xml:space="preserve">               │  wires interfaces → implementations</w:t>
      </w:r>
      <w:r>
        <w:br/>
      </w:r>
      <w:r>
        <w:rPr>
          <w:rStyle w:val="VerbatimChar"/>
        </w:rPr>
        <w:t xml:space="preserve">   ┌───────────┼───────────┬───────────────┬───────────────┐</w:t>
      </w:r>
      <w:r>
        <w:br/>
      </w:r>
      <w:r>
        <w:rPr>
          <w:rStyle w:val="VerbatimChar"/>
        </w:rPr>
        <w:t xml:space="preserve">   ▼           ▼           ▼               ▼               ▼</w:t>
      </w:r>
      <w:r>
        <w:br/>
      </w:r>
      <w:r>
        <w:rPr>
          <w:rStyle w:val="VerbatimChar"/>
        </w:rPr>
        <w:t xml:space="preserve"> Reader   Bookshelf3D   Workers     Infrastructure   (UI views/VMs)</w:t>
      </w:r>
      <w:r>
        <w:br/>
      </w:r>
      <w:r>
        <w:rPr>
          <w:rStyle w:val="VerbatimChar"/>
        </w:rPr>
        <w:t xml:space="preserve">   │           │           │               │</w:t>
      </w:r>
      <w:r>
        <w:br/>
      </w:r>
      <w:r>
        <w:rPr>
          <w:rStyle w:val="VerbatimChar"/>
        </w:rPr>
        <w:t xml:space="preserve">   └───────────┴───────────┴───────────────┘</w:t>
      </w:r>
      <w:r>
        <w:br/>
      </w:r>
      <w:r>
        <w:rPr>
          <w:rStyle w:val="VerbatimChar"/>
        </w:rPr>
        <w:t xml:space="preserve">                       │ depend on</w:t>
      </w:r>
      <w:r>
        <w:br/>
      </w:r>
      <w:r>
        <w:rPr>
          <w:rStyle w:val="VerbatimChar"/>
        </w:rPr>
        <w:t xml:space="preserve">                       ▼</w:t>
      </w:r>
      <w:r>
        <w:br/>
      </w:r>
      <w:r>
        <w:rPr>
          <w:rStyle w:val="VerbatimChar"/>
        </w:rPr>
        <w:t xml:space="preserve">              OgmaLibrary.Application</w:t>
      </w:r>
      <w:r>
        <w:br/>
      </w:r>
      <w:r>
        <w:rPr>
          <w:rStyle w:val="VerbatimChar"/>
        </w:rPr>
        <w:t xml:space="preserve">                       │ depends on</w:t>
      </w:r>
      <w:r>
        <w:br/>
      </w:r>
      <w:r>
        <w:rPr>
          <w:rStyle w:val="VerbatimChar"/>
        </w:rPr>
        <w:t xml:space="preserve">                       ▼</w:t>
      </w:r>
      <w:r>
        <w:br/>
      </w:r>
      <w:r>
        <w:rPr>
          <w:rStyle w:val="VerbatimChar"/>
        </w:rPr>
        <w:t xml:space="preserve">                OgmaLibrary.Domain   (no outward dependency)</w:t>
      </w:r>
    </w:p>
    <w:p>
      <w:pPr>
        <w:pStyle w:val="FirstParagraph"/>
      </w:pPr>
      <w:r>
        <w:t xml:space="preserve">This direction guarantees that the domain model — book identity, shelf membership, annotation invariants — is testable in isolation and is never coupled to SQLite, PDFium, or Avalonia. A change to a PDF library or a database engine is confined to</w:t>
      </w:r>
      <w:r>
        <w:t xml:space="preserve"> </w:t>
      </w:r>
      <w:r>
        <w:rPr>
          <w:rStyle w:val="VerbatimChar"/>
        </w:rPr>
        <w:t xml:space="preserve">OgmaLibrary.Infrastructure</w:t>
      </w:r>
      <w:r>
        <w:t xml:space="preserve"> </w:t>
      </w:r>
      <w:r>
        <w:t xml:space="preserve">and never reaches the domain.</w:t>
      </w:r>
    </w:p>
    <w:bookmarkEnd w:id="25"/>
    <w:bookmarkStart w:id="26" w:name="Xb488d100e3bc1570cdd9ee66a1788679db2cf34"/>
    <w:p>
      <w:pPr>
        <w:pStyle w:val="Heading2"/>
      </w:pPr>
      <w:r>
        <w:t xml:space="preserve">2.3 Composition Root</w:t>
      </w:r>
    </w:p>
    <w:p>
      <w:pPr>
        <w:pStyle w:val="FirstParagraph"/>
      </w:pPr>
      <w:r>
        <w:rPr>
          <w:rStyle w:val="VerbatimChar"/>
        </w:rPr>
        <w:t xml:space="preserve">OgmaLibrary.App</w:t>
      </w:r>
      <w:r>
        <w:t xml:space="preserve"> </w:t>
      </w:r>
      <w:r>
        <w:t xml:space="preserve">is the only composition root. At startup it builds the dependency-injection container, registers one concrete implementation per interface, and resolves the main window. The composition root is where the</w:t>
      </w:r>
      <w:r>
        <w:t xml:space="preserve"> </w:t>
      </w:r>
      <w:r>
        <w:rPr>
          <w:b/>
          <w:bCs/>
        </w:rPr>
        <w:t xml:space="preserve">AI gateway</w:t>
      </w:r>
      <w:r>
        <w:t xml:space="preserve"> </w:t>
      </w:r>
      <w:r>
        <w:t xml:space="preserve">(</w:t>
      </w:r>
      <w:r>
        <w:rPr>
          <w:rStyle w:val="VerbatimChar"/>
        </w:rPr>
        <w:t xml:space="preserve">IAiProvider</w:t>
      </w:r>
      <w:r>
        <w:t xml:space="preserve">), the persistence context, the PDF adapters, and the worker pipeline are bound. Because all wiring is centralised, the single egress chokepoint required by</w:t>
      </w:r>
      <w:r>
        <w:t xml:space="preserve"> </w:t>
      </w:r>
      <w:r>
        <w:rPr>
          <w:b/>
          <w:bCs/>
        </w:rPr>
        <w:t xml:space="preserve">SI-1</w:t>
      </w:r>
      <w:r>
        <w:t xml:space="preserve"> </w:t>
      </w:r>
      <w:r>
        <w:t xml:space="preserve">and the security baseline is enforceable by inspection of one project: no feature module receives a direct reference to a provider client, only to the gateway interface.</w:t>
      </w:r>
    </w:p>
    <w:p>
      <w:pPr>
        <w:pStyle w:val="BodyText"/>
      </w:pPr>
      <w:r>
        <w:t xml:space="preserve">The composition root also seeds the bounded-context internal interfaces (Section 3) so that, for example, the Reader receives a read-only catalogue query interface and is structurally unable to write book identity.</w:t>
      </w:r>
    </w:p>
    <w:p>
      <w:pPr>
        <w:pStyle w:val="BodyText"/>
      </w:pPr>
      <w:r>
        <w:t xml:space="preserve">\newpage</w:t>
      </w:r>
    </w:p>
    <w:bookmarkEnd w:id="26"/>
    <w:bookmarkEnd w:id="27"/>
    <w:bookmarkStart w:id="31" w:name="Xe708f4c293a6688ac36363e25e6bb77422437de"/>
    <w:p>
      <w:pPr>
        <w:pStyle w:val="Heading1"/>
      </w:pPr>
      <w:r>
        <w:t xml:space="preserve">3. Bounded Contexts</w:t>
      </w:r>
    </w:p>
    <w:bookmarkStart w:id="28" w:name="X724a96a8da563ecd70e1a7550f1b76e257a397e"/>
    <w:p>
      <w:pPr>
        <w:pStyle w:val="Heading2"/>
      </w:pPr>
      <w:r>
        <w:t xml:space="preserve">3.1 Context Catalogue</w:t>
      </w:r>
    </w:p>
    <w:p>
      <w:pPr>
        <w:pStyle w:val="FirstParagraph"/>
      </w:pPr>
      <w:r>
        <w:t xml:space="preserve">Ogma Library is organised into nine</w:t>
      </w:r>
      <w:r>
        <w:t xml:space="preserve"> </w:t>
      </w:r>
      <w:r>
        <w:rPr>
          <w:i/>
          <w:iCs/>
        </w:rPr>
        <w:t xml:space="preserve">bounded contexts</w:t>
      </w:r>
      <w:r>
        <w:t xml:space="preserve">. Each context owns a coherent model and a stable set of responsibilities, and each is explicitly forbidden a set of responsibilities that belong to a neighbour. The owns / must-not-own discipline is the mechanism that keeps the catalogue the single source of truth and prevents derived state (renders, indexes, embeddings, 3D scenes) from drifting into the role of authority.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Bounded context</w:t>
            </w:r>
          </w:p>
        </w:tc>
        <w:tc>
          <w:tcPr/>
          <w:p>
            <w:pPr>
              <w:pStyle w:val="Compact"/>
            </w:pPr>
            <w:r>
              <w:t xml:space="preserve">Owns</w:t>
            </w:r>
          </w:p>
        </w:tc>
        <w:tc>
          <w:tcPr/>
          <w:p>
            <w:pPr>
              <w:pStyle w:val="Compact"/>
            </w:pPr>
            <w:r>
              <w:t xml:space="preserve">Must not own</w:t>
            </w:r>
          </w:p>
        </w:tc>
      </w:tr>
      <w:tr>
        <w:tc>
          <w:tcPr/>
          <w:p>
            <w:pPr>
              <w:pStyle w:val="Compact"/>
            </w:pPr>
            <w:r>
              <w:t xml:space="preserve">Library Catalogue</w:t>
            </w:r>
          </w:p>
        </w:tc>
        <w:tc>
          <w:tcPr/>
          <w:p>
            <w:pPr>
              <w:pStyle w:val="Compact"/>
            </w:pPr>
            <w:r>
              <w:t xml:space="preserve">Book and file identity, availability, metadata, shelves, tags.</w:t>
            </w:r>
          </w:p>
        </w:tc>
        <w:tc>
          <w:tcPr/>
          <w:p>
            <w:pPr>
              <w:pStyle w:val="Compact"/>
            </w:pPr>
            <w:r>
              <w:t xml:space="preserve">PDF rendering or AI prompts.</w:t>
            </w:r>
          </w:p>
        </w:tc>
      </w:tr>
      <w:tr>
        <w:tc>
          <w:tcPr/>
          <w:p>
            <w:pPr>
              <w:pStyle w:val="Compact"/>
            </w:pPr>
            <w:r>
              <w:t xml:space="preserve">Ingestion Pipeline</w:t>
            </w:r>
          </w:p>
        </w:tc>
        <w:tc>
          <w:tcPr/>
          <w:p>
            <w:pPr>
              <w:pStyle w:val="Compact"/>
            </w:pPr>
            <w:r>
              <w:t xml:space="preserve">Scanning, hashing, page count, thumbnail jobs, change detection.</w:t>
            </w:r>
          </w:p>
        </w:tc>
        <w:tc>
          <w:tcPr/>
          <w:p>
            <w:pPr>
              <w:pStyle w:val="Compact"/>
            </w:pPr>
            <w:r>
              <w:t xml:space="preserve">User metadata edits.</w:t>
            </w:r>
          </w:p>
        </w:tc>
      </w:tr>
      <w:tr>
        <w:tc>
          <w:tcPr/>
          <w:p>
            <w:pPr>
              <w:pStyle w:val="Compact"/>
            </w:pPr>
            <w:r>
              <w:t xml:space="preserve">Metadata Enrichment</w:t>
            </w:r>
          </w:p>
        </w:tc>
        <w:tc>
          <w:tcPr/>
          <w:p>
            <w:pPr>
              <w:pStyle w:val="Compact"/>
            </w:pPr>
            <w:r>
              <w:t xml:space="preserve">ISBN detection, external lookup, confidence scoring, merge decisions.</w:t>
            </w:r>
          </w:p>
        </w:tc>
        <w:tc>
          <w:tcPr/>
          <w:p>
            <w:pPr>
              <w:pStyle w:val="Compact"/>
            </w:pPr>
            <w:r>
              <w:t xml:space="preserve">Rendering or reading progress.</w:t>
            </w:r>
          </w:p>
        </w:tc>
      </w:tr>
      <w:tr>
        <w:tc>
          <w:tcPr/>
          <w:p>
            <w:pPr>
              <w:pStyle w:val="Compact"/>
            </w:pPr>
            <w:r>
              <w:t xml:space="preserve">Reader</w:t>
            </w:r>
          </w:p>
        </w:tc>
        <w:tc>
          <w:tcPr/>
          <w:p>
            <w:pPr>
              <w:pStyle w:val="Compact"/>
            </w:pPr>
            <w:r>
              <w:t xml:space="preserve">Rendering, navigation, zoom, selection, bookmarks, annotations, progress events.</w:t>
            </w:r>
          </w:p>
        </w:tc>
        <w:tc>
          <w:tcPr/>
          <w:p>
            <w:pPr>
              <w:pStyle w:val="Compact"/>
            </w:pPr>
            <w:r>
              <w:t xml:space="preserve">Scan policy or external lookup.</w:t>
            </w:r>
          </w:p>
        </w:tc>
      </w:tr>
      <w:tr>
        <w:tc>
          <w:tcPr/>
          <w:p>
            <w:pPr>
              <w:pStyle w:val="Compact"/>
            </w:pPr>
            <w:r>
              <w:t xml:space="preserve">Search Index</w:t>
            </w:r>
          </w:p>
        </w:tc>
        <w:tc>
          <w:tcPr/>
          <w:p>
            <w:pPr>
              <w:pStyle w:val="Compact"/>
            </w:pPr>
            <w:r>
              <w:t xml:space="preserve">FTS5 index, extracted text, embedding chunks, ranking.</w:t>
            </w:r>
          </w:p>
        </w:tc>
        <w:tc>
          <w:tcPr/>
          <w:p>
            <w:pPr>
              <w:pStyle w:val="Compact"/>
            </w:pPr>
            <w:r>
              <w:t xml:space="preserve">UI state.</w:t>
            </w:r>
          </w:p>
        </w:tc>
      </w:tr>
      <w:tr>
        <w:tc>
          <w:tcPr/>
          <w:p>
            <w:pPr>
              <w:pStyle w:val="Compact"/>
            </w:pPr>
            <w:r>
              <w:t xml:space="preserve">AI Advisor</w:t>
            </w:r>
          </w:p>
        </w:tc>
        <w:tc>
          <w:tcPr/>
          <w:p>
            <w:pPr>
              <w:pStyle w:val="Compact"/>
            </w:pPr>
            <w:r>
              <w:t xml:space="preserve">Recommendation prompts, model routing, privacy policy, explanations, reading plans.</w:t>
            </w:r>
          </w:p>
        </w:tc>
        <w:tc>
          <w:tcPr/>
          <w:p>
            <w:pPr>
              <w:pStyle w:val="Compact"/>
            </w:pPr>
            <w:r>
              <w:t xml:space="preserve">Direct database writes.</w:t>
            </w:r>
          </w:p>
        </w:tc>
      </w:tr>
      <w:tr>
        <w:tc>
          <w:tcPr/>
          <w:p>
            <w:pPr>
              <w:pStyle w:val="Compact"/>
            </w:pPr>
            <w:r>
              <w:t xml:space="preserve">Bookshelf Presentation</w:t>
            </w:r>
          </w:p>
        </w:tc>
        <w:tc>
          <w:tcPr/>
          <w:p>
            <w:pPr>
              <w:pStyle w:val="Compact"/>
            </w:pPr>
            <w:r>
              <w:t xml:space="preserve">3D scene state, the C#↔JavaScript contract, texture loading.</w:t>
            </w:r>
          </w:p>
        </w:tc>
        <w:tc>
          <w:tcPr/>
          <w:p>
            <w:pPr>
              <w:pStyle w:val="Compact"/>
            </w:pPr>
            <w:r>
              <w:t xml:space="preserve">Catalogue truth.</w:t>
            </w:r>
          </w:p>
        </w:tc>
      </w:tr>
      <w:tr>
        <w:tc>
          <w:tcPr/>
          <w:p>
            <w:pPr>
              <w:pStyle w:val="Compact"/>
            </w:pPr>
            <w:r>
              <w:t xml:space="preserve">Settings &amp; Security</w:t>
            </w:r>
          </w:p>
        </w:tc>
        <w:tc>
          <w:tcPr/>
          <w:p>
            <w:pPr>
              <w:pStyle w:val="Compact"/>
            </w:pPr>
            <w:r>
              <w:t xml:space="preserve">Credential storage, privacy modes, keys, permissions.</w:t>
            </w:r>
          </w:p>
        </w:tc>
        <w:tc>
          <w:tcPr/>
          <w:p>
            <w:pPr>
              <w:pStyle w:val="Compact"/>
            </w:pPr>
            <w:r>
              <w:t xml:space="preserve">AI logic.</w:t>
            </w:r>
          </w:p>
        </w:tc>
      </w:tr>
      <w:tr>
        <w:tc>
          <w:tcPr/>
          <w:p>
            <w:pPr>
              <w:pStyle w:val="Compact"/>
            </w:pPr>
            <w:r>
              <w:t xml:space="preserve">Packaging &amp; Updates</w:t>
            </w:r>
          </w:p>
        </w:tc>
        <w:tc>
          <w:tcPr/>
          <w:p>
            <w:pPr>
              <w:pStyle w:val="Compact"/>
            </w:pPr>
            <w:r>
              <w:t xml:space="preserve">Release channels, signing, installer, update checks.</w:t>
            </w:r>
          </w:p>
        </w:tc>
        <w:tc>
          <w:tcPr/>
          <w:p>
            <w:pPr>
              <w:pStyle w:val="Compact"/>
            </w:pPr>
            <w:r>
              <w:t xml:space="preserve">Product behaviour.</w:t>
            </w:r>
          </w:p>
        </w:tc>
      </w:tr>
    </w:tbl>
    <w:bookmarkEnd w:id="28"/>
    <w:bookmarkStart w:id="29" w:name="Xff519bd2f230b92193d5fd32dc6919eb08890ad"/>
    <w:p>
      <w:pPr>
        <w:pStyle w:val="Heading2"/>
      </w:pPr>
      <w:r>
        <w:t xml:space="preserve">3.2 The Catalogue-as-Source-of-Truth Rule</w:t>
      </w:r>
    </w:p>
    <w:p>
      <w:pPr>
        <w:pStyle w:val="FirstParagraph"/>
      </w:pPr>
      <w:r>
        <w:t xml:space="preserve">The governing invariant of the architecture is stated once and enforced everywhere:</w:t>
      </w:r>
    </w:p>
    <w:p>
      <w:pPr>
        <w:pStyle w:val="BlockText"/>
      </w:pPr>
      <w:r>
        <w:t xml:space="preserve">The Library Catalogue is the single source of truth for book identity. The Reader, the AI Advisor, the Search Index, and the Bookshelf Presentation read book identity through contracts and never own it.</w:t>
      </w:r>
    </w:p>
    <w:p>
      <w:pPr>
        <w:pStyle w:val="FirstParagraph"/>
      </w:pPr>
      <w:r>
        <w:t xml:space="preserve">Three consequences follow directly.</w:t>
      </w:r>
    </w:p>
    <w:p>
      <w:pPr>
        <w:pStyle w:val="Compact"/>
        <w:numPr>
          <w:ilvl w:val="0"/>
          <w:numId w:val="1002"/>
        </w:numPr>
      </w:pPr>
      <w:r>
        <w:t xml:space="preserve">Derived state is rebuildable. The Search Index, embeddings, thumbnails, spine textures, and the 3D scene are projections of the catalogue and source files; deleting them and re-running ingestion reconstructs them. The catalogue and the user's source files are the only authoritative copies, consistent with</w:t>
      </w:r>
      <w:r>
        <w:t xml:space="preserve"> </w:t>
      </w:r>
      <w:r>
        <w:rPr>
          <w:b/>
          <w:bCs/>
        </w:rPr>
        <w:t xml:space="preserve">NFR-PROD-009</w:t>
      </w:r>
      <w:r>
        <w:t xml:space="preserve">.</w:t>
      </w:r>
    </w:p>
    <w:p>
      <w:pPr>
        <w:pStyle w:val="Compact"/>
        <w:numPr>
          <w:ilvl w:val="0"/>
          <w:numId w:val="1002"/>
        </w:numPr>
      </w:pPr>
      <w:r>
        <w:t xml:space="preserve">The AI Advisor performs no direct database writes. It persists query history through an application use case, not by reaching into the catalogue store, so the catalogue's invariants and audit trail are never bypassed.</w:t>
      </w:r>
    </w:p>
    <w:p>
      <w:pPr>
        <w:pStyle w:val="Compact"/>
        <w:numPr>
          <w:ilvl w:val="0"/>
          <w:numId w:val="1002"/>
        </w:numPr>
      </w:pPr>
      <w:r>
        <w:t xml:space="preserve">The Bookshelf Presentation holds scene state but not catalogue truth. A book clicked in the 3D shelf resolves to the same book-detail surface served to the grid, list, and directory views (FR-CAT-001,</w:t>
      </w:r>
      <w:r>
        <w:t xml:space="preserve"> </w:t>
      </w:r>
      <w:r>
        <w:rPr>
          <w:b/>
          <w:bCs/>
        </w:rPr>
        <w:t xml:space="preserve">UI-1</w:t>
      </w:r>
      <w:r>
        <w:t xml:space="preserve">,</w:t>
      </w:r>
      <w:r>
        <w:t xml:space="preserve"> </w:t>
      </w:r>
      <w:r>
        <w:rPr>
          <w:b/>
          <w:bCs/>
        </w:rPr>
        <w:t xml:space="preserve">UI-3</w:t>
      </w:r>
      <w:r>
        <w:t xml:space="preserve">), because all four views project the same catalogue records.</w:t>
      </w:r>
    </w:p>
    <w:bookmarkEnd w:id="29"/>
    <w:bookmarkStart w:id="30" w:name="X6281738f200f43289f21999a4a8e411e3e7df07"/>
    <w:p>
      <w:pPr>
        <w:pStyle w:val="Heading2"/>
      </w:pPr>
      <w:r>
        <w:t xml:space="preserve">3.3 Context Map</w:t>
      </w:r>
    </w:p>
    <w:p>
      <w:pPr>
        <w:pStyle w:val="FirstParagraph"/>
      </w:pPr>
      <w:r>
        <w:t xml:space="preserve">Contexts communicate through internal interfaces exposed by the owning context; no context reaches into another context's storage. The map below shows the direction of dependency and the contract each edge carries.</w:t>
      </w:r>
    </w:p>
    <w:p>
      <w:pPr>
        <w:pStyle w:val="SourceCode"/>
      </w:pPr>
      <w:r>
        <w:rPr>
          <w:rStyle w:val="VerbatimChar"/>
        </w:rPr>
        <w:t xml:space="preserve">                         ┌────────────────────────┐</w:t>
      </w:r>
      <w:r>
        <w:br/>
      </w:r>
      <w:r>
        <w:rPr>
          <w:rStyle w:val="VerbatimChar"/>
        </w:rPr>
        <w:t xml:space="preserve">        scan results     │   Library Catalogue    │   book-detail / query</w:t>
      </w:r>
      <w:r>
        <w:br/>
      </w:r>
      <w:r>
        <w:rPr>
          <w:rStyle w:val="VerbatimChar"/>
        </w:rPr>
        <w:t xml:space="preserve">   ┌────────────────────▶│  (source of truth:     │◀────────────────────┐</w:t>
      </w:r>
      <w:r>
        <w:br/>
      </w:r>
      <w:r>
        <w:rPr>
          <w:rStyle w:val="VerbatimChar"/>
        </w:rPr>
        <w:t xml:space="preserve">   │                     │   identity, metadata,  │                     │</w:t>
      </w:r>
      <w:r>
        <w:br/>
      </w:r>
      <w:r>
        <w:rPr>
          <w:rStyle w:val="VerbatimChar"/>
        </w:rPr>
        <w:t xml:space="preserve">   │                     │   shelves, availability)│                     │</w:t>
      </w:r>
      <w:r>
        <w:br/>
      </w:r>
      <w:r>
        <w:rPr>
          <w:rStyle w:val="VerbatimChar"/>
        </w:rPr>
        <w:t xml:space="preserve">   │                     └───────┬────────┬───────┘                     │</w:t>
      </w:r>
      <w:r>
        <w:br/>
      </w:r>
      <w:r>
        <w:rPr>
          <w:rStyle w:val="VerbatimChar"/>
        </w:rPr>
        <w:t xml:space="preserve">   │                  read-only  │        │  metadata-write              │</w:t>
      </w:r>
      <w:r>
        <w:br/>
      </w:r>
      <w:r>
        <w:rPr>
          <w:rStyle w:val="VerbatimChar"/>
        </w:rPr>
        <w:t xml:space="preserve">   │                  query      │        │  (reviewed)                  │</w:t>
      </w:r>
      <w:r>
        <w:br/>
      </w:r>
      <w:r>
        <w:rPr>
          <w:rStyle w:val="VerbatimChar"/>
        </w:rPr>
        <w:t xml:space="preserve">┌──┴──────────────┐              ▼        ▼              ┌───────────────┴─┐</w:t>
      </w:r>
      <w:r>
        <w:br/>
      </w:r>
      <w:r>
        <w:rPr>
          <w:rStyle w:val="VerbatimChar"/>
        </w:rPr>
        <w:t xml:space="preserve">│ Ingestion        │      ┌──────────┐  ┌──────────────┐│ Bookshelf        │</w:t>
      </w:r>
      <w:r>
        <w:br/>
      </w:r>
      <w:r>
        <w:rPr>
          <w:rStyle w:val="VerbatimChar"/>
        </w:rPr>
        <w:t xml:space="preserve">│ Pipeline         │─────▶│ Reader    │  │ Metadata      ││ Presentation     │</w:t>
      </w:r>
      <w:r>
        <w:br/>
      </w:r>
      <w:r>
        <w:rPr>
          <w:rStyle w:val="VerbatimChar"/>
        </w:rPr>
        <w:t xml:space="preserve">│ (scan, hash,     │ job  │ (render,  │  │ Enrichment    ││ (3D scene, C#↔JS │</w:t>
      </w:r>
      <w:r>
        <w:br/>
      </w:r>
      <w:r>
        <w:rPr>
          <w:rStyle w:val="VerbatimChar"/>
        </w:rPr>
        <w:t xml:space="preserve">│  thumbnails,     │ feed │ annotate, │  │ (ISBN, lookup,││  contract)       │</w:t>
      </w:r>
      <w:r>
        <w:br/>
      </w:r>
      <w:r>
        <w:rPr>
          <w:rStyle w:val="VerbatimChar"/>
        </w:rPr>
        <w:t xml:space="preserve">│  change detect)  │      │ progress) │  │ merge policy) │└──────────────────┘</w:t>
      </w:r>
      <w:r>
        <w:br/>
      </w:r>
      <w:r>
        <w:rPr>
          <w:rStyle w:val="VerbatimChar"/>
        </w:rPr>
        <w:t xml:space="preserve">└───────┬──────────┘      └─────┬─────┘  └──────┬───────┘</w:t>
      </w:r>
      <w:r>
        <w:br/>
      </w:r>
      <w:r>
        <w:rPr>
          <w:rStyle w:val="VerbatimChar"/>
        </w:rPr>
        <w:t xml:space="preserve">        │ extracted text         │ progress     │ lookup calls</w:t>
      </w:r>
      <w:r>
        <w:br/>
      </w:r>
      <w:r>
        <w:rPr>
          <w:rStyle w:val="VerbatimChar"/>
        </w:rPr>
        <w:t xml:space="preserve">        ▼                        ▼              ▼  (off-device, gated)</w:t>
      </w:r>
      <w:r>
        <w:br/>
      </w:r>
      <w:r>
        <w:rPr>
          <w:rStyle w:val="VerbatimChar"/>
        </w:rPr>
        <w:t xml:space="preserve">  ┌──────────────┐        ┌────────────────────────────────────────┐</w:t>
      </w:r>
      <w:r>
        <w:br/>
      </w:r>
      <w:r>
        <w:rPr>
          <w:rStyle w:val="VerbatimChar"/>
        </w:rPr>
        <w:t xml:space="preserve">  │ Search Index │◀───────│           AI Advisor                    │</w:t>
      </w:r>
      <w:r>
        <w:br/>
      </w:r>
      <w:r>
        <w:rPr>
          <w:rStyle w:val="VerbatimChar"/>
        </w:rPr>
        <w:t xml:space="preserve">  │ (FTS5,       │ chunks │  (recommendations, routing, privacy,    │</w:t>
      </w:r>
      <w:r>
        <w:br/>
      </w:r>
      <w:r>
        <w:rPr>
          <w:rStyle w:val="VerbatimChar"/>
        </w:rPr>
        <w:t xml:space="preserve">  │  embeddings, │───────▶│   explanations, reading plans)          │</w:t>
      </w:r>
      <w:r>
        <w:br/>
      </w:r>
      <w:r>
        <w:rPr>
          <w:rStyle w:val="VerbatimChar"/>
        </w:rPr>
        <w:t xml:space="preserve">  │  ranking)    │ recall └──────────────────┬─────────────────────┘</w:t>
      </w:r>
      <w:r>
        <w:br/>
      </w:r>
      <w:r>
        <w:rPr>
          <w:rStyle w:val="VerbatimChar"/>
        </w:rPr>
        <w:t xml:space="preserve">  └──────────────┘                           │ tier / credentials</w:t>
      </w:r>
      <w:r>
        <w:br/>
      </w:r>
      <w:r>
        <w:rPr>
          <w:rStyle w:val="VerbatimChar"/>
        </w:rPr>
        <w:t xml:space="preserve">                                             ▼</w:t>
      </w:r>
      <w:r>
        <w:br/>
      </w:r>
      <w:r>
        <w:rPr>
          <w:rStyle w:val="VerbatimChar"/>
        </w:rPr>
        <w:t xml:space="preserve">                              ┌────────────────────────────┐</w:t>
      </w:r>
      <w:r>
        <w:br/>
      </w:r>
      <w:r>
        <w:rPr>
          <w:rStyle w:val="VerbatimChar"/>
        </w:rPr>
        <w:t xml:space="preserve">                              │   Settings &amp; Security       │</w:t>
      </w:r>
      <w:r>
        <w:br/>
      </w:r>
      <w:r>
        <w:rPr>
          <w:rStyle w:val="VerbatimChar"/>
        </w:rPr>
        <w:t xml:space="preserve">                              │ (credential store, privacy  │</w:t>
      </w:r>
      <w:r>
        <w:br/>
      </w:r>
      <w:r>
        <w:rPr>
          <w:rStyle w:val="VerbatimChar"/>
        </w:rPr>
        <w:t xml:space="preserve">                              │  tiers, keys, audit state)   │</w:t>
      </w:r>
      <w:r>
        <w:br/>
      </w:r>
      <w:r>
        <w:rPr>
          <w:rStyle w:val="VerbatimChar"/>
        </w:rPr>
        <w:t xml:space="preserve">                              └────────────────────────────┘</w:t>
      </w:r>
      <w:r>
        <w:br/>
      </w:r>
      <w:r>
        <w:br/>
      </w:r>
      <w:r>
        <w:rPr>
          <w:rStyle w:val="VerbatimChar"/>
        </w:rPr>
        <w:t xml:space="preserve">   Packaging &amp; Updates is cross-cutting: it owns release channel, signing,</w:t>
      </w:r>
      <w:r>
        <w:br/>
      </w:r>
      <w:r>
        <w:rPr>
          <w:rStyle w:val="VerbatimChar"/>
        </w:rPr>
        <w:t xml:space="preserve">   installer, and update checks, and depends on no product context's model.</w:t>
      </w:r>
    </w:p>
    <w:p>
      <w:pPr>
        <w:pStyle w:val="FirstParagraph"/>
      </w:pPr>
      <w:r>
        <w:t xml:space="preserve">The Search Index and the embeddings store are</w:t>
      </w:r>
      <w:r>
        <w:t xml:space="preserve"> </w:t>
      </w:r>
      <w:r>
        <w:rPr>
          <w:i/>
          <w:iCs/>
        </w:rPr>
        <w:t xml:space="preserve">downstream</w:t>
      </w:r>
      <w:r>
        <w:t xml:space="preserve"> </w:t>
      </w:r>
      <w:r>
        <w:t xml:space="preserve">of the catalogue and ingestion; they consume extracted text and chunks and serve ranked recall to the Reader's text search and the AI Advisor's candidate retrieval. The AI Advisor depends on Settings &amp; Security for the active</w:t>
      </w:r>
      <w:r>
        <w:t xml:space="preserve"> </w:t>
      </w:r>
      <w:r>
        <w:rPr>
          <w:i/>
          <w:iCs/>
        </w:rPr>
        <w:t xml:space="preserve">privacy tier</w:t>
      </w:r>
      <w:r>
        <w:t xml:space="preserve"> </w:t>
      </w:r>
      <w:r>
        <w:t xml:space="preserve">and credentials but contains no credential-storage logic itself, honouring the Settings &amp; Security context's ownership of keys and permissions.</w:t>
      </w:r>
    </w:p>
    <w:p>
      <w:pPr>
        <w:pStyle w:val="BodyText"/>
      </w:pPr>
      <w:r>
        <w:t xml:space="preserve">\newpage</w:t>
      </w:r>
    </w:p>
    <w:bookmarkEnd w:id="30"/>
    <w:bookmarkEnd w:id="31"/>
    <w:bookmarkStart w:id="39" w:name="Xb8e85bbb36008b5e5ada6c635d54098fd4a0dab"/>
    <w:p>
      <w:pPr>
        <w:pStyle w:val="Heading1"/>
      </w:pPr>
      <w:r>
        <w:t xml:space="preserve">4. Data Architecture</w:t>
      </w:r>
    </w:p>
    <w:bookmarkStart w:id="32" w:name="X613d8d19dc464953159ee2e46c47ac9c317a006"/>
    <w:p>
      <w:pPr>
        <w:pStyle w:val="Heading2"/>
      </w:pPr>
      <w:r>
        <w:t xml:space="preserve">4.1 Storage Model</w:t>
      </w:r>
    </w:p>
    <w:p>
      <w:pPr>
        <w:pStyle w:val="FirstParagraph"/>
      </w:pPr>
      <w:r>
        <w:t xml:space="preserve">The data architecture has two halves: an embedded</w:t>
      </w:r>
      <w:r>
        <w:t xml:space="preserve"> </w:t>
      </w:r>
      <w:r>
        <w:rPr>
          <w:b/>
          <w:bCs/>
        </w:rPr>
        <w:t xml:space="preserve">catalogue of record</w:t>
      </w:r>
      <w:r>
        <w:t xml:space="preserve"> </w:t>
      </w:r>
      <w:r>
        <w:t xml:space="preserve">and a</w:t>
      </w:r>
      <w:r>
        <w:t xml:space="preserve"> </w:t>
      </w:r>
      <w:r>
        <w:rPr>
          <w:b/>
          <w:bCs/>
        </w:rPr>
        <w:t xml:space="preserve">sidecar asset folder</w:t>
      </w:r>
      <w:r>
        <w:t xml:space="preserve">. The catalogue of record is a single SQLite database accessed through</w:t>
      </w:r>
      <w:r>
        <w:t xml:space="preserve"> </w:t>
      </w:r>
      <w:r>
        <w:rPr>
          <w:b/>
          <w:bCs/>
        </w:rPr>
        <w:t xml:space="preserve">EF Core</w:t>
      </w:r>
      <w:r>
        <w:t xml:space="preserve">; it is the authoritative store for book identity, metadata, virtual shelves, reading progress, and annotations. The sidecar asset folder holds large or binary derived artefacts — covers, thumbnails, spine textures, OCR text, extracted text, embeddings, and backups — on disk, referenced from the database by relative path rather than embedded as database blobs. This split keeps the database small enough to meet the catalogue-load budget (</w:t>
      </w:r>
      <w:r>
        <w:rPr>
          <w:b/>
          <w:bCs/>
        </w:rPr>
        <w:t xml:space="preserve">NFR-OGMA-002</w:t>
      </w:r>
      <w:r>
        <w:t xml:space="preserve">) and keeps derived assets disposable and rebuildable.</w:t>
      </w:r>
    </w:p>
    <w:p>
      <w:pPr>
        <w:pStyle w:val="BodyText"/>
      </w:pPr>
      <w:r>
        <w:t xml:space="preserve">The database augments the user's folder of PDF files; it does not replace it. Source files remain in their original location and openly readable format under the user's control, satisfying</w:t>
      </w:r>
      <w:r>
        <w:t xml:space="preserve"> </w:t>
      </w:r>
      <w:r>
        <w:rPr>
          <w:b/>
          <w:bCs/>
        </w:rPr>
        <w:t xml:space="preserve">NFR-PROD-009</w:t>
      </w:r>
      <w:r>
        <w:t xml:space="preserve">.</w:t>
      </w:r>
    </w:p>
    <w:bookmarkEnd w:id="32"/>
    <w:bookmarkStart w:id="33" w:name="X228c7180d15827a67189bfd68556eafe579c060"/>
    <w:p>
      <w:pPr>
        <w:pStyle w:val="Heading2"/>
      </w:pPr>
      <w:r>
        <w:t xml:space="preserve">4.2 On-Disk Layout</w:t>
      </w:r>
    </w:p>
    <w:p>
      <w:pPr>
        <w:pStyle w:val="FirstParagraph"/>
      </w:pPr>
      <w:r>
        <w:t xml:space="preserve">The application owns a single data directory containing the catalogue database, the sidecar asset folder organised by asset class, logs, and exports.</w:t>
      </w:r>
    </w:p>
    <w:p>
      <w:pPr>
        <w:pStyle w:val="SourceCode"/>
      </w:pPr>
      <w:r>
        <w:rPr>
          <w:rStyle w:val="VerbatimChar"/>
        </w:rPr>
        <w:t xml:space="preserve">Ogma Library Data/</w:t>
      </w:r>
      <w:r>
        <w:br/>
      </w:r>
      <w:r>
        <w:rPr>
          <w:rStyle w:val="VerbatimChar"/>
        </w:rPr>
        <w:t xml:space="preserve">├── ogma.db                     SQLite catalogue of record (+ FTS5)</w:t>
      </w:r>
      <w:r>
        <w:br/>
      </w:r>
      <w:r>
        <w:rPr>
          <w:rStyle w:val="VerbatimChar"/>
        </w:rPr>
        <w:t xml:space="preserve">├── assets/</w:t>
      </w:r>
      <w:r>
        <w:br/>
      </w:r>
      <w:r>
        <w:rPr>
          <w:rStyle w:val="VerbatimChar"/>
        </w:rPr>
        <w:t xml:space="preserve">│   ├── covers/                 full-resolution cover images</w:t>
      </w:r>
      <w:r>
        <w:br/>
      </w:r>
      <w:r>
        <w:rPr>
          <w:rStyle w:val="VerbatimChar"/>
        </w:rPr>
        <w:t xml:space="preserve">│   ├── thumbnails/             reduced-resolution catalogue thumbnails (WebP)</w:t>
      </w:r>
      <w:r>
        <w:br/>
      </w:r>
      <w:r>
        <w:rPr>
          <w:rStyle w:val="VerbatimChar"/>
        </w:rPr>
        <w:t xml:space="preserve">│   ├── spines/                 generated spine textures for the 3D shelf (WebP/PNG)</w:t>
      </w:r>
      <w:r>
        <w:br/>
      </w:r>
      <w:r>
        <w:rPr>
          <w:rStyle w:val="VerbatimChar"/>
        </w:rPr>
        <w:t xml:space="preserve">│   ├── ocr/                    OCR-derived text, marked OCR-derived</w:t>
      </w:r>
      <w:r>
        <w:br/>
      </w:r>
      <w:r>
        <w:rPr>
          <w:rStyle w:val="VerbatimChar"/>
        </w:rPr>
        <w:t xml:space="preserve">│   ├── extracted-text/         per-page extracted text-layer content</w:t>
      </w:r>
      <w:r>
        <w:br/>
      </w:r>
      <w:r>
        <w:rPr>
          <w:rStyle w:val="VerbatimChar"/>
        </w:rPr>
        <w:t xml:space="preserve">│   ├── embeddings/             serialised embedding vectors stored outside the DB</w:t>
      </w:r>
      <w:r>
        <w:br/>
      </w:r>
      <w:r>
        <w:rPr>
          <w:rStyle w:val="VerbatimChar"/>
        </w:rPr>
        <w:t xml:space="preserve">│   └── backups/                pre-write-back file backups + pre-migration snapshots</w:t>
      </w:r>
      <w:r>
        <w:br/>
      </w:r>
      <w:r>
        <w:rPr>
          <w:rStyle w:val="VerbatimChar"/>
        </w:rPr>
        <w:t xml:space="preserve">├── logs/                       application and worker logs (secrets redacted)</w:t>
      </w:r>
      <w:r>
        <w:br/>
      </w:r>
      <w:r>
        <w:rPr>
          <w:rStyle w:val="VerbatimChar"/>
        </w:rPr>
        <w:t xml:space="preserve">└── exports/                    user-initiated open-format exports (JSON, CSV, BibTeX, …)</w:t>
      </w:r>
    </w:p>
    <w:p>
      <w:pPr>
        <w:pStyle w:val="FirstParagraph"/>
      </w:pPr>
      <w:r>
        <w:t xml:space="preserve">Each asset class is independently regenerable: clearing</w:t>
      </w:r>
      <w:r>
        <w:t xml:space="preserve"> </w:t>
      </w:r>
      <w:r>
        <w:rPr>
          <w:rStyle w:val="VerbatimChar"/>
        </w:rPr>
        <w:t xml:space="preserve">thumbnails/</w:t>
      </w:r>
      <w:r>
        <w:t xml:space="preserve"> </w:t>
      </w:r>
      <w:r>
        <w:t xml:space="preserve">and re-running the thumbnail job reconstructs it from source files without touching catalogue truth.</w:t>
      </w:r>
    </w:p>
    <w:p>
      <w:pPr>
        <w:pStyle w:val="BodyText"/>
      </w:pPr>
      <w:r>
        <w:rPr>
          <w:rStyle w:val="VerbatimChar"/>
        </w:rPr>
        <w:t xml:space="preserve">[CONTEXT-GAP: the exact on-disk naming convention within each sidecar asset class — keyed by content hash, by record identifier, or by relative path — is not fixed in _context and is required before the data design is baselined (carried from SRS Section 6.5)]</w:t>
      </w:r>
    </w:p>
    <w:bookmarkEnd w:id="33"/>
    <w:bookmarkStart w:id="34" w:name="Xa0c75e0bf0b66326c07b33a4e77e2e608090120"/>
    <w:p>
      <w:pPr>
        <w:pStyle w:val="Heading2"/>
      </w:pPr>
      <w:r>
        <w:t xml:space="preserve">4.3 Core Tables and Relationships</w:t>
      </w:r>
    </w:p>
    <w:p>
      <w:pPr>
        <w:pStyle w:val="FirstParagraph"/>
      </w:pPr>
      <w:r>
        <w:t xml:space="preserve">The catalogue model normalises authors and categories into join tables rather than storing them only as JSON, so that browsing, filtering, and counting by author or category (FR-CAT-002) are index-backed queries.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Purpose</w:t>
            </w:r>
          </w:p>
        </w:tc>
      </w:tr>
      <w:tr>
        <w:tc>
          <w:tcPr/>
          <w:p>
            <w:pPr>
              <w:pStyle w:val="Compact"/>
            </w:pPr>
            <w:r>
              <w:t xml:space="preserve">Books</w:t>
            </w:r>
          </w:p>
        </w:tc>
        <w:tc>
          <w:tcPr/>
          <w:p>
            <w:pPr>
              <w:pStyle w:val="Compact"/>
            </w:pPr>
            <w:r>
              <w:t xml:space="preserve">The catalogue record for an intellectual item the user reads.</w:t>
            </w:r>
          </w:p>
        </w:tc>
      </w:tr>
      <w:tr>
        <w:tc>
          <w:tcPr/>
          <w:p>
            <w:pPr>
              <w:pStyle w:val="Compact"/>
            </w:pPr>
            <w:r>
              <w:t xml:space="preserve">BookFiles</w:t>
            </w:r>
          </w:p>
        </w:tc>
        <w:tc>
          <w:tcPr/>
          <w:p>
            <w:pPr>
              <w:pStyle w:val="Compact"/>
            </w:pPr>
            <w:r>
              <w:t xml:space="preserve">A specific PDF file on disk bound to a Book, carrying identity attributes.</w:t>
            </w:r>
          </w:p>
        </w:tc>
      </w:tr>
      <w:tr>
        <w:tc>
          <w:tcPr/>
          <w:p>
            <w:pPr>
              <w:pStyle w:val="Compact"/>
            </w:pPr>
            <w:r>
              <w:t xml:space="preserve">BookMetadataFields</w:t>
            </w:r>
          </w:p>
        </w:tc>
        <w:tc>
          <w:tcPr/>
          <w:p>
            <w:pPr>
              <w:pStyle w:val="Compact"/>
            </w:pPr>
            <w:r>
              <w:t xml:space="preserve">Field-level metadata values for a Book, each carrying its provenance.</w:t>
            </w:r>
          </w:p>
        </w:tc>
      </w:tr>
      <w:tr>
        <w:tc>
          <w:tcPr/>
          <w:p>
            <w:pPr>
              <w:pStyle w:val="Compact"/>
            </w:pPr>
            <w:r>
              <w:t xml:space="preserve">Authors / BookAuthors</w:t>
            </w:r>
          </w:p>
        </w:tc>
        <w:tc>
          <w:tcPr/>
          <w:p>
            <w:pPr>
              <w:pStyle w:val="Compact"/>
            </w:pPr>
            <w:r>
              <w:t xml:space="preserve">Distinct authors and the many-to-many association to Books.</w:t>
            </w:r>
          </w:p>
        </w:tc>
      </w:tr>
      <w:tr>
        <w:tc>
          <w:tcPr/>
          <w:p>
            <w:pPr>
              <w:pStyle w:val="Compact"/>
            </w:pPr>
            <w:r>
              <w:t xml:space="preserve">Shelves / ShelfBooks</w:t>
            </w:r>
          </w:p>
        </w:tc>
        <w:tc>
          <w:tcPr/>
          <w:p>
            <w:pPr>
              <w:pStyle w:val="Compact"/>
            </w:pPr>
            <w:r>
              <w:t xml:space="preserve">Virtual and smart shelves and their many-to-many association to Books.</w:t>
            </w:r>
          </w:p>
        </w:tc>
      </w:tr>
      <w:tr>
        <w:tc>
          <w:tcPr/>
          <w:p>
            <w:pPr>
              <w:pStyle w:val="Compact"/>
            </w:pPr>
            <w:r>
              <w:t xml:space="preserve">ReadingProgress</w:t>
            </w:r>
          </w:p>
        </w:tc>
        <w:tc>
          <w:tcPr/>
          <w:p>
            <w:pPr>
              <w:pStyle w:val="Compact"/>
            </w:pPr>
            <w:r>
              <w:t xml:space="preserve">Last reading position and reading status per Book.</w:t>
            </w:r>
          </w:p>
        </w:tc>
      </w:tr>
      <w:tr>
        <w:tc>
          <w:tcPr/>
          <w:p>
            <w:pPr>
              <w:pStyle w:val="Compact"/>
            </w:pPr>
            <w:r>
              <w:t xml:space="preserve">Bookmarks</w:t>
            </w:r>
          </w:p>
        </w:tc>
        <w:tc>
          <w:tcPr/>
          <w:p>
            <w:pPr>
              <w:pStyle w:val="Compact"/>
            </w:pPr>
            <w:r>
              <w:t xml:space="preserve">A labelled bookmark anchored to a page within a BookFile.</w:t>
            </w:r>
          </w:p>
        </w:tc>
      </w:tr>
      <w:tr>
        <w:tc>
          <w:tcPr/>
          <w:p>
            <w:pPr>
              <w:pStyle w:val="Compact"/>
            </w:pPr>
            <w:r>
              <w:t xml:space="preserve">Annotations / AnnotationBodies</w:t>
            </w:r>
          </w:p>
        </w:tc>
        <w:tc>
          <w:tcPr/>
          <w:p>
            <w:pPr>
              <w:pStyle w:val="Compact"/>
            </w:pPr>
            <w:r>
              <w:t xml:space="preserve">A highlight or note and its textual or structured content.</w:t>
            </w:r>
          </w:p>
        </w:tc>
      </w:tr>
      <w:tr>
        <w:tc>
          <w:tcPr/>
          <w:p>
            <w:pPr>
              <w:pStyle w:val="Compact"/>
            </w:pPr>
            <w:r>
              <w:t xml:space="preserve">ExtractedPages</w:t>
            </w:r>
          </w:p>
        </w:tc>
        <w:tc>
          <w:tcPr/>
          <w:p>
            <w:pPr>
              <w:pStyle w:val="Compact"/>
            </w:pPr>
            <w:r>
              <w:t xml:space="preserve">Per-page extracted text used for full-text search.</w:t>
            </w:r>
          </w:p>
        </w:tc>
      </w:tr>
      <w:tr>
        <w:tc>
          <w:tcPr/>
          <w:p>
            <w:pPr>
              <w:pStyle w:val="Compact"/>
            </w:pPr>
            <w:r>
              <w:t xml:space="preserve">SearchChunks</w:t>
            </w:r>
          </w:p>
        </w:tc>
        <w:tc>
          <w:tcPr/>
          <w:p>
            <w:pPr>
              <w:pStyle w:val="Compact"/>
            </w:pPr>
            <w:r>
              <w:t xml:space="preserve">Text chunks derived from ExtractedPages for indexing and embedding.</w:t>
            </w:r>
          </w:p>
        </w:tc>
      </w:tr>
      <w:tr>
        <w:tc>
          <w:tcPr/>
          <w:p>
            <w:pPr>
              <w:pStyle w:val="Compact"/>
            </w:pPr>
            <w:r>
              <w:t xml:space="preserve">EmbeddingVectors</w:t>
            </w:r>
          </w:p>
        </w:tc>
        <w:tc>
          <w:tcPr/>
          <w:p>
            <w:pPr>
              <w:pStyle w:val="Compact"/>
            </w:pPr>
            <w:r>
              <w:t xml:space="preserve">The numeric embedding vector for a SearchChunk.</w:t>
            </w:r>
          </w:p>
        </w:tc>
      </w:tr>
      <w:tr>
        <w:tc>
          <w:tcPr/>
          <w:p>
            <w:pPr>
              <w:pStyle w:val="Compact"/>
            </w:pPr>
            <w:r>
              <w:t xml:space="preserve">AiQueryHistory</w:t>
            </w:r>
          </w:p>
        </w:tc>
        <w:tc>
          <w:tcPr/>
          <w:p>
            <w:pPr>
              <w:pStyle w:val="Compact"/>
            </w:pPr>
            <w:r>
              <w:t xml:space="preserve">Locally stored record of AI queries and responses.</w:t>
            </w:r>
          </w:p>
        </w:tc>
      </w:tr>
      <w:tr>
        <w:tc>
          <w:tcPr/>
          <w:p>
            <w:pPr>
              <w:pStyle w:val="Compact"/>
            </w:pPr>
            <w:r>
              <w:t xml:space="preserve">MetadataLookups</w:t>
            </w:r>
          </w:p>
        </w:tc>
        <w:tc>
          <w:tcPr/>
          <w:p>
            <w:pPr>
              <w:pStyle w:val="Compact"/>
            </w:pPr>
            <w:r>
              <w:t xml:space="preserve">A provider lookup result with source, timestamp, and confidence.</w:t>
            </w:r>
          </w:p>
        </w:tc>
      </w:tr>
      <w:tr>
        <w:tc>
          <w:tcPr/>
          <w:p>
            <w:pPr>
              <w:pStyle w:val="Compact"/>
            </w:pPr>
            <w:r>
              <w:t xml:space="preserve">Jobs</w:t>
            </w:r>
          </w:p>
        </w:tc>
        <w:tc>
          <w:tcPr/>
          <w:p>
            <w:pPr>
              <w:pStyle w:val="Compact"/>
            </w:pPr>
            <w:r>
              <w:t xml:space="preserve">A background job record (thumbnail, index, OCR, embedding, enrichment).</w:t>
            </w:r>
          </w:p>
        </w:tc>
      </w:tr>
      <w:tr>
        <w:tc>
          <w:tcPr/>
          <w:p>
            <w:pPr>
              <w:pStyle w:val="Compact"/>
            </w:pPr>
            <w:r>
              <w:t xml:space="preserve">AuditEvents</w:t>
            </w:r>
          </w:p>
        </w:tc>
        <w:tc>
          <w:tcPr/>
          <w:p>
            <w:pPr>
              <w:pStyle w:val="Compact"/>
            </w:pPr>
            <w:r>
              <w:t xml:space="preserve">Local audit-trail entries for sensitive actions.</w:t>
            </w:r>
          </w:p>
        </w:tc>
      </w:tr>
    </w:tbl>
    <w:p>
      <w:pPr>
        <w:pStyle w:val="BodyText"/>
      </w:pPr>
      <w:r>
        <w:t xml:space="preserve">Key relationships, expressed in prose to avoid nested structure in table cells: a Book has one or more BookFiles. A Book has many BookMetadataFields, each linked to zero or more MetadataLookups that supplied a candidate value, recording the</w:t>
      </w:r>
      <w:r>
        <w:t xml:space="preserve"> </w:t>
      </w:r>
      <w:r>
        <w:rPr>
          <w:i/>
          <w:iCs/>
        </w:rPr>
        <w:t xml:space="preserve">provenance</w:t>
      </w:r>
      <w:r>
        <w:t xml:space="preserve"> </w:t>
      </w:r>
      <w:r>
        <w:t xml:space="preserve">of the field (FR-META-004). A Book associates to many Authors through BookAuthors and to many Shelves through ShelfBooks. A BookFile owns its Bookmarks, Annotations, ReadingProgress, and ExtractedPages. Each ExtractedPage yields SearchChunks, and each SearchChunk may have one EmbeddingVector. AiQueryHistory, Jobs, and AuditEvents are append-oriented logs scoped to the catalogue.</w:t>
      </w:r>
    </w:p>
    <w:bookmarkEnd w:id="34"/>
    <w:bookmarkStart w:id="35" w:name="X2aa4dbf4f6d1eb6e0da6039ce6f64dc49b3df9f"/>
    <w:p>
      <w:pPr>
        <w:pStyle w:val="Heading2"/>
      </w:pPr>
      <w:r>
        <w:t xml:space="preserve">4.4 Book-Identity Strategy</w:t>
      </w:r>
    </w:p>
    <w:p>
      <w:pPr>
        <w:pStyle w:val="FirstParagraph"/>
      </w:pPr>
      <w:r>
        <w:t xml:space="preserve">Stable identity lets renamed or moved files re-match their existing records (FR-LIB-003) and lets removed files be flagged without data loss (FR-LIB-004). Identity is composed from five attributes in priority order.</w:t>
      </w:r>
    </w:p>
    <w:p>
      <w:pPr>
        <w:pStyle w:val="Compact"/>
        <w:numPr>
          <w:ilvl w:val="0"/>
          <w:numId w:val="1003"/>
        </w:numPr>
      </w:pPr>
      <w:r>
        <w:rPr>
          <w:b/>
          <w:bCs/>
        </w:rPr>
        <w:t xml:space="preserve">Relative path</w:t>
      </w:r>
      <w:r>
        <w:t xml:space="preserve"> </w:t>
      </w:r>
      <w:r>
        <w:t xml:space="preserve">— the file path relative to the library root, the primary locator within the root.</w:t>
      </w:r>
    </w:p>
    <w:p>
      <w:pPr>
        <w:pStyle w:val="Compact"/>
        <w:numPr>
          <w:ilvl w:val="0"/>
          <w:numId w:val="1003"/>
        </w:numPr>
      </w:pPr>
      <w:r>
        <w:rPr>
          <w:b/>
          <w:bCs/>
        </w:rPr>
        <w:t xml:space="preserve">Content hash</w:t>
      </w:r>
      <w:r>
        <w:t xml:space="preserve"> </w:t>
      </w:r>
      <w:r>
        <w:t xml:space="preserve">— a SHA-256 hash of file content; an unchanged hash re-matches a moved or renamed file.</w:t>
      </w:r>
    </w:p>
    <w:p>
      <w:pPr>
        <w:pStyle w:val="Compact"/>
        <w:numPr>
          <w:ilvl w:val="0"/>
          <w:numId w:val="1003"/>
        </w:numPr>
      </w:pPr>
      <w:r>
        <w:rPr>
          <w:b/>
          <w:bCs/>
        </w:rPr>
        <w:t xml:space="preserve">Size and modification time</w:t>
      </w:r>
      <w:r>
        <w:t xml:space="preserve"> </w:t>
      </w:r>
      <w:r>
        <w:t xml:space="preserve">— used by the incremental rescan (FR-LIB-006) to skip re-hashing unchanged files.</w:t>
      </w:r>
    </w:p>
    <w:p>
      <w:pPr>
        <w:pStyle w:val="Compact"/>
        <w:numPr>
          <w:ilvl w:val="0"/>
          <w:numId w:val="1003"/>
        </w:numPr>
      </w:pPr>
      <w:r>
        <w:rPr>
          <w:b/>
          <w:bCs/>
        </w:rPr>
        <w:t xml:space="preserve">PDF fingerprint (optional)</w:t>
      </w:r>
      <w:r>
        <w:t xml:space="preserve"> </w:t>
      </w:r>
      <w:r>
        <w:t xml:space="preserve">— a structural fingerprint derived from the PDF, a secondary content signal where available.</w:t>
      </w:r>
    </w:p>
    <w:p>
      <w:pPr>
        <w:pStyle w:val="Compact"/>
        <w:numPr>
          <w:ilvl w:val="0"/>
          <w:numId w:val="1003"/>
        </w:numPr>
      </w:pPr>
      <w:r>
        <w:rPr>
          <w:b/>
          <w:bCs/>
        </w:rPr>
        <w:t xml:space="preserve">Bibliographic identifier</w:t>
      </w:r>
      <w:r>
        <w:t xml:space="preserve"> </w:t>
      </w:r>
      <w:r>
        <w:t xml:space="preserve">— ISBN or DOI where present, used to associate files representing the same edition or work.</w:t>
      </w:r>
    </w:p>
    <w:p>
      <w:pPr>
        <w:pStyle w:val="FirstParagraph"/>
      </w:pPr>
      <w:r>
        <w:t xml:space="preserve">The incremental rescan rule is: a file whose size and modification time are unchanged is presumed content-identical and is not re-hashed; a changed size or modification time triggers a re-hash and re-identity. Deleting a file's record is never automatic — an unavailable file is flagged, and its metadata, shelves, notes, and progress are retained (FR-LIB-004).</w:t>
      </w:r>
    </w:p>
    <w:bookmarkEnd w:id="35"/>
    <w:bookmarkStart w:id="36" w:name="Xf8238a3c38143e396d37e3e4ab3e81f78027f4f"/>
    <w:p>
      <w:pPr>
        <w:pStyle w:val="Heading2"/>
      </w:pPr>
      <w:r>
        <w:t xml:space="preserve">4.5 Optional Work / Edition Layer</w:t>
      </w:r>
    </w:p>
    <w:p>
      <w:pPr>
        <w:pStyle w:val="FirstParagraph"/>
      </w:pPr>
      <w:r>
        <w:t xml:space="preserve">The</w:t>
      </w:r>
      <w:r>
        <w:t xml:space="preserve"> </w:t>
      </w:r>
      <w:r>
        <w:rPr>
          <w:i/>
          <w:iCs/>
        </w:rPr>
        <w:t xml:space="preserve">Work / Edition model</w:t>
      </w:r>
      <w:r>
        <w:t xml:space="preserve"> </w:t>
      </w:r>
      <w:r>
        <w:t xml:space="preserve">is an optional layer distinguishing an intellectual</w:t>
      </w:r>
      <w:r>
        <w:t xml:space="preserve"> </w:t>
      </w:r>
      <w:r>
        <w:rPr>
          <w:i/>
          <w:iCs/>
        </w:rPr>
        <w:t xml:space="preserve">work</w:t>
      </w:r>
      <w:r>
        <w:t xml:space="preserve"> </w:t>
      </w:r>
      <w:r>
        <w:t xml:space="preserve">from a specific</w:t>
      </w:r>
      <w:r>
        <w:t xml:space="preserve"> </w:t>
      </w:r>
      <w:r>
        <w:rPr>
          <w:i/>
          <w:iCs/>
        </w:rPr>
        <w:t xml:space="preserve">edition</w:t>
      </w:r>
      <w:r>
        <w:t xml:space="preserve"> </w:t>
      </w:r>
      <w:r>
        <w:t xml:space="preserve">and from a specific PDF</w:t>
      </w:r>
      <w:r>
        <w:t xml:space="preserve"> </w:t>
      </w:r>
      <w:r>
        <w:rPr>
          <w:i/>
          <w:iCs/>
        </w:rPr>
        <w:t xml:space="preserve">file</w:t>
      </w:r>
      <w:r>
        <w:t xml:space="preserve">, grouping duplicate files and editions under a common work for duplicate detection and version management. The layer is optional: a Book is fully usable without a Work or Edition association, and the MVP does not require it to be populated.</w:t>
      </w:r>
    </w:p>
    <w:p>
      <w:pPr>
        <w:pStyle w:val="BodyText"/>
      </w:pPr>
      <w:r>
        <w:rPr>
          <w:rStyle w:val="VerbatimChar"/>
        </w:rPr>
        <w:t xml:space="preserve">[CONTEXT-GAP: the cardinality rules and the merge/split behaviour of the Work/Edition layer are named in features.md as a world-class addition but are not specified in detail in _context (carried from SRS Section 6.4)]</w:t>
      </w:r>
    </w:p>
    <w:bookmarkEnd w:id="36"/>
    <w:bookmarkStart w:id="37" w:name="Xfece1f2aa3473efacabb62667232a04bd26414d"/>
    <w:p>
      <w:pPr>
        <w:pStyle w:val="Heading2"/>
      </w:pPr>
      <w:r>
        <w:t xml:space="preserve">4.6 Full-Text Index Storage</w:t>
      </w:r>
    </w:p>
    <w:p>
      <w:pPr>
        <w:pStyle w:val="FirstParagraph"/>
      </w:pPr>
      <w:r>
        <w:t xml:space="preserve">Full-text search is served by an FTS5</w:t>
      </w:r>
      <w:r>
        <w:t xml:space="preserve"> </w:t>
      </w:r>
      <w:r>
        <w:rPr>
          <w:b/>
          <w:bCs/>
        </w:rPr>
        <w:t xml:space="preserve">external-content table</w:t>
      </w:r>
      <w:r>
        <w:t xml:space="preserve">,</w:t>
      </w:r>
      <w:r>
        <w:t xml:space="preserve"> </w:t>
      </w:r>
      <w:r>
        <w:rPr>
          <w:rStyle w:val="VerbatimChar"/>
        </w:rPr>
        <w:t xml:space="preserve">SearchChunksFts</w:t>
      </w:r>
      <w:r>
        <w:t xml:space="preserve">, defined over the</w:t>
      </w:r>
      <w:r>
        <w:t xml:space="preserve"> </w:t>
      </w:r>
      <w:r>
        <w:rPr>
          <w:rStyle w:val="VerbatimChar"/>
        </w:rPr>
        <w:t xml:space="preserve">SearchChunks</w:t>
      </w:r>
      <w:r>
        <w:t xml:space="preserve"> </w:t>
      </w:r>
      <w:r>
        <w:t xml:space="preserve">content table. The external-content configuration avoids duplicating the chunk text inside the index, but it requires explicit consistency maintenance: an indexer service writes index rows whenever SearchChunks change, and a user-invokable</w:t>
      </w:r>
      <w:r>
        <w:t xml:space="preserve"> </w:t>
      </w:r>
      <w:r>
        <w:rPr>
          <w:b/>
          <w:bCs/>
        </w:rPr>
        <w:t xml:space="preserve">Rebuild Search Index</w:t>
      </w:r>
      <w:r>
        <w:t xml:space="preserve"> </w:t>
      </w:r>
      <w:r>
        <w:t xml:space="preserve">command reconstructs the index from</w:t>
      </w:r>
      <w:r>
        <w:t xml:space="preserve"> </w:t>
      </w:r>
      <w:r>
        <w:rPr>
          <w:rStyle w:val="VerbatimChar"/>
        </w:rPr>
        <w:t xml:space="preserve">SearchChunks</w:t>
      </w:r>
      <w:r>
        <w:t xml:space="preserve"> </w:t>
      </w:r>
      <w:r>
        <w:t xml:space="preserve">if it ever diverges. Ranking uses BM25 over the FTS5 index, blended at the Search Index context with recency, reading status, and rating signals for hybrid ranking (FR-SEARCH-005).</w:t>
      </w:r>
    </w:p>
    <w:bookmarkEnd w:id="37"/>
    <w:bookmarkStart w:id="38" w:name="Xaa16e9f4be2e0a93c0d74853564c7156b552a51"/>
    <w:p>
      <w:pPr>
        <w:pStyle w:val="Heading2"/>
      </w:pPr>
      <w:r>
        <w:t xml:space="preserve">4.7 Embedding Storage</w:t>
      </w:r>
    </w:p>
    <w:p>
      <w:pPr>
        <w:pStyle w:val="FirstParagraph"/>
      </w:pPr>
      <w:r>
        <w:t xml:space="preserve">Embeddings support semantic and hybrid search (FR-SEARCH-003, FR-SEARCH-004, FR-AI-006). The storage approach scales with library size.</w:t>
      </w:r>
    </w:p>
    <w:p>
      <w:pPr>
        <w:pStyle w:val="Compact"/>
        <w:numPr>
          <w:ilvl w:val="0"/>
          <w:numId w:val="1004"/>
        </w:numPr>
      </w:pPr>
      <w:r>
        <w:t xml:space="preserve">For small libraries, embeddings are compared by</w:t>
      </w:r>
      <w:r>
        <w:t xml:space="preserve"> </w:t>
      </w:r>
      <w:r>
        <w:rPr>
          <w:b/>
          <w:bCs/>
        </w:rPr>
        <w:t xml:space="preserve">brute-force cosine similarity</w:t>
      </w:r>
      <w:r>
        <w:t xml:space="preserve"> </w:t>
      </w:r>
      <w:r>
        <w:t xml:space="preserve">over vectors held in</w:t>
      </w:r>
      <w:r>
        <w:t xml:space="preserve"> </w:t>
      </w:r>
      <w:r>
        <w:rPr>
          <w:rStyle w:val="VerbatimChar"/>
        </w:rPr>
        <w:t xml:space="preserve">EmbeddingVectors</w:t>
      </w:r>
      <w:r>
        <w:t xml:space="preserve"> </w:t>
      </w:r>
      <w:r>
        <w:t xml:space="preserve">or in the</w:t>
      </w:r>
      <w:r>
        <w:t xml:space="preserve"> </w:t>
      </w:r>
      <w:r>
        <w:rPr>
          <w:rStyle w:val="VerbatimChar"/>
        </w:rPr>
        <w:t xml:space="preserve">embeddings/</w:t>
      </w:r>
      <w:r>
        <w:t xml:space="preserve"> </w:t>
      </w:r>
      <w:r>
        <w:t xml:space="preserve">sidecar class. For two vectors</w:t>
      </w:r>
      <w:r>
        <w:t xml:space="preserve"> </w:t>
      </w:r>
      <m:oMath>
        <m:r>
          <m:t>a</m:t>
        </m:r>
      </m:oMath>
      <w:r>
        <w:t xml:space="preserve"> </w:t>
      </w:r>
      <w:r>
        <w:t xml:space="preserve">and</w:t>
      </w:r>
      <w:r>
        <w:t xml:space="preserve"> </w:t>
      </w:r>
      <m:oMath>
        <m:r>
          <m:t>b</m:t>
        </m:r>
      </m:oMath>
      <w:r>
        <w:t xml:space="preserve">, similarity is</w:t>
      </w:r>
    </w:p>
    <w:p>
      <w:pPr>
        <w:pStyle w:val="FirstParagraph"/>
      </w:pPr>
      <m:oMathPara>
        <m:oMathParaPr>
          <m:jc m:val="center"/>
        </m:oMathParaPr>
        <m:oMath>
          <m:r>
            <m:rPr>
              <m:nor/>
              <m:sty m:val="p"/>
            </m:rPr>
            <m:t>cosine</m:t>
          </m:r>
          <m:r>
            <m:rPr>
              <m:sty m:val="p"/>
            </m:rPr>
            <m:t>(</m:t>
          </m:r>
          <m:r>
            <m:t>a</m:t>
          </m:r>
          <m:r>
            <m:rPr>
              <m:sty m:val="p"/>
            </m:rPr>
            <m:t>,</m:t>
          </m:r>
          <m:r>
            <m:t>b</m:t>
          </m:r>
          <m:r>
            <m:rPr>
              <m:sty m:val="p"/>
            </m:rPr>
            <m:t>)</m:t>
          </m:r>
          <m:r>
            <m:rPr>
              <m:sty m:val="p"/>
            </m:rPr>
            <m:t>=</m:t>
          </m:r>
          <m:f>
            <m:fPr>
              <m:type m:val="bar"/>
            </m:fPr>
            <m:num>
              <m:r>
                <m:t>a</m:t>
              </m:r>
              <m:r>
                <m:rPr>
                  <m:sty m:val="p"/>
                </m:rPr>
                <m:t>⋅</m:t>
              </m:r>
              <m:r>
                <m:t>b</m:t>
              </m:r>
            </m:num>
            <m:den>
              <m:d>
                <m:dPr>
                  <m:begChr m:val="‖"/>
                  <m:sepChr m:val=""/>
                  <m:endChr m:val="‖"/>
                  <m:grow/>
                </m:dPr>
                <m:e>
                  <m:r>
                    <m:t>a</m:t>
                  </m:r>
                </m:e>
              </m:d>
              <m:r>
                <m:t> </m:t>
              </m:r>
              <m:d>
                <m:dPr>
                  <m:begChr m:val="‖"/>
                  <m:sepChr m:val=""/>
                  <m:endChr m:val="‖"/>
                  <m:grow/>
                </m:dPr>
                <m:e>
                  <m:r>
                    <m:t>b</m:t>
                  </m:r>
                </m:e>
              </m:d>
            </m:den>
          </m:f>
          <m:r>
            <m:rPr>
              <m:sty m:val="p"/>
            </m:rPr>
            <m:t>.</m:t>
          </m:r>
        </m:oMath>
      </m:oMathPara>
    </w:p>
    <w:p>
      <w:pPr>
        <w:pStyle w:val="Compact"/>
        <w:numPr>
          <w:ilvl w:val="0"/>
          <w:numId w:val="1005"/>
        </w:numPr>
      </w:pPr>
      <w:r>
        <w:t xml:space="preserve">For larger libraries, an approximate nearest-neighbour extension (</w:t>
      </w:r>
      <w:r>
        <w:rPr>
          <w:b/>
          <w:bCs/>
        </w:rPr>
        <w:t xml:space="preserve">Vec1 / sqlite-vec</w:t>
      </w:r>
      <w:r>
        <w:t xml:space="preserve">) is spiked and adopted behind an ADR; vectors are stored as a BLOB in the database or serialised in the</w:t>
      </w:r>
      <w:r>
        <w:t xml:space="preserve"> </w:t>
      </w:r>
      <w:r>
        <w:rPr>
          <w:rStyle w:val="VerbatimChar"/>
        </w:rPr>
        <w:t xml:space="preserve">embeddings/</w:t>
      </w:r>
      <w:r>
        <w:t xml:space="preserve"> </w:t>
      </w:r>
      <w:r>
        <w:t xml:space="preserve">sidecar class.</w:t>
      </w:r>
    </w:p>
    <w:p>
      <w:pPr>
        <w:pStyle w:val="FirstParagraph"/>
      </w:pPr>
      <w:r>
        <w:t xml:space="preserve">The brute-force path is the MVP default because it requires no native extension and is correct for the corpus scales named in the performance budgets; the approximate path is a scale optimisation, not a correctness change.</w:t>
      </w:r>
    </w:p>
    <w:p>
      <w:pPr>
        <w:pStyle w:val="BodyText"/>
      </w:pPr>
      <w:r>
        <w:t xml:space="preserve">\newpage</w:t>
      </w:r>
    </w:p>
    <w:bookmarkEnd w:id="38"/>
    <w:bookmarkEnd w:id="39"/>
    <w:bookmarkStart w:id="45" w:name="X36f7be0c1afbf7b510d878cb77f211df64fbf7a"/>
    <w:p>
      <w:pPr>
        <w:pStyle w:val="Heading1"/>
      </w:pPr>
      <w:r>
        <w:t xml:space="preserve">5. PDF Pipeline and Reader Architecture</w:t>
      </w:r>
    </w:p>
    <w:bookmarkStart w:id="40" w:name="X54bad2722c496edd2b63359a3e5417f6c1cb310"/>
    <w:p>
      <w:pPr>
        <w:pStyle w:val="Heading2"/>
      </w:pPr>
      <w:r>
        <w:t xml:space="preserve">5.1 Pipeline Stages, Tools, and Outputs</w:t>
      </w:r>
    </w:p>
    <w:p>
      <w:pPr>
        <w:pStyle w:val="FirstParagraph"/>
      </w:pPr>
      <w:r>
        <w:t xml:space="preserve">The PDF pipeline transforms an untrusted source file into catalogue records, search content, and rendered surfaces. Each stage names its tool and its output. PDF parsing and rendering are treated as untrusted input throughout; the worker-isolation and resource-bound controls are specified in Section 8.</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Tool</w:t>
            </w:r>
          </w:p>
        </w:tc>
        <w:tc>
          <w:tcPr/>
          <w:p>
            <w:pPr>
              <w:pStyle w:val="Compact"/>
            </w:pPr>
            <w:r>
              <w:t xml:space="preserve">Output</w:t>
            </w:r>
          </w:p>
        </w:tc>
      </w:tr>
      <w:tr>
        <w:tc>
          <w:tcPr/>
          <w:p>
            <w:pPr>
              <w:pStyle w:val="Compact"/>
            </w:pPr>
            <w:r>
              <w:t xml:space="preserve">Open / render page</w:t>
            </w:r>
          </w:p>
        </w:tc>
        <w:tc>
          <w:tcPr/>
          <w:p>
            <w:pPr>
              <w:pStyle w:val="Compact"/>
            </w:pPr>
            <w:r>
              <w:t xml:space="preserve">PDFium wrapper</w:t>
            </w:r>
          </w:p>
        </w:tc>
        <w:tc>
          <w:tcPr/>
          <w:p>
            <w:pPr>
              <w:pStyle w:val="Compact"/>
            </w:pPr>
            <w:r>
              <w:t xml:space="preserve">Page surface for display</w:t>
            </w:r>
          </w:p>
        </w:tc>
      </w:tr>
      <w:tr>
        <w:tc>
          <w:tcPr/>
          <w:p>
            <w:pPr>
              <w:pStyle w:val="Compact"/>
            </w:pPr>
            <w:r>
              <w:t xml:space="preserve">Extract metadata</w:t>
            </w:r>
          </w:p>
        </w:tc>
        <w:tc>
          <w:tcPr/>
          <w:p>
            <w:pPr>
              <w:pStyle w:val="Compact"/>
            </w:pPr>
            <w:r>
              <w:t xml:space="preserve">PdfPig</w:t>
            </w:r>
          </w:p>
        </w:tc>
        <w:tc>
          <w:tcPr/>
          <w:p>
            <w:pPr>
              <w:pStyle w:val="Compact"/>
            </w:pPr>
            <w:r>
              <w:t xml:space="preserve">Raw bibliographic candidates (title, author, ISBN signals)</w:t>
            </w:r>
          </w:p>
        </w:tc>
      </w:tr>
      <w:tr>
        <w:tc>
          <w:tcPr/>
          <w:p>
            <w:pPr>
              <w:pStyle w:val="Compact"/>
            </w:pPr>
            <w:r>
              <w:t xml:space="preserve">Extract text</w:t>
            </w:r>
          </w:p>
        </w:tc>
        <w:tc>
          <w:tcPr/>
          <w:p>
            <w:pPr>
              <w:pStyle w:val="Compact"/>
            </w:pPr>
            <w:r>
              <w:t xml:space="preserve">PdfPig / PDFium text layer</w:t>
            </w:r>
          </w:p>
        </w:tc>
        <w:tc>
          <w:tcPr/>
          <w:p>
            <w:pPr>
              <w:pStyle w:val="Compact"/>
            </w:pPr>
            <w:r>
              <w:t xml:space="preserve">Per-page text</w:t>
            </w:r>
          </w:p>
        </w:tc>
      </w:tr>
      <w:tr>
        <w:tc>
          <w:tcPr/>
          <w:p>
            <w:pPr>
              <w:pStyle w:val="Compact"/>
            </w:pPr>
            <w:r>
              <w:t xml:space="preserve">OCR (scanned pages)</w:t>
            </w:r>
          </w:p>
        </w:tc>
        <w:tc>
          <w:tcPr/>
          <w:p>
            <w:pPr>
              <w:pStyle w:val="Compact"/>
            </w:pPr>
            <w:r>
              <w:t xml:space="preserve">Tesseract</w:t>
            </w:r>
          </w:p>
        </w:tc>
        <w:tc>
          <w:tcPr/>
          <w:p>
            <w:pPr>
              <w:pStyle w:val="Compact"/>
            </w:pPr>
            <w:r>
              <w:t xml:space="preserve">OCR text plus per-page confidence</w:t>
            </w:r>
          </w:p>
        </w:tc>
      </w:tr>
      <w:tr>
        <w:tc>
          <w:tcPr/>
          <w:p>
            <w:pPr>
              <w:pStyle w:val="Compact"/>
            </w:pPr>
            <w:r>
              <w:t xml:space="preserve">Thumbnail</w:t>
            </w:r>
          </w:p>
        </w:tc>
        <w:tc>
          <w:tcPr/>
          <w:p>
            <w:pPr>
              <w:pStyle w:val="Compact"/>
            </w:pPr>
            <w:r>
              <w:t xml:space="preserve">PDFium + SkiaSharp</w:t>
            </w:r>
          </w:p>
        </w:tc>
        <w:tc>
          <w:tcPr/>
          <w:p>
            <w:pPr>
              <w:pStyle w:val="Compact"/>
            </w:pPr>
            <w:r>
              <w:t xml:space="preserve">WebP thumbnail</w:t>
            </w:r>
          </w:p>
        </w:tc>
      </w:tr>
      <w:tr>
        <w:tc>
          <w:tcPr/>
          <w:p>
            <w:pPr>
              <w:pStyle w:val="Compact"/>
            </w:pPr>
            <w:r>
              <w:t xml:space="preserve">Spine texture</w:t>
            </w:r>
          </w:p>
        </w:tc>
        <w:tc>
          <w:tcPr/>
          <w:p>
            <w:pPr>
              <w:pStyle w:val="Compact"/>
            </w:pPr>
            <w:r>
              <w:t xml:space="preserve">SkiaSharp</w:t>
            </w:r>
          </w:p>
        </w:tc>
        <w:tc>
          <w:tcPr/>
          <w:p>
            <w:pPr>
              <w:pStyle w:val="Compact"/>
            </w:pPr>
            <w:r>
              <w:t xml:space="preserve">WebP / PNG spine texture</w:t>
            </w:r>
          </w:p>
        </w:tc>
      </w:tr>
      <w:tr>
        <w:tc>
          <w:tcPr/>
          <w:p>
            <w:pPr>
              <w:pStyle w:val="Compact"/>
            </w:pPr>
            <w:r>
              <w:t xml:space="preserve">Metadata write-back</w:t>
            </w:r>
          </w:p>
        </w:tc>
        <w:tc>
          <w:tcPr/>
          <w:p>
            <w:pPr>
              <w:pStyle w:val="Compact"/>
            </w:pPr>
            <w:r>
              <w:t xml:space="preserve">PDFsharp</w:t>
            </w:r>
          </w:p>
        </w:tc>
        <w:tc>
          <w:tcPr/>
          <w:p>
            <w:pPr>
              <w:pStyle w:val="Compact"/>
            </w:pPr>
            <w:r>
              <w:t xml:space="preserve">Modified source file, under backup-diff-verify-restore</w:t>
            </w:r>
          </w:p>
        </w:tc>
      </w:tr>
      <w:tr>
        <w:tc>
          <w:tcPr/>
          <w:p>
            <w:pPr>
              <w:pStyle w:val="Compact"/>
            </w:pPr>
            <w:r>
              <w:t xml:space="preserve">Annotation</w:t>
            </w:r>
          </w:p>
        </w:tc>
        <w:tc>
          <w:tcPr/>
          <w:p>
            <w:pPr>
              <w:pStyle w:val="Compact"/>
            </w:pPr>
            <w:r>
              <w:t xml:space="preserve">Ogma catalogue first</w:t>
            </w:r>
          </w:p>
        </w:tc>
        <w:tc>
          <w:tcPr/>
          <w:p>
            <w:pPr>
              <w:pStyle w:val="Compact"/>
            </w:pPr>
            <w:r>
              <w:t xml:space="preserve">Annotation record in the catalogue of record</w:t>
            </w:r>
          </w:p>
        </w:tc>
      </w:tr>
    </w:tbl>
    <w:p>
      <w:pPr>
        <w:pStyle w:val="BodyText"/>
      </w:pPr>
      <w:r>
        <w:t xml:space="preserve">Two rules constrain the pipeline.</w:t>
      </w:r>
    </w:p>
    <w:p>
      <w:pPr>
        <w:pStyle w:val="Compact"/>
        <w:numPr>
          <w:ilvl w:val="0"/>
          <w:numId w:val="1006"/>
        </w:numPr>
      </w:pPr>
      <w:r>
        <w:rPr>
          <w:i/>
          <w:iCs/>
        </w:rPr>
        <w:t xml:space="preserve">Extracted PDF text may not be in reading order.</w:t>
      </w:r>
      <w:r>
        <w:t xml:space="preserve"> </w:t>
      </w:r>
      <w:r>
        <w:t xml:space="preserve">Each per-page text output carries an</w:t>
      </w:r>
      <w:r>
        <w:t xml:space="preserve"> </w:t>
      </w:r>
      <w:r>
        <w:rPr>
          <w:b/>
          <w:bCs/>
        </w:rPr>
        <w:t xml:space="preserve">extraction-quality flag</w:t>
      </w:r>
      <w:r>
        <w:t xml:space="preserve"> </w:t>
      </w:r>
      <w:r>
        <w:t xml:space="preserve">so that downstream search and AI consumers can weight or warn on low-quality text rather than treating it as authoritative reading-order prose.</w:t>
      </w:r>
    </w:p>
    <w:p>
      <w:pPr>
        <w:pStyle w:val="Compact"/>
        <w:numPr>
          <w:ilvl w:val="0"/>
          <w:numId w:val="1006"/>
        </w:numPr>
      </w:pPr>
      <w:r>
        <w:rPr>
          <w:i/>
          <w:iCs/>
        </w:rPr>
        <w:t xml:space="preserve">Metadata write-back is reversible by construction.</w:t>
      </w:r>
      <w:r>
        <w:t xml:space="preserve"> </w:t>
      </w:r>
      <w:r>
        <w:t xml:space="preserve">Write-back via PDFsharp follows a backup → diff → verify-open → restore protocol: the original file is backed up to</w:t>
      </w:r>
      <w:r>
        <w:t xml:space="preserve"> </w:t>
      </w:r>
      <w:r>
        <w:rPr>
          <w:rStyle w:val="VerbatimChar"/>
        </w:rPr>
        <w:t xml:space="preserve">assets/backups/</w:t>
      </w:r>
      <w:r>
        <w:t xml:space="preserve">, the field-level diff is shown for confirmation (FR-META-005), the modified file is verified to open, and any failure restores the original so the source file is never left corrupt (</w:t>
      </w:r>
      <w:r>
        <w:rPr>
          <w:b/>
          <w:bCs/>
        </w:rPr>
        <w:t xml:space="preserve">NFR-PROD-010</w:t>
      </w:r>
      <w:r>
        <w:t xml:space="preserve">). Annotations are written to the Ogma catalogue first; PDF write-back of highlight annotations is explicitly out of MVP scope per the vision.</w:t>
      </w:r>
    </w:p>
    <w:bookmarkEnd w:id="40"/>
    <w:bookmarkStart w:id="41" w:name="X938131055956acf8f720c88465f773787dbc847"/>
    <w:p>
      <w:pPr>
        <w:pStyle w:val="Heading2"/>
      </w:pPr>
      <w:r>
        <w:t xml:space="preserve">5.2 OCR Strategy</w:t>
      </w:r>
    </w:p>
    <w:p>
      <w:pPr>
        <w:pStyle w:val="FirstParagraph"/>
      </w:pPr>
      <w:r>
        <w:t xml:space="preserve">OCR runs only when needed and never blocks reading. Scanned, image-only PDFs are detected during ingestion and OCR is queued as an</w:t>
      </w:r>
      <w:r>
        <w:t xml:space="preserve"> </w:t>
      </w:r>
      <w:r>
        <w:rPr>
          <w:b/>
          <w:bCs/>
        </w:rPr>
        <w:t xml:space="preserve">optional background job</w:t>
      </w:r>
      <w:r>
        <w:t xml:space="preserve"> </w:t>
      </w:r>
      <w:r>
        <w:t xml:space="preserve">(FR-READ-010) on the worker pipeline. Tesseract produces OCR text plus a per-page confidence score; results are stored in the</w:t>
      </w:r>
      <w:r>
        <w:t xml:space="preserve"> </w:t>
      </w:r>
      <w:r>
        <w:rPr>
          <w:rStyle w:val="VerbatimChar"/>
        </w:rPr>
        <w:t xml:space="preserve">ocr/</w:t>
      </w:r>
      <w:r>
        <w:t xml:space="preserve"> </w:t>
      </w:r>
      <w:r>
        <w:t xml:space="preserve">sidecar class, indexed for search, and marked</w:t>
      </w:r>
      <w:r>
        <w:t xml:space="preserve"> </w:t>
      </w:r>
      <w:r>
        <w:rPr>
          <w:b/>
          <w:bCs/>
        </w:rPr>
        <w:t xml:space="preserve">OCR-derived</w:t>
      </w:r>
      <w:r>
        <w:t xml:space="preserve"> </w:t>
      </w:r>
      <w:r>
        <w:t xml:space="preserve">so the user and the ranking layer can distinguish OCR text from native text-layer text. OCR is resumable and per-file failure-isolated like every other worker job (</w:t>
      </w:r>
      <w:r>
        <w:rPr>
          <w:b/>
          <w:bCs/>
        </w:rPr>
        <w:t xml:space="preserve">NFR-OGMA-009</w:t>
      </w:r>
      <w:r>
        <w:t xml:space="preserve">).</w:t>
      </w:r>
    </w:p>
    <w:bookmarkEnd w:id="41"/>
    <w:bookmarkStart w:id="42" w:name="X5a1bd9c85c53ea333261b1dd3ead5864d7ebcf7"/>
    <w:p>
      <w:pPr>
        <w:pStyle w:val="Heading2"/>
      </w:pPr>
      <w:r>
        <w:t xml:space="preserve">5.3 Reader Architecture</w:t>
      </w:r>
    </w:p>
    <w:p>
      <w:pPr>
        <w:pStyle w:val="FirstParagraph"/>
      </w:pPr>
      <w:r>
        <w:t xml:space="preserve">The Reader is a bounded context (Section 3) that owns rendering, navigation, zoom, selection, bookmarks, annotations, and progress events, and owns no scan policy or external lookup. Its internal decomposition separates the view from a session service and a set of focused services.</w:t>
      </w:r>
    </w:p>
    <w:p>
      <w:pPr>
        <w:pStyle w:val="SourceCode"/>
      </w:pPr>
      <w:r>
        <w:rPr>
          <w:rStyle w:val="VerbatimChar"/>
        </w:rPr>
        <w:t xml:space="preserve">ReaderView ─────────── ReaderViewModel</w:t>
      </w:r>
      <w:r>
        <w:br/>
      </w:r>
      <w:r>
        <w:rPr>
          <w:rStyle w:val="VerbatimChar"/>
        </w:rPr>
        <w:t xml:space="preserve">                            │</w:t>
      </w:r>
      <w:r>
        <w:br/>
      </w:r>
      <w:r>
        <w:rPr>
          <w:rStyle w:val="VerbatimChar"/>
        </w:rPr>
        <w:t xml:space="preserve">                            ▼</w:t>
      </w:r>
      <w:r>
        <w:br/>
      </w:r>
      <w:r>
        <w:rPr>
          <w:rStyle w:val="VerbatimChar"/>
        </w:rPr>
        <w:t xml:space="preserve">                  ReaderSessionService</w:t>
      </w:r>
      <w:r>
        <w:br/>
      </w:r>
      <w:r>
        <w:rPr>
          <w:rStyle w:val="VerbatimChar"/>
        </w:rPr>
        <w:t xml:space="preserve">        (current book, page, zoom, layout, navigation history)</w:t>
      </w:r>
      <w:r>
        <w:br/>
      </w:r>
      <w:r>
        <w:rPr>
          <w:rStyle w:val="VerbatimChar"/>
        </w:rPr>
        <w:t xml:space="preserve">        │              │                │                 │</w:t>
      </w:r>
      <w:r>
        <w:br/>
      </w:r>
      <w:r>
        <w:rPr>
          <w:rStyle w:val="VerbatimChar"/>
        </w:rPr>
        <w:t xml:space="preserve">        ▼              ▼                ▼                 ▼</w:t>
      </w:r>
      <w:r>
        <w:br/>
      </w:r>
      <w:r>
        <w:rPr>
          <w:rStyle w:val="VerbatimChar"/>
        </w:rPr>
        <w:t xml:space="preserve"> PdfRenderService  TextLayerService  AnnotationService  ReadingProgressService</w:t>
      </w:r>
      <w:r>
        <w:br/>
      </w:r>
      <w:r>
        <w:rPr>
          <w:rStyle w:val="VerbatimChar"/>
        </w:rPr>
        <w:t xml:space="preserve"> (PDFium adapter   (selectable text  (highlights/notes  (resume position,</w:t>
      </w:r>
      <w:r>
        <w:br/>
      </w:r>
      <w:r>
        <w:rPr>
          <w:rStyle w:val="VerbatimChar"/>
        </w:rPr>
        <w:t xml:space="preserve">  + page cache)     + text search)    in catalogue)      status, progress events)</w:t>
      </w:r>
    </w:p>
    <w:p>
      <w:pPr>
        <w:pStyle w:val="Compact"/>
        <w:numPr>
          <w:ilvl w:val="0"/>
          <w:numId w:val="1007"/>
        </w:numPr>
      </w:pPr>
      <w:r>
        <w:rPr>
          <w:b/>
          <w:bCs/>
        </w:rPr>
        <w:t xml:space="preserve">ReaderSessionService</w:t>
      </w:r>
      <w:r>
        <w:t xml:space="preserve"> </w:t>
      </w:r>
      <w:r>
        <w:t xml:space="preserve">holds the live reading session: current book, current page, zoom level, display layout (single page, two-page spread, continuous scroll), and navigation history for back/forward (FR-READ-002, FR-READ-003, FR-READ-004).</w:t>
      </w:r>
    </w:p>
    <w:p>
      <w:pPr>
        <w:pStyle w:val="Compact"/>
        <w:numPr>
          <w:ilvl w:val="0"/>
          <w:numId w:val="1007"/>
        </w:numPr>
      </w:pPr>
      <w:r>
        <w:rPr>
          <w:b/>
          <w:bCs/>
        </w:rPr>
        <w:t xml:space="preserve">PdfRenderService</w:t>
      </w:r>
      <w:r>
        <w:t xml:space="preserve"> </w:t>
      </w:r>
      <w:r>
        <w:t xml:space="preserve">is the PDFium adapter plus the page-render cache (Section 5.4).</w:t>
      </w:r>
    </w:p>
    <w:p>
      <w:pPr>
        <w:pStyle w:val="Compact"/>
        <w:numPr>
          <w:ilvl w:val="0"/>
          <w:numId w:val="1007"/>
        </w:numPr>
      </w:pPr>
      <w:r>
        <w:rPr>
          <w:b/>
          <w:bCs/>
        </w:rPr>
        <w:t xml:space="preserve">TextLayerService</w:t>
      </w:r>
      <w:r>
        <w:t xml:space="preserve"> </w:t>
      </w:r>
      <w:r>
        <w:t xml:space="preserve">exposes the selectable text layer and drives in-document text search and match highlighting (FR-READ-006).</w:t>
      </w:r>
    </w:p>
    <w:p>
      <w:pPr>
        <w:pStyle w:val="Compact"/>
        <w:numPr>
          <w:ilvl w:val="0"/>
          <w:numId w:val="1007"/>
        </w:numPr>
      </w:pPr>
      <w:r>
        <w:rPr>
          <w:b/>
          <w:bCs/>
        </w:rPr>
        <w:t xml:space="preserve">AnnotationService</w:t>
      </w:r>
      <w:r>
        <w:t xml:space="preserve"> </w:t>
      </w:r>
      <w:r>
        <w:t xml:space="preserve">persists highlights and notes to the catalogue of record before reporting them saved and reloads the overlay accurately on reopen (FR-READ-008,</w:t>
      </w:r>
      <w:r>
        <w:t xml:space="preserve"> </w:t>
      </w:r>
      <w:r>
        <w:rPr>
          <w:b/>
          <w:bCs/>
        </w:rPr>
        <w:t xml:space="preserve">NFR-OGMA-008</w:t>
      </w:r>
      <w:r>
        <w:t xml:space="preserve">).</w:t>
      </w:r>
    </w:p>
    <w:p>
      <w:pPr>
        <w:pStyle w:val="Compact"/>
        <w:numPr>
          <w:ilvl w:val="0"/>
          <w:numId w:val="1007"/>
        </w:numPr>
      </w:pPr>
      <w:r>
        <w:rPr>
          <w:b/>
          <w:bCs/>
        </w:rPr>
        <w:t xml:space="preserve">ReadingProgressService</w:t>
      </w:r>
      <w:r>
        <w:t xml:space="preserve"> </w:t>
      </w:r>
      <w:r>
        <w:t xml:space="preserve">persists and resumes the last reading position and status (FR-READ-001) and emits progress events the catalogue and statistics consume.</w:t>
      </w:r>
    </w:p>
    <w:bookmarkEnd w:id="42"/>
    <w:bookmarkStart w:id="43" w:name="X8e453c8061e46dc2b9294a0d1544d7d417232b3"/>
    <w:p>
      <w:pPr>
        <w:pStyle w:val="Heading2"/>
      </w:pPr>
      <w:r>
        <w:t xml:space="preserve">5.4 Page-Render Cache</w:t>
      </w:r>
    </w:p>
    <w:p>
      <w:pPr>
        <w:pStyle w:val="FirstParagraph"/>
      </w:pPr>
      <w:r>
        <w:t xml:space="preserve">The page-render cache is the mechanism that meets the cached page-turn budget of 100 ms at P95 (</w:t>
      </w:r>
      <w:r>
        <w:rPr>
          <w:b/>
          <w:bCs/>
        </w:rPr>
        <w:t xml:space="preserve">NFR-OGMA-005</w:t>
      </w:r>
      <w:r>
        <w:t xml:space="preserve">). It is memory-budgeted and non-blocking.</w:t>
      </w:r>
    </w:p>
    <w:p>
      <w:pPr>
        <w:pStyle w:val="Compact"/>
        <w:numPr>
          <w:ilvl w:val="0"/>
          <w:numId w:val="1008"/>
        </w:numPr>
      </w:pPr>
      <w:r>
        <w:t xml:space="preserve">It holds the</w:t>
      </w:r>
      <w:r>
        <w:t xml:space="preserve"> </w:t>
      </w:r>
      <w:r>
        <w:rPr>
          <w:b/>
          <w:bCs/>
        </w:rPr>
        <w:t xml:space="preserve">current page at the active zoom</w:t>
      </w:r>
      <w:r>
        <w:t xml:space="preserve">, a</w:t>
      </w:r>
      <w:r>
        <w:t xml:space="preserve"> </w:t>
      </w:r>
      <w:r>
        <w:rPr>
          <w:b/>
          <w:bCs/>
        </w:rPr>
        <w:t xml:space="preserve">pre-rendered previous and next page</w:t>
      </w:r>
      <w:r>
        <w:t xml:space="preserve">, a</w:t>
      </w:r>
      <w:r>
        <w:t xml:space="preserve"> </w:t>
      </w:r>
      <w:r>
        <w:rPr>
          <w:b/>
          <w:bCs/>
        </w:rPr>
        <w:t xml:space="preserve">low-resolution preview</w:t>
      </w:r>
      <w:r>
        <w:t xml:space="preserve"> </w:t>
      </w:r>
      <w:r>
        <w:t xml:space="preserve">for instant display during navigation, and a</w:t>
      </w:r>
      <w:r>
        <w:t xml:space="preserve"> </w:t>
      </w:r>
      <w:r>
        <w:rPr>
          <w:b/>
          <w:bCs/>
        </w:rPr>
        <w:t xml:space="preserve">high-resolution render</w:t>
      </w:r>
      <w:r>
        <w:t xml:space="preserve"> </w:t>
      </w:r>
      <w:r>
        <w:t xml:space="preserve">produced on demand for printing.</w:t>
      </w:r>
    </w:p>
    <w:p>
      <w:pPr>
        <w:pStyle w:val="Compact"/>
        <w:numPr>
          <w:ilvl w:val="0"/>
          <w:numId w:val="1008"/>
        </w:numPr>
      </w:pPr>
      <w:r>
        <w:t xml:space="preserve">Renders are</w:t>
      </w:r>
      <w:r>
        <w:t xml:space="preserve"> </w:t>
      </w:r>
      <w:r>
        <w:rPr>
          <w:b/>
          <w:bCs/>
        </w:rPr>
        <w:t xml:space="preserve">non-blocking and cancellable</w:t>
      </w:r>
      <w:r>
        <w:t xml:space="preserve">: a render dispatched for a page the user has already navigated away from is cancelled rather than completed, keeping the UI thread within the 100 ms non-blocking limit (</w:t>
      </w:r>
      <w:r>
        <w:rPr>
          <w:b/>
          <w:bCs/>
        </w:rPr>
        <w:t xml:space="preserve">NFR-PROD-005</w:t>
      </w:r>
      <w:r>
        <w:t xml:space="preserve">).</w:t>
      </w:r>
    </w:p>
    <w:p>
      <w:pPr>
        <w:pStyle w:val="Compact"/>
        <w:numPr>
          <w:ilvl w:val="0"/>
          <w:numId w:val="1008"/>
        </w:numPr>
      </w:pPr>
      <w:r>
        <w:t xml:space="preserve">Eviction is</w:t>
      </w:r>
      <w:r>
        <w:t xml:space="preserve"> </w:t>
      </w:r>
      <w:r>
        <w:rPr>
          <w:b/>
          <w:bCs/>
        </w:rPr>
        <w:t xml:space="preserve">by memory budget</w:t>
      </w:r>
      <w:r>
        <w:t xml:space="preserve">: when the cache exceeds its budget, the least-needed entries (pages furthest from the current position, then high-resolution variants) are evicted first, so a large document does not exhaust memory.</w:t>
      </w:r>
    </w:p>
    <w:bookmarkEnd w:id="43"/>
    <w:bookmarkStart w:id="44" w:name="Xe7bab59deec7acd663e71a092e7b6841906bf14"/>
    <w:p>
      <w:pPr>
        <w:pStyle w:val="Heading2"/>
      </w:pPr>
      <w:r>
        <w:t xml:space="preserve">5.5 Annotation Model</w:t>
      </w:r>
    </w:p>
    <w:p>
      <w:pPr>
        <w:pStyle w:val="FirstParagraph"/>
      </w:pPr>
      <w:r>
        <w:t xml:space="preserve">Annotations and bookmarks are owned by the catalogue of record, not by the PDF file. An Annotation anchors a highlight or note to a region within a BookFile and carries its content in AnnotationBodies (Section 4.3). Because the catalogue is authoritative, annotations persist independently of any change to the source file and reload accurately after close and reopen (FR-READ-008). The architecture is schema-ready for later PDF write-back of highlights, but the MVP keeps annotations internal to the database, consistent with the vision's reversibility principle and out-of-scope note.</w:t>
      </w:r>
    </w:p>
    <w:p>
      <w:pPr>
        <w:pStyle w:val="BodyText"/>
      </w:pPr>
      <w:r>
        <w:t xml:space="preserve">\newpage</w:t>
      </w:r>
    </w:p>
    <w:bookmarkEnd w:id="44"/>
    <w:bookmarkEnd w:id="45"/>
    <w:bookmarkStart w:id="50" w:name="X7d38761891cdf48e5dcd3dcd79c9138d1390b50"/>
    <w:p>
      <w:pPr>
        <w:pStyle w:val="Heading1"/>
      </w:pPr>
      <w:r>
        <w:t xml:space="preserve">6. 3D Bookshelf Architecture</w:t>
      </w:r>
    </w:p>
    <w:bookmarkStart w:id="46" w:name="X23d0663c53f992ac372cad3c4f172c5e6fe7d89"/>
    <w:p>
      <w:pPr>
        <w:pStyle w:val="Heading2"/>
      </w:pPr>
      <w:r>
        <w:t xml:space="preserve">6.1 WebView-Hosted Three.js Surface</w:t>
      </w:r>
    </w:p>
    <w:p>
      <w:pPr>
        <w:pStyle w:val="FirstParagraph"/>
      </w:pPr>
      <w:r>
        <w:t xml:space="preserve">The 3D shelf is a WebGL2 rendering surface hosted in the platform</w:t>
      </w:r>
      <w:r>
        <w:t xml:space="preserve"> </w:t>
      </w:r>
      <w:r>
        <w:rPr>
          <w:b/>
          <w:bCs/>
        </w:rPr>
        <w:t xml:space="preserve">WebView</w:t>
      </w:r>
      <w:r>
        <w:t xml:space="preserve"> </w:t>
      </w:r>
      <w:r>
        <w:t xml:space="preserve">—</w:t>
      </w:r>
      <w:r>
        <w:t xml:space="preserve"> </w:t>
      </w:r>
      <w:r>
        <w:rPr>
          <w:b/>
          <w:bCs/>
        </w:rPr>
        <w:t xml:space="preserve">WebView2</w:t>
      </w:r>
      <w:r>
        <w:t xml:space="preserve"> </w:t>
      </w:r>
      <w:r>
        <w:t xml:space="preserve">on Windows,</w:t>
      </w:r>
      <w:r>
        <w:t xml:space="preserve"> </w:t>
      </w:r>
      <w:r>
        <w:rPr>
          <w:b/>
          <w:bCs/>
        </w:rPr>
        <w:t xml:space="preserve">WKWebView</w:t>
      </w:r>
      <w:r>
        <w:t xml:space="preserve"> </w:t>
      </w:r>
      <w:r>
        <w:t xml:space="preserve">on macOS — and driven by</w:t>
      </w:r>
      <w:r>
        <w:t xml:space="preserve"> </w:t>
      </w:r>
      <w:r>
        <w:rPr>
          <w:b/>
          <w:bCs/>
        </w:rPr>
        <w:t xml:space="preserve">Three.js</w:t>
      </w:r>
      <w:r>
        <w:t xml:space="preserve">. The Avalonia</w:t>
      </w:r>
      <w:r>
        <w:t xml:space="preserve"> </w:t>
      </w:r>
      <w:r>
        <w:rPr>
          <w:rStyle w:val="VerbatimChar"/>
        </w:rPr>
        <w:t xml:space="preserve">BookshelfView</w:t>
      </w:r>
      <w:r>
        <w:t xml:space="preserve"> </w:t>
      </w:r>
      <w:r>
        <w:t xml:space="preserve">hosts a</w:t>
      </w:r>
      <w:r>
        <w:t xml:space="preserve"> </w:t>
      </w:r>
      <w:r>
        <w:rPr>
          <w:rStyle w:val="VerbatimChar"/>
        </w:rPr>
        <w:t xml:space="preserve">NativeWebView</w:t>
      </w:r>
      <w:r>
        <w:t xml:space="preserve"> </w:t>
      </w:r>
      <w:r>
        <w:t xml:space="preserve">control that loads a local</w:t>
      </w:r>
      <w:r>
        <w:t xml:space="preserve"> </w:t>
      </w:r>
      <w:r>
        <w:rPr>
          <w:rStyle w:val="VerbatimChar"/>
        </w:rPr>
        <w:t xml:space="preserve">bookshelf.html</w:t>
      </w:r>
      <w:r>
        <w:t xml:space="preserve"> </w:t>
      </w:r>
      <w:r>
        <w:t xml:space="preserve">containing the Three.js scene, a book-mesh manager, a texture loader, hit testing, an animation controller, and the message-bridge client. The WebView is treated as a rendering boundary for untrusted content: active content is disabled by default, no uncontrolled external resource fetch is permitted, and the surface has no direct access to credentials or the catalogue except through bridge messages the native side authorises (security baseline, Section 8).</w:t>
      </w:r>
    </w:p>
    <w:p>
      <w:pPr>
        <w:pStyle w:val="BodyText"/>
      </w:pPr>
      <w:r>
        <w:t xml:space="preserve">The Bookshelf Presentation context owns scene state and the bridge contract but does not own catalogue truth (Section 3): the scene is a projection it is handed, and a clicked book resolves to the same catalogue record as every other browsing view.</w:t>
      </w:r>
    </w:p>
    <w:bookmarkEnd w:id="46"/>
    <w:bookmarkStart w:id="47" w:name="Xbe165f8f33c540f79073abc311c9e6c07d64c73"/>
    <w:p>
      <w:pPr>
        <w:pStyle w:val="Heading2"/>
      </w:pPr>
      <w:r>
        <w:t xml:space="preserve">6.2 C#↔JavaScript Message Contract</w:t>
      </w:r>
    </w:p>
    <w:p>
      <w:pPr>
        <w:pStyle w:val="FirstParagraph"/>
      </w:pPr>
      <w:r>
        <w:t xml:space="preserve">The bridge exchanges a typed scene model from C# to JavaScript and typed interaction events from JavaScript back to C#. Every inbound message is validated against the contract before the native side acts on it (</w:t>
      </w:r>
      <w:r>
        <w:rPr>
          <w:b/>
          <w:bCs/>
        </w:rPr>
        <w:t xml:space="preserve">SI-3</w:t>
      </w:r>
      <w:r>
        <w:t xml:space="preserve">).</w:t>
      </w:r>
    </w:p>
    <w:p>
      <w:pPr>
        <w:pStyle w:val="BodyText"/>
      </w:pPr>
      <w:r>
        <w:t xml:space="preserve">C# to JavaScript sends a compact scene model. Book cover and spine textures are referenced through a safe</w:t>
      </w:r>
      <w:r>
        <w:t xml:space="preserve"> </w:t>
      </w:r>
      <w:r>
        <w:rPr>
          <w:rStyle w:val="VerbatimChar"/>
        </w:rPr>
        <w:t xml:space="preserve">ogma://</w:t>
      </w:r>
      <w:r>
        <w:t xml:space="preserve"> </w:t>
      </w:r>
      <w:r>
        <w:t xml:space="preserve">asset scheme rather than file paths, so the WebView never receives a raw file-system path.</w:t>
      </w:r>
    </w:p>
    <w:p>
      <w:pPr>
        <w:pStyle w:val="SourceCode"/>
      </w:pPr>
      <w:r>
        <w:rPr>
          <w:rStyle w:val="FunctionTok"/>
        </w:rPr>
        <w:t xml:space="preserve">{</w:t>
      </w:r>
      <w:r>
        <w:br/>
      </w:r>
      <w:r>
        <w:rPr>
          <w:rStyle w:val="NormalTok"/>
        </w:rPr>
        <w:t xml:space="preserve">  </w:t>
      </w:r>
      <w:r>
        <w:rPr>
          <w:rStyle w:val="DataTypeTok"/>
        </w:rPr>
        <w:t xml:space="preserve">"theme"</w:t>
      </w:r>
      <w:r>
        <w:rPr>
          <w:rStyle w:val="FunctionTok"/>
        </w:rPr>
        <w:t xml:space="preserve">:</w:t>
      </w:r>
      <w:r>
        <w:rPr>
          <w:rStyle w:val="NormalTok"/>
        </w:rPr>
        <w:t xml:space="preserve"> </w:t>
      </w:r>
      <w:r>
        <w:rPr>
          <w:rStyle w:val="StringTok"/>
        </w:rPr>
        <w:t xml:space="preserve">"warm-oak"</w:t>
      </w:r>
      <w:r>
        <w:rPr>
          <w:rStyle w:val="FunctionTok"/>
        </w:rPr>
        <w:t xml:space="preserve">,</w:t>
      </w:r>
      <w:r>
        <w:br/>
      </w:r>
      <w:r>
        <w:rPr>
          <w:rStyle w:val="NormalTok"/>
        </w:rPr>
        <w:t xml:space="preserve">  </w:t>
      </w:r>
      <w:r>
        <w:rPr>
          <w:rStyle w:val="DataTypeTok"/>
        </w:rPr>
        <w:t xml:space="preserve">"layout"</w:t>
      </w:r>
      <w:r>
        <w:rPr>
          <w:rStyle w:val="FunctionTok"/>
        </w:rPr>
        <w:t xml:space="preserve">:</w:t>
      </w:r>
      <w:r>
        <w:rPr>
          <w:rStyle w:val="NormalTok"/>
        </w:rPr>
        <w:t xml:space="preserve"> </w:t>
      </w:r>
      <w:r>
        <w:rPr>
          <w:rStyle w:val="StringTok"/>
        </w:rPr>
        <w:t xml:space="preserve">"shelf"</w:t>
      </w:r>
      <w:r>
        <w:rPr>
          <w:rStyle w:val="FunctionTok"/>
        </w:rPr>
        <w:t xml:space="preserve">,</w:t>
      </w:r>
      <w:r>
        <w:br/>
      </w:r>
      <w:r>
        <w:rPr>
          <w:rStyle w:val="NormalTok"/>
        </w:rPr>
        <w:t xml:space="preserve">  </w:t>
      </w:r>
      <w:r>
        <w:rPr>
          <w:rStyle w:val="DataTypeTok"/>
        </w:rPr>
        <w:t xml:space="preserve">"selectedBookId"</w:t>
      </w:r>
      <w:r>
        <w:rPr>
          <w:rStyle w:val="FunctionTok"/>
        </w:rPr>
        <w:t xml:space="preserve">:</w:t>
      </w:r>
      <w:r>
        <w:rPr>
          <w:rStyle w:val="NormalTok"/>
        </w:rPr>
        <w:t xml:space="preserve"> </w:t>
      </w:r>
      <w:r>
        <w:rPr>
          <w:rStyle w:val="StringTok"/>
        </w:rPr>
        <w:t xml:space="preserve">"b_01H..."</w:t>
      </w:r>
      <w:r>
        <w:rPr>
          <w:rStyle w:val="FunctionTok"/>
        </w:rPr>
        <w:t xml:space="preserve">,</w:t>
      </w:r>
      <w:r>
        <w:br/>
      </w:r>
      <w:r>
        <w:rPr>
          <w:rStyle w:val="NormalTok"/>
        </w:rPr>
        <w:t xml:space="preserve">  </w:t>
      </w:r>
      <w:r>
        <w:rPr>
          <w:rStyle w:val="DataTypeTok"/>
        </w:rPr>
        <w:t xml:space="preserve">"books"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"b_01H..."</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"The Name of the Wind"</w:t>
      </w:r>
      <w:r>
        <w:rPr>
          <w:rStyle w:val="FunctionTok"/>
        </w:rPr>
        <w:t xml:space="preserve">,</w:t>
      </w:r>
      <w:r>
        <w:br/>
      </w:r>
      <w:r>
        <w:rPr>
          <w:rStyle w:val="NormalTok"/>
        </w:rPr>
        <w:t xml:space="preserve">      </w:t>
      </w:r>
      <w:r>
        <w:rPr>
          <w:rStyle w:val="DataTypeTok"/>
        </w:rPr>
        <w:t xml:space="preserve">"authors"</w:t>
      </w:r>
      <w:r>
        <w:rPr>
          <w:rStyle w:val="FunctionTok"/>
        </w:rPr>
        <w:t xml:space="preserve">:</w:t>
      </w:r>
      <w:r>
        <w:rPr>
          <w:rStyle w:val="NormalTok"/>
        </w:rPr>
        <w:t xml:space="preserve"> </w:t>
      </w:r>
      <w:r>
        <w:rPr>
          <w:rStyle w:val="OtherTok"/>
        </w:rPr>
        <w:t xml:space="preserve">[</w:t>
      </w:r>
      <w:r>
        <w:rPr>
          <w:rStyle w:val="StringTok"/>
        </w:rPr>
        <w:t xml:space="preserve">"Patrick Rothfuss"</w:t>
      </w:r>
      <w:r>
        <w:rPr>
          <w:rStyle w:val="OtherTok"/>
        </w:rPr>
        <w:t xml:space="preserve">]</w:t>
      </w:r>
      <w:r>
        <w:rPr>
          <w:rStyle w:val="FunctionTok"/>
        </w:rPr>
        <w:t xml:space="preserve">,</w:t>
      </w:r>
      <w:r>
        <w:br/>
      </w:r>
      <w:r>
        <w:rPr>
          <w:rStyle w:val="NormalTok"/>
        </w:rPr>
        <w:t xml:space="preserve">      </w:t>
      </w:r>
      <w:r>
        <w:rPr>
          <w:rStyle w:val="DataTypeTok"/>
        </w:rPr>
        <w:t xml:space="preserve">"spineTexture"</w:t>
      </w:r>
      <w:r>
        <w:rPr>
          <w:rStyle w:val="FunctionTok"/>
        </w:rPr>
        <w:t xml:space="preserve">:</w:t>
      </w:r>
      <w:r>
        <w:rPr>
          <w:rStyle w:val="NormalTok"/>
        </w:rPr>
        <w:t xml:space="preserve"> </w:t>
      </w:r>
      <w:r>
        <w:rPr>
          <w:rStyle w:val="StringTok"/>
        </w:rPr>
        <w:t xml:space="preserve">"ogma://spines/b_01H....webp"</w:t>
      </w:r>
      <w:r>
        <w:rPr>
          <w:rStyle w:val="FunctionTok"/>
        </w:rPr>
        <w:t xml:space="preserve">,</w:t>
      </w:r>
      <w:r>
        <w:br/>
      </w:r>
      <w:r>
        <w:rPr>
          <w:rStyle w:val="NormalTok"/>
        </w:rPr>
        <w:t xml:space="preserve">      </w:t>
      </w:r>
      <w:r>
        <w:rPr>
          <w:rStyle w:val="DataTypeTok"/>
        </w:rPr>
        <w:t xml:space="preserve">"coverTexture"</w:t>
      </w:r>
      <w:r>
        <w:rPr>
          <w:rStyle w:val="FunctionTok"/>
        </w:rPr>
        <w:t xml:space="preserve">:</w:t>
      </w:r>
      <w:r>
        <w:rPr>
          <w:rStyle w:val="NormalTok"/>
        </w:rPr>
        <w:t xml:space="preserve"> </w:t>
      </w:r>
      <w:r>
        <w:rPr>
          <w:rStyle w:val="StringTok"/>
        </w:rPr>
        <w:t xml:space="preserve">"ogma://covers/b_01H....webp"</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"reading"</w:t>
      </w:r>
      <w:r>
        <w:rPr>
          <w:rStyle w:val="FunctionTok"/>
        </w:rPr>
        <w:t xml:space="preserve">,</w:t>
      </w:r>
      <w:r>
        <w:br/>
      </w:r>
      <w:r>
        <w:rPr>
          <w:rStyle w:val="NormalTok"/>
        </w:rPr>
        <w:t xml:space="preserve">      </w:t>
      </w:r>
      <w:r>
        <w:rPr>
          <w:rStyle w:val="DataTypeTok"/>
        </w:rPr>
        <w:t xml:space="preserve">"aiScore"</w:t>
      </w:r>
      <w:r>
        <w:rPr>
          <w:rStyle w:val="FunctionTok"/>
        </w:rPr>
        <w:t xml:space="preserve">:</w:t>
      </w:r>
      <w:r>
        <w:rPr>
          <w:rStyle w:val="NormalTok"/>
        </w:rPr>
        <w:t xml:space="preserve"> </w:t>
      </w:r>
      <w:r>
        <w:rPr>
          <w:rStyle w:val="FloatTok"/>
        </w:rPr>
        <w:t xml:space="preserve">0.82</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JavaScript to C# raises a small set of typed events; no other inbound message type is honoured.</w:t>
      </w:r>
    </w:p>
    <w:p>
      <w:pPr>
        <w:pStyle w:val="SourceCode"/>
      </w:pPr>
      <w:r>
        <w:rPr>
          <w:rStyle w:val="VerbatimChar"/>
        </w:rPr>
        <w:t xml:space="preserve">bookClicked        { bookId }</w:t>
      </w:r>
      <w:r>
        <w:br/>
      </w:r>
      <w:r>
        <w:rPr>
          <w:rStyle w:val="VerbatimChar"/>
        </w:rPr>
        <w:t xml:space="preserve">bookDoubleClicked  { bookId }</w:t>
      </w:r>
      <w:r>
        <w:br/>
      </w:r>
      <w:r>
        <w:rPr>
          <w:rStyle w:val="VerbatimChar"/>
        </w:rPr>
        <w:t xml:space="preserve">bookHovered        { bookId }</w:t>
      </w:r>
      <w:r>
        <w:br/>
      </w:r>
      <w:r>
        <w:rPr>
          <w:rStyle w:val="VerbatimChar"/>
        </w:rPr>
        <w:t xml:space="preserve">cameraChanged      { position, target, zoom }</w:t>
      </w:r>
    </w:p>
    <w:p>
      <w:pPr>
        <w:pStyle w:val="FirstParagraph"/>
      </w:pPr>
      <w:r>
        <w:rPr>
          <w:rStyle w:val="VerbatimChar"/>
        </w:rPr>
        <w:t xml:space="preserve">bookClicked</w:t>
      </w:r>
      <w:r>
        <w:t xml:space="preserve"> </w:t>
      </w:r>
      <w:r>
        <w:t xml:space="preserve">and</w:t>
      </w:r>
      <w:r>
        <w:t xml:space="preserve"> </w:t>
      </w:r>
      <w:r>
        <w:rPr>
          <w:rStyle w:val="VerbatimChar"/>
        </w:rPr>
        <w:t xml:space="preserve">bookDoubleClicked</w:t>
      </w:r>
      <w:r>
        <w:t xml:space="preserve"> </w:t>
      </w:r>
      <w:r>
        <w:t xml:space="preserve">resolve through the catalogue to the shared book-detail surface (FR-CAT-001,</w:t>
      </w:r>
      <w:r>
        <w:t xml:space="preserve"> </w:t>
      </w:r>
      <w:r>
        <w:rPr>
          <w:b/>
          <w:bCs/>
        </w:rPr>
        <w:t xml:space="preserve">UI-3</w:t>
      </w:r>
      <w:r>
        <w:t xml:space="preserve">);</w:t>
      </w:r>
      <w:r>
        <w:t xml:space="preserve"> </w:t>
      </w:r>
      <w:r>
        <w:rPr>
          <w:rStyle w:val="VerbatimChar"/>
        </w:rPr>
        <w:t xml:space="preserve">bookHovered</w:t>
      </w:r>
      <w:r>
        <w:t xml:space="preserve"> </w:t>
      </w:r>
      <w:r>
        <w:t xml:space="preserve">drives lightweight preview affordances;</w:t>
      </w:r>
      <w:r>
        <w:t xml:space="preserve"> </w:t>
      </w:r>
      <w:r>
        <w:rPr>
          <w:rStyle w:val="VerbatimChar"/>
        </w:rPr>
        <w:t xml:space="preserve">cameraChanged</w:t>
      </w:r>
      <w:r>
        <w:t xml:space="preserve"> </w:t>
      </w:r>
      <w:r>
        <w:t xml:space="preserve">lets the native side persist view state. The</w:t>
      </w:r>
      <w:r>
        <w:t xml:space="preserve"> </w:t>
      </w:r>
      <w:r>
        <w:rPr>
          <w:rStyle w:val="VerbatimChar"/>
        </w:rPr>
        <w:t xml:space="preserve">ogma://</w:t>
      </w:r>
      <w:r>
        <w:t xml:space="preserve"> </w:t>
      </w:r>
      <w:r>
        <w:t xml:space="preserve">scheme is the only channel through which the WebView loads local images, and it serves only files inside the sidecar asset folder, never arbitrary disk paths.</w:t>
      </w:r>
    </w:p>
    <w:bookmarkEnd w:id="47"/>
    <w:bookmarkStart w:id="48" w:name="Xbfcb2f8a328551f35f57521f20dbc52e9565793"/>
    <w:p>
      <w:pPr>
        <w:pStyle w:val="Heading2"/>
      </w:pPr>
      <w:r>
        <w:t xml:space="preserve">6.3 Phase 0 Spike Requirements</w:t>
      </w:r>
    </w:p>
    <w:p>
      <w:pPr>
        <w:pStyle w:val="FirstParagraph"/>
      </w:pPr>
      <w:r>
        <w:t xml:space="preserve">The 3D shelf is</w:t>
      </w:r>
      <w:r>
        <w:t xml:space="preserve"> </w:t>
      </w:r>
      <w:r>
        <w:rPr>
          <w:b/>
          <w:bCs/>
        </w:rPr>
        <w:t xml:space="preserve">spike-gated</w:t>
      </w:r>
      <w:r>
        <w:t xml:space="preserve">: it is validated in Phase 0 before the Phase 5 build commits to it, because the native-WebView-WebGL2 bridge is the highest-risk integration in the product. The spike must demonstrate the following on both Windows and macOS.</w:t>
      </w:r>
    </w:p>
    <w:p>
      <w:pPr>
        <w:pStyle w:val="Compact"/>
        <w:numPr>
          <w:ilvl w:val="0"/>
          <w:numId w:val="1009"/>
        </w:numPr>
      </w:pPr>
      <w:r>
        <w:t xml:space="preserve">Load a local</w:t>
      </w:r>
      <w:r>
        <w:t xml:space="preserve"> </w:t>
      </w:r>
      <w:r>
        <w:rPr>
          <w:rStyle w:val="VerbatimChar"/>
        </w:rPr>
        <w:t xml:space="preserve">bookshelf.html</w:t>
      </w:r>
      <w:r>
        <w:t xml:space="preserve"> </w:t>
      </w:r>
      <w:r>
        <w:t xml:space="preserve">in the native WebView on Windows and macOS.</w:t>
      </w:r>
    </w:p>
    <w:p>
      <w:pPr>
        <w:pStyle w:val="Compact"/>
        <w:numPr>
          <w:ilvl w:val="0"/>
          <w:numId w:val="1009"/>
        </w:numPr>
      </w:pPr>
      <w:r>
        <w:t xml:space="preserve">Send 1,000 book records across the bridge and render them.</w:t>
      </w:r>
    </w:p>
    <w:p>
      <w:pPr>
        <w:pStyle w:val="Compact"/>
        <w:numPr>
          <w:ilvl w:val="0"/>
          <w:numId w:val="1009"/>
        </w:numPr>
      </w:pPr>
      <w:r>
        <w:t xml:space="preserve">Round-trip interaction events (</w:t>
      </w:r>
      <w:r>
        <w:rPr>
          <w:rStyle w:val="VerbatimChar"/>
        </w:rPr>
        <w:t xml:space="preserve">bookClicked</w:t>
      </w:r>
      <w:r>
        <w:t xml:space="preserve">,</w:t>
      </w:r>
      <w:r>
        <w:t xml:space="preserve"> </w:t>
      </w:r>
      <w:r>
        <w:rPr>
          <w:rStyle w:val="VerbatimChar"/>
        </w:rPr>
        <w:t xml:space="preserve">bookHovered</w:t>
      </w:r>
      <w:r>
        <w:t xml:space="preserve">,</w:t>
      </w:r>
      <w:r>
        <w:t xml:space="preserve"> </w:t>
      </w:r>
      <w:r>
        <w:rPr>
          <w:rStyle w:val="VerbatimChar"/>
        </w:rPr>
        <w:t xml:space="preserve">cameraChanged</w:t>
      </w:r>
      <w:r>
        <w:t xml:space="preserve">) from JavaScript back to C#.</w:t>
      </w:r>
    </w:p>
    <w:p>
      <w:pPr>
        <w:pStyle w:val="Compact"/>
        <w:numPr>
          <w:ilvl w:val="0"/>
          <w:numId w:val="1009"/>
        </w:numPr>
      </w:pPr>
      <w:r>
        <w:t xml:space="preserve">Load local images through the safe</w:t>
      </w:r>
      <w:r>
        <w:t xml:space="preserve"> </w:t>
      </w:r>
      <w:r>
        <w:rPr>
          <w:rStyle w:val="VerbatimChar"/>
        </w:rPr>
        <w:t xml:space="preserve">ogma://</w:t>
      </w:r>
      <w:r>
        <w:t xml:space="preserve"> </w:t>
      </w:r>
      <w:r>
        <w:t xml:space="preserve">asset scheme.</w:t>
      </w:r>
    </w:p>
    <w:p>
      <w:pPr>
        <w:pStyle w:val="Compact"/>
        <w:numPr>
          <w:ilvl w:val="0"/>
          <w:numId w:val="1009"/>
        </w:numPr>
      </w:pPr>
      <w:r>
        <w:t xml:space="preserve">Confirm WebGL2 is available on the target platforms.</w:t>
      </w:r>
    </w:p>
    <w:p>
      <w:pPr>
        <w:pStyle w:val="Compact"/>
        <w:numPr>
          <w:ilvl w:val="0"/>
          <w:numId w:val="1009"/>
        </w:numPr>
      </w:pPr>
      <w:r>
        <w:t xml:space="preserve">Maintain keyboard focus correctly as focus crosses the native ↔ WebView boundary.</w:t>
      </w:r>
    </w:p>
    <w:p>
      <w:pPr>
        <w:pStyle w:val="Compact"/>
        <w:numPr>
          <w:ilvl w:val="0"/>
          <w:numId w:val="1009"/>
        </w:numPr>
      </w:pPr>
      <w:r>
        <w:t xml:space="preserve">Measure sustained frame rate at scenes of 100, 500, 1,000, and 2,000 books.</w:t>
      </w:r>
    </w:p>
    <w:p>
      <w:pPr>
        <w:pStyle w:val="FirstParagraph"/>
      </w:pPr>
      <w:r>
        <w:t xml:space="preserve">The 60-FPS target for a 500-book scene (</w:t>
      </w:r>
      <w:r>
        <w:rPr>
          <w:b/>
          <w:bCs/>
        </w:rPr>
        <w:t xml:space="preserve">NFR-OGMA-006</w:t>
      </w:r>
      <w:r>
        <w:t xml:space="preserve">) is validated against the 500-book measurement; the 1,000- and 2,000-book measurements establish the degradation curve and inform the point at which the shelf falls back to a paged or grid presentation.</w:t>
      </w:r>
    </w:p>
    <w:bookmarkEnd w:id="48"/>
    <w:bookmarkStart w:id="49" w:name="X77211bf9e1f08414db5f904fa4867f634345fa1"/>
    <w:p>
      <w:pPr>
        <w:pStyle w:val="Heading2"/>
      </w:pPr>
      <w:r>
        <w:t xml:space="preserve">6.4 Accessibility Fallback</w:t>
      </w:r>
    </w:p>
    <w:p>
      <w:pPr>
        <w:pStyle w:val="FirstParagraph"/>
      </w:pPr>
      <w:r>
        <w:t xml:space="preserve">The 3D shelf is one of four browsing modes, never the only path to a book. Where WebGL2 is unavailable, or where a screen-reader or keyboard-only user requires it, the application falls back to the</w:t>
      </w:r>
      <w:r>
        <w:t xml:space="preserve"> </w:t>
      </w:r>
      <w:r>
        <w:rPr>
          <w:b/>
          <w:bCs/>
        </w:rPr>
        <w:t xml:space="preserve">grid</w:t>
      </w:r>
      <w:r>
        <w:t xml:space="preserve"> </w:t>
      </w:r>
      <w:r>
        <w:t xml:space="preserve">or</w:t>
      </w:r>
      <w:r>
        <w:t xml:space="preserve"> </w:t>
      </w:r>
      <w:r>
        <w:rPr>
          <w:b/>
          <w:bCs/>
        </w:rPr>
        <w:t xml:space="preserve">list</w:t>
      </w:r>
      <w:r>
        <w:t xml:space="preserve"> </w:t>
      </w:r>
      <w:r>
        <w:t xml:space="preserve">view without loss of catalogue function (</w:t>
      </w:r>
      <w:r>
        <w:rPr>
          <w:b/>
          <w:bCs/>
        </w:rPr>
        <w:t xml:space="preserve">UI-3</w:t>
      </w:r>
      <w:r>
        <w:t xml:space="preserve">,</w:t>
      </w:r>
      <w:r>
        <w:t xml:space="preserve"> </w:t>
      </w:r>
      <w:r>
        <w:rPr>
          <w:b/>
          <w:bCs/>
        </w:rPr>
        <w:t xml:space="preserve">DEP-3</w:t>
      </w:r>
      <w:r>
        <w:t xml:space="preserve">). The grid and list views remain first-class and fully keyboard- and screen-reader-operable per</w:t>
      </w:r>
      <w:r>
        <w:t xml:space="preserve"> </w:t>
      </w:r>
      <w:r>
        <w:rPr>
          <w:b/>
          <w:bCs/>
        </w:rPr>
        <w:t xml:space="preserve">NFR-PROD-007</w:t>
      </w:r>
      <w:r>
        <w:t xml:space="preserve"> </w:t>
      </w:r>
      <w:r>
        <w:t xml:space="preserve">and</w:t>
      </w:r>
      <w:r>
        <w:t xml:space="preserve"> </w:t>
      </w:r>
      <w:r>
        <w:rPr>
          <w:b/>
          <w:bCs/>
        </w:rPr>
        <w:t xml:space="preserve">NFR-PROD-008</w:t>
      </w:r>
      <w:r>
        <w:t xml:space="preserve">, so the 3D surface is an enhancement layered on an accessible core rather than a gate in front of it. This satisfies the vision principle that 3D is functional, not a gimmick, and that grid and list remain first-class.</w:t>
      </w:r>
    </w:p>
    <w:p>
      <w:pPr>
        <w:pStyle w:val="BodyText"/>
      </w:pPr>
      <w:r>
        <w:t xml:space="preserve">\newpage</w:t>
      </w:r>
    </w:p>
    <w:bookmarkEnd w:id="49"/>
    <w:bookmarkEnd w:id="50"/>
    <w:bookmarkStart w:id="56" w:name="X4a4adfdd7ff51efa87094cfe82b2d1b9971f157"/>
    <w:p>
      <w:pPr>
        <w:pStyle w:val="Heading1"/>
      </w:pPr>
      <w:r>
        <w:t xml:space="preserve">7. AI Architecture</w:t>
      </w:r>
    </w:p>
    <w:bookmarkStart w:id="51" w:name="X552bdb89de8339727f67bfdda29bea39d5ccc12"/>
    <w:p>
      <w:pPr>
        <w:pStyle w:val="Heading2"/>
      </w:pPr>
      <w:r>
        <w:t xml:space="preserve">7.1 Provider-Neutral Gateway</w:t>
      </w:r>
    </w:p>
    <w:p>
      <w:pPr>
        <w:pStyle w:val="FirstParagraph"/>
      </w:pPr>
      <w:r>
        <w:t xml:space="preserve">All AI calls route through a single provider-neutral gateway. No UI or feature-module code calls a provider directly (</w:t>
      </w:r>
      <w:r>
        <w:rPr>
          <w:b/>
          <w:bCs/>
        </w:rPr>
        <w:t xml:space="preserve">SI-1</w:t>
      </w:r>
      <w:r>
        <w:t xml:space="preserve">); the gateway is the one enforceable network-egress chokepoint for AI traffic. The gateway abstracts every provider — OpenAI, Anthropic-compatible, DeepSeek-compatible, and local Ollama — behind one interface (FR-AI-002), so providers are interchangeable and a new provider is added without touching advisor logic.</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IAiProvider</w:t>
      </w:r>
      <w:r>
        <w:br/>
      </w:r>
      <w:r>
        <w:rPr>
          <w:rStyle w:val="OperatorTok"/>
        </w:rPr>
        <w:t xml:space="preserve">{</w:t>
      </w:r>
      <w:r>
        <w:br/>
      </w:r>
      <w:r>
        <w:rPr>
          <w:rStyle w:val="NormalTok"/>
        </w:rPr>
        <w:t xml:space="preserve">    Task</w:t>
      </w:r>
      <w:r>
        <w:rPr>
          <w:rStyle w:val="OperatorTok"/>
        </w:rPr>
        <w:t xml:space="preserve">&lt;</w:t>
      </w:r>
      <w:r>
        <w:rPr>
          <w:rStyle w:val="NormalTok"/>
        </w:rPr>
        <w:t xml:space="preserve">CompletionResult</w:t>
      </w:r>
      <w:r>
        <w:rPr>
          <w:rStyle w:val="OperatorTok"/>
        </w:rPr>
        <w:t xml:space="preserve">&gt;</w:t>
      </w:r>
      <w:r>
        <w:rPr>
          <w:rStyle w:val="NormalTok"/>
        </w:rPr>
        <w:t xml:space="preserve"> </w:t>
      </w:r>
      <w:r>
        <w:rPr>
          <w:rStyle w:val="FunctionTok"/>
        </w:rPr>
        <w:t xml:space="preserve">CompleteAsync</w:t>
      </w:r>
      <w:r>
        <w:rPr>
          <w:rStyle w:val="OperatorTok"/>
        </w:rPr>
        <w:t xml:space="preserve">(</w:t>
      </w:r>
      <w:r>
        <w:rPr>
          <w:rStyle w:val="NormalTok"/>
        </w:rPr>
        <w:t xml:space="preserve">AiRequest request</w:t>
      </w:r>
      <w:r>
        <w:rPr>
          <w:rStyle w:val="OperatorTok"/>
        </w:rPr>
        <w:t xml:space="preserve">,</w:t>
      </w:r>
      <w:r>
        <w:rPr>
          <w:rStyle w:val="NormalTok"/>
        </w:rPr>
        <w:t xml:space="preserve"> CancellationToken ct</w:t>
      </w:r>
      <w:r>
        <w:rPr>
          <w:rStyle w:val="OperatorTok"/>
        </w:rPr>
        <w:t xml:space="preserve">);</w:t>
      </w:r>
      <w:r>
        <w:br/>
      </w:r>
      <w:r>
        <w:rPr>
          <w:rStyle w:val="NormalTok"/>
        </w:rPr>
        <w:t xml:space="preserve">    Task</w:t>
      </w:r>
      <w:r>
        <w:rPr>
          <w:rStyle w:val="OperatorTok"/>
        </w:rPr>
        <w:t xml:space="preserve">&lt;</w:t>
      </w:r>
      <w:r>
        <w:rPr>
          <w:rStyle w:val="NormalTok"/>
        </w:rPr>
        <w:t xml:space="preserve">EmbeddingResult</w:t>
      </w:r>
      <w:r>
        <w:rPr>
          <w:rStyle w:val="OperatorTok"/>
        </w:rPr>
        <w:t xml:space="preserve">&gt;</w:t>
      </w:r>
      <w:r>
        <w:rPr>
          <w:rStyle w:val="NormalTok"/>
        </w:rPr>
        <w:t xml:space="preserve"> </w:t>
      </w:r>
      <w:r>
        <w:rPr>
          <w:rStyle w:val="FunctionTok"/>
        </w:rPr>
        <w:t xml:space="preserve">EmbedAsync</w:t>
      </w:r>
      <w:r>
        <w:rPr>
          <w:rStyle w:val="OperatorTok"/>
        </w:rPr>
        <w:t xml:space="preserve">(</w:t>
      </w:r>
      <w:r>
        <w:rPr>
          <w:rStyle w:val="NormalTok"/>
        </w:rPr>
        <w:t xml:space="preserve">EmbeddingRequest request</w:t>
      </w:r>
      <w:r>
        <w:rPr>
          <w:rStyle w:val="OperatorTok"/>
        </w:rPr>
        <w:t xml:space="preserve">,</w:t>
      </w:r>
      <w:r>
        <w:rPr>
          <w:rStyle w:val="NormalTok"/>
        </w:rPr>
        <w:t xml:space="preserve"> CancellationToken ct</w:t>
      </w:r>
      <w:r>
        <w:rPr>
          <w:rStyle w:val="OperatorTok"/>
        </w:rPr>
        <w:t xml:space="preserve">);</w:t>
      </w:r>
      <w:r>
        <w:br/>
      </w:r>
      <w:r>
        <w:rPr>
          <w:rStyle w:val="NormalTok"/>
        </w:rPr>
        <w:t xml:space="preserve">    Task</w:t>
      </w:r>
      <w:r>
        <w:rPr>
          <w:rStyle w:val="OperatorTok"/>
        </w:rPr>
        <w:t xml:space="preserve">&lt;</w:t>
      </w:r>
      <w:r>
        <w:rPr>
          <w:rStyle w:val="NormalTok"/>
        </w:rPr>
        <w:t xml:space="preserve">ValidationResult</w:t>
      </w:r>
      <w:r>
        <w:rPr>
          <w:rStyle w:val="OperatorTok"/>
        </w:rPr>
        <w:t xml:space="preserve">&gt;</w:t>
      </w:r>
      <w:r>
        <w:rPr>
          <w:rStyle w:val="NormalTok"/>
        </w:rPr>
        <w:t xml:space="preserve"> </w:t>
      </w:r>
      <w:r>
        <w:rPr>
          <w:rStyle w:val="FunctionTok"/>
        </w:rPr>
        <w:t xml:space="preserve">ValidateCredentialsAsync</w:t>
      </w:r>
      <w:r>
        <w:rPr>
          <w:rStyle w:val="OperatorTok"/>
        </w:rPr>
        <w:t xml:space="preserve">(</w:t>
      </w:r>
      <w:r>
        <w:rPr>
          <w:rStyle w:val="NormalTok"/>
        </w:rPr>
        <w:t xml:space="preserve">CancellationToken ct</w:t>
      </w:r>
      <w:r>
        <w:rPr>
          <w:rStyle w:val="OperatorTok"/>
        </w:rPr>
        <w:t xml:space="preserve">);</w:t>
      </w:r>
      <w:r>
        <w:br/>
      </w:r>
      <w:r>
        <w:rPr>
          <w:rStyle w:val="NormalTok"/>
        </w:rPr>
        <w:t xml:space="preserve">    CostEstimate </w:t>
      </w:r>
      <w:r>
        <w:rPr>
          <w:rStyle w:val="FunctionTok"/>
        </w:rPr>
        <w:t xml:space="preserve">EstimateCost</w:t>
      </w:r>
      <w:r>
        <w:rPr>
          <w:rStyle w:val="OperatorTok"/>
        </w:rPr>
        <w:t xml:space="preserve">(</w:t>
      </w:r>
      <w:r>
        <w:rPr>
          <w:rStyle w:val="NormalTok"/>
        </w:rPr>
        <w:t xml:space="preserve">AiRequest request</w:t>
      </w:r>
      <w:r>
        <w:rPr>
          <w:rStyle w:val="OperatorTok"/>
        </w:rPr>
        <w:t xml:space="preserve">);</w:t>
      </w:r>
      <w:r>
        <w:br/>
      </w:r>
      <w:r>
        <w:rPr>
          <w:rStyle w:val="OperatorTok"/>
        </w:rPr>
        <w:t xml:space="preserve">}</w:t>
      </w:r>
    </w:p>
    <w:p>
      <w:pPr>
        <w:pStyle w:val="FirstParagraph"/>
      </w:pPr>
      <w:r>
        <w:rPr>
          <w:rStyle w:val="VerbatimChar"/>
        </w:rPr>
        <w:t xml:space="preserve">EstimateCost</w:t>
      </w:r>
      <w:r>
        <w:t xml:space="preserve"> </w:t>
      </w:r>
      <w:r>
        <w:t xml:space="preserve">and the per-call usage returned by</w:t>
      </w:r>
      <w:r>
        <w:t xml:space="preserve"> </w:t>
      </w:r>
      <w:r>
        <w:rPr>
          <w:rStyle w:val="VerbatimChar"/>
        </w:rPr>
        <w:t xml:space="preserve">CompleteAsync</w:t>
      </w:r>
      <w:r>
        <w:t xml:space="preserve"> </w:t>
      </w:r>
      <w:r>
        <w:t xml:space="preserve">feed the visible model-usage and cost estimate per cloud call (FR-AI-010).</w:t>
      </w:r>
      <w:r>
        <w:t xml:space="preserve"> </w:t>
      </w:r>
      <w:r>
        <w:rPr>
          <w:rStyle w:val="VerbatimChar"/>
        </w:rPr>
        <w:t xml:space="preserve">ValidateCredentialsAsync</w:t>
      </w:r>
      <w:r>
        <w:t xml:space="preserve"> </w:t>
      </w:r>
      <w:r>
        <w:t xml:space="preserve">lets Settings &amp; Security confirm a provider key without performing a billable request.</w:t>
      </w:r>
    </w:p>
    <w:bookmarkEnd w:id="51"/>
    <w:bookmarkStart w:id="52" w:name="Xc0c83f751d315e1b5a1104f9afd32e6af026f4f"/>
    <w:p>
      <w:pPr>
        <w:pStyle w:val="Heading2"/>
      </w:pPr>
      <w:r>
        <w:t xml:space="preserve">7.2 Advisor and Privacy Services</w:t>
      </w:r>
    </w:p>
    <w:p>
      <w:pPr>
        <w:pStyle w:val="FirstParagraph"/>
      </w:pPr>
      <w:r>
        <w:t xml:space="preserve">Two application services sit above the gateway: the advisor orchestrates recommendation work, and the privacy service enforces what may leave the device. The advisor never persists directly to the catalogue store; it persists query history through an application use case, honouring the AI Advisor context's must-not-own-database-writes rule (Section 3).</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IAiAdvisorService</w:t>
      </w:r>
      <w:r>
        <w:br/>
      </w:r>
      <w:r>
        <w:rPr>
          <w:rStyle w:val="OperatorTok"/>
        </w:rPr>
        <w:t xml:space="preserve">{</w:t>
      </w:r>
      <w:r>
        <w:br/>
      </w:r>
      <w:r>
        <w:rPr>
          <w:rStyle w:val="NormalTok"/>
        </w:rPr>
        <w:t xml:space="preserve">    Task</w:t>
      </w:r>
      <w:r>
        <w:rPr>
          <w:rStyle w:val="OperatorTok"/>
        </w:rPr>
        <w:t xml:space="preserve">&lt;</w:t>
      </w:r>
      <w:r>
        <w:rPr>
          <w:rStyle w:val="NormalTok"/>
        </w:rPr>
        <w:t xml:space="preserve">CandidateSet</w:t>
      </w:r>
      <w:r>
        <w:rPr>
          <w:rStyle w:val="OperatorTok"/>
        </w:rPr>
        <w:t xml:space="preserve">&gt;</w:t>
      </w:r>
      <w:r>
        <w:rPr>
          <w:rStyle w:val="NormalTok"/>
        </w:rPr>
        <w:t xml:space="preserve"> </w:t>
      </w:r>
      <w:r>
        <w:rPr>
          <w:rStyle w:val="FunctionTok"/>
        </w:rPr>
        <w:t xml:space="preserve">BuildCandidateSet</w:t>
      </w:r>
      <w:r>
        <w:rPr>
          <w:rStyle w:val="OperatorTok"/>
        </w:rPr>
        <w:t xml:space="preserve">(</w:t>
      </w:r>
      <w:r>
        <w:rPr>
          <w:rStyle w:val="NormalTok"/>
        </w:rPr>
        <w:t xml:space="preserve">AdvisorQuery query</w:t>
      </w:r>
      <w:r>
        <w:rPr>
          <w:rStyle w:val="OperatorTok"/>
        </w:rPr>
        <w:t xml:space="preserve">,</w:t>
      </w:r>
      <w:r>
        <w:rPr>
          <w:rStyle w:val="NormalTok"/>
        </w:rPr>
        <w:t xml:space="preserve"> CancellationToken ct</w:t>
      </w:r>
      <w:r>
        <w:rPr>
          <w:rStyle w:val="OperatorTok"/>
        </w:rPr>
        <w:t xml:space="preserve">);</w:t>
      </w:r>
      <w:r>
        <w:br/>
      </w:r>
      <w:r>
        <w:rPr>
          <w:rStyle w:val="NormalTok"/>
        </w:rPr>
        <w:t xml:space="preserve">    Task</w:t>
      </w:r>
      <w:r>
        <w:rPr>
          <w:rStyle w:val="OperatorTok"/>
        </w:rPr>
        <w:t xml:space="preserve">&lt;</w:t>
      </w:r>
      <w:r>
        <w:rPr>
          <w:rStyle w:val="NormalTok"/>
        </w:rPr>
        <w:t xml:space="preserve">RankedResults</w:t>
      </w:r>
      <w:r>
        <w:rPr>
          <w:rStyle w:val="OperatorTok"/>
        </w:rPr>
        <w:t xml:space="preserve">&gt;</w:t>
      </w:r>
      <w:r>
        <w:rPr>
          <w:rStyle w:val="NormalTok"/>
        </w:rPr>
        <w:t xml:space="preserve"> </w:t>
      </w:r>
      <w:r>
        <w:rPr>
          <w:rStyle w:val="FunctionTok"/>
        </w:rPr>
        <w:t xml:space="preserve">RankCandidates</w:t>
      </w:r>
      <w:r>
        <w:rPr>
          <w:rStyle w:val="OperatorTok"/>
        </w:rPr>
        <w:t xml:space="preserve">(</w:t>
      </w:r>
      <w:r>
        <w:rPr>
          <w:rStyle w:val="NormalTok"/>
        </w:rPr>
        <w:t xml:space="preserve">CandidateSet candidates</w:t>
      </w:r>
      <w:r>
        <w:rPr>
          <w:rStyle w:val="OperatorTok"/>
        </w:rPr>
        <w:t xml:space="preserve">,</w:t>
      </w:r>
      <w:r>
        <w:rPr>
          <w:rStyle w:val="NormalTok"/>
        </w:rPr>
        <w:t xml:space="preserve"> CancellationToken ct</w:t>
      </w:r>
      <w:r>
        <w:rPr>
          <w:rStyle w:val="OperatorTok"/>
        </w:rPr>
        <w:t xml:space="preserve">);</w:t>
      </w:r>
      <w:r>
        <w:br/>
      </w:r>
      <w:r>
        <w:rPr>
          <w:rStyle w:val="NormalTok"/>
        </w:rPr>
        <w:t xml:space="preserve">    Task</w:t>
      </w:r>
      <w:r>
        <w:rPr>
          <w:rStyle w:val="OperatorTok"/>
        </w:rPr>
        <w:t xml:space="preserve">&lt;</w:t>
      </w:r>
      <w:r>
        <w:rPr>
          <w:rStyle w:val="NormalTok"/>
        </w:rPr>
        <w:t xml:space="preserve">Explanations</w:t>
      </w:r>
      <w:r>
        <w:rPr>
          <w:rStyle w:val="OperatorTok"/>
        </w:rPr>
        <w:t xml:space="preserve">&gt;</w:t>
      </w:r>
      <w:r>
        <w:rPr>
          <w:rStyle w:val="NormalTok"/>
        </w:rPr>
        <w:t xml:space="preserve"> </w:t>
      </w:r>
      <w:r>
        <w:rPr>
          <w:rStyle w:val="FunctionTok"/>
        </w:rPr>
        <w:t xml:space="preserve">GenerateExplanations</w:t>
      </w:r>
      <w:r>
        <w:rPr>
          <w:rStyle w:val="OperatorTok"/>
        </w:rPr>
        <w:t xml:space="preserve">(</w:t>
      </w:r>
      <w:r>
        <w:rPr>
          <w:rStyle w:val="NormalTok"/>
        </w:rPr>
        <w:t xml:space="preserve">RankedResults results</w:t>
      </w:r>
      <w:r>
        <w:rPr>
          <w:rStyle w:val="OperatorTok"/>
        </w:rPr>
        <w:t xml:space="preserve">,</w:t>
      </w:r>
      <w:r>
        <w:rPr>
          <w:rStyle w:val="NormalTok"/>
        </w:rPr>
        <w:t xml:space="preserve"> CancellationToken ct</w:t>
      </w:r>
      <w:r>
        <w:rPr>
          <w:rStyle w:val="OperatorTok"/>
        </w:rPr>
        <w:t xml:space="preserve">);</w:t>
      </w:r>
      <w:r>
        <w:br/>
      </w:r>
      <w:r>
        <w:rPr>
          <w:rStyle w:val="NormalTok"/>
        </w:rPr>
        <w:t xml:space="preserve">    Task</w:t>
      </w:r>
      <w:r>
        <w:rPr>
          <w:rStyle w:val="OperatorTok"/>
        </w:rPr>
        <w:t xml:space="preserve">&lt;</w:t>
      </w:r>
      <w:r>
        <w:rPr>
          <w:rStyle w:val="NormalTok"/>
        </w:rPr>
        <w:t xml:space="preserve">ReadingPlan</w:t>
      </w:r>
      <w:r>
        <w:rPr>
          <w:rStyle w:val="OperatorTok"/>
        </w:rPr>
        <w:t xml:space="preserve">&gt;</w:t>
      </w:r>
      <w:r>
        <w:rPr>
          <w:rStyle w:val="NormalTok"/>
        </w:rPr>
        <w:t xml:space="preserve"> </w:t>
      </w:r>
      <w:r>
        <w:rPr>
          <w:rStyle w:val="FunctionTok"/>
        </w:rPr>
        <w:t xml:space="preserve">GenerateReadingPlan</w:t>
      </w:r>
      <w:r>
        <w:rPr>
          <w:rStyle w:val="OperatorTok"/>
        </w:rPr>
        <w:t xml:space="preserve">(</w:t>
      </w:r>
      <w:r>
        <w:rPr>
          <w:rStyle w:val="NormalTok"/>
        </w:rPr>
        <w:t xml:space="preserve">AdvisorQuery query</w:t>
      </w:r>
      <w:r>
        <w:rPr>
          <w:rStyle w:val="OperatorTok"/>
        </w:rPr>
        <w:t xml:space="preserve">,</w:t>
      </w:r>
      <w:r>
        <w:rPr>
          <w:rStyle w:val="NormalTok"/>
        </w:rPr>
        <w:t xml:space="preserve"> CancellationToken ct</w:t>
      </w:r>
      <w:r>
        <w:rPr>
          <w:rStyle w:val="OperatorTok"/>
        </w:rPr>
        <w:t xml:space="preserve">);</w:t>
      </w:r>
      <w:r>
        <w:br/>
      </w:r>
      <w:r>
        <w:rPr>
          <w:rStyle w:val="NormalTok"/>
        </w:rPr>
        <w:t xml:space="preserve">    Task </w:t>
      </w:r>
      <w:r>
        <w:rPr>
          <w:rStyle w:val="FunctionTok"/>
        </w:rPr>
        <w:t xml:space="preserve">PersistQueryHistory</w:t>
      </w:r>
      <w:r>
        <w:rPr>
          <w:rStyle w:val="OperatorTok"/>
        </w:rPr>
        <w:t xml:space="preserve">(</w:t>
      </w:r>
      <w:r>
        <w:rPr>
          <w:rStyle w:val="NormalTok"/>
        </w:rPr>
        <w:t xml:space="preserve">AdvisorQuery query</w:t>
      </w:r>
      <w:r>
        <w:rPr>
          <w:rStyle w:val="OperatorTok"/>
        </w:rPr>
        <w:t xml:space="preserve">,</w:t>
      </w:r>
      <w:r>
        <w:rPr>
          <w:rStyle w:val="NormalTok"/>
        </w:rPr>
        <w:t xml:space="preserve"> RankedResults results</w:t>
      </w:r>
      <w:r>
        <w:rPr>
          <w:rStyle w:val="OperatorTok"/>
        </w:rPr>
        <w:t xml:space="preserve">,</w:t>
      </w:r>
      <w:r>
        <w:rPr>
          <w:rStyle w:val="NormalTok"/>
        </w:rPr>
        <w:t xml:space="preserve"> CancellationToken ct</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interface</w:t>
      </w:r>
      <w:r>
        <w:rPr>
          <w:rStyle w:val="NormalTok"/>
        </w:rPr>
        <w:t xml:space="preserve"> IAiPrivacyService</w:t>
      </w:r>
      <w:r>
        <w:br/>
      </w:r>
      <w:r>
        <w:rPr>
          <w:rStyle w:val="OperatorTok"/>
        </w:rPr>
        <w:t xml:space="preserve">{</w:t>
      </w:r>
      <w:r>
        <w:br/>
      </w:r>
      <w:r>
        <w:rPr>
          <w:rStyle w:val="NormalTok"/>
        </w:rPr>
        <w:t xml:space="preserve">    PayloadPreview </w:t>
      </w:r>
      <w:r>
        <w:rPr>
          <w:rStyle w:val="FunctionTok"/>
        </w:rPr>
        <w:t xml:space="preserve">BuildPayloadPreview</w:t>
      </w:r>
      <w:r>
        <w:rPr>
          <w:rStyle w:val="OperatorTok"/>
        </w:rPr>
        <w:t xml:space="preserve">(</w:t>
      </w:r>
      <w:r>
        <w:rPr>
          <w:rStyle w:val="NormalTok"/>
        </w:rPr>
        <w:t xml:space="preserve">AiRequest request</w:t>
      </w:r>
      <w:r>
        <w:rPr>
          <w:rStyle w:val="OperatorTok"/>
        </w:rPr>
        <w:t xml:space="preserve">,</w:t>
      </w:r>
      <w:r>
        <w:rPr>
          <w:rStyle w:val="NormalTok"/>
        </w:rPr>
        <w:t xml:space="preserve"> PrivacyTier tier</w:t>
      </w:r>
      <w:r>
        <w:rPr>
          <w:rStyle w:val="OperatorTok"/>
        </w:rPr>
        <w:t xml:space="preserve">);</w:t>
      </w:r>
      <w:r>
        <w:br/>
      </w:r>
      <w:r>
        <w:rPr>
          <w:rStyle w:val="NormalTok"/>
        </w:rPr>
        <w:t xml:space="preserve">    AiRequest </w:t>
      </w:r>
      <w:r>
        <w:rPr>
          <w:rStyle w:val="FunctionTok"/>
        </w:rPr>
        <w:t xml:space="preserve">EnforceMode</w:t>
      </w:r>
      <w:r>
        <w:rPr>
          <w:rStyle w:val="OperatorTok"/>
        </w:rPr>
        <w:t xml:space="preserve">(</w:t>
      </w:r>
      <w:r>
        <w:rPr>
          <w:rStyle w:val="NormalTok"/>
        </w:rPr>
        <w:t xml:space="preserve">AiRequest request</w:t>
      </w:r>
      <w:r>
        <w:rPr>
          <w:rStyle w:val="OperatorTok"/>
        </w:rPr>
        <w:t xml:space="preserve">,</w:t>
      </w:r>
      <w:r>
        <w:rPr>
          <w:rStyle w:val="NormalTok"/>
        </w:rPr>
        <w:t xml:space="preserve"> PrivacyTier tier</w:t>
      </w:r>
      <w:r>
        <w:rPr>
          <w:rStyle w:val="OperatorTok"/>
        </w:rPr>
        <w:t xml:space="preserve">);</w:t>
      </w:r>
      <w:r>
        <w:br/>
      </w:r>
      <w:r>
        <w:rPr>
          <w:rStyle w:val="NormalTok"/>
        </w:rPr>
        <w:t xml:space="preserve">    AiRequest </w:t>
      </w:r>
      <w:r>
        <w:rPr>
          <w:rStyle w:val="FunctionTok"/>
        </w:rPr>
        <w:t xml:space="preserve">RedactFields</w:t>
      </w:r>
      <w:r>
        <w:rPr>
          <w:rStyle w:val="OperatorTok"/>
        </w:rPr>
        <w:t xml:space="preserve">(</w:t>
      </w:r>
      <w:r>
        <w:rPr>
          <w:rStyle w:val="NormalTok"/>
        </w:rPr>
        <w:t xml:space="preserve">AiRequest request</w:t>
      </w:r>
      <w:r>
        <w:rPr>
          <w:rStyle w:val="OperatorTok"/>
        </w:rPr>
        <w:t xml:space="preserve">,</w:t>
      </w:r>
      <w:r>
        <w:rPr>
          <w:rStyle w:val="NormalTok"/>
        </w:rPr>
        <w:t xml:space="preserve"> PrivacyTier tier</w:t>
      </w:r>
      <w:r>
        <w:rPr>
          <w:rStyle w:val="OperatorTok"/>
        </w:rPr>
        <w:t xml:space="preserve">);</w:t>
      </w:r>
      <w:r>
        <w:br/>
      </w:r>
      <w:r>
        <w:rPr>
          <w:rStyle w:val="NormalTok"/>
        </w:rPr>
        <w:t xml:space="preserve">    Task </w:t>
      </w:r>
      <w:r>
        <w:rPr>
          <w:rStyle w:val="FunctionTok"/>
        </w:rPr>
        <w:t xml:space="preserve">AuditAiCall</w:t>
      </w:r>
      <w:r>
        <w:rPr>
          <w:rStyle w:val="OperatorTok"/>
        </w:rPr>
        <w:t xml:space="preserve">(</w:t>
      </w:r>
      <w:r>
        <w:rPr>
          <w:rStyle w:val="NormalTok"/>
        </w:rPr>
        <w:t xml:space="preserve">AiRequest request</w:t>
      </w:r>
      <w:r>
        <w:rPr>
          <w:rStyle w:val="OperatorTok"/>
        </w:rPr>
        <w:t xml:space="preserve">,</w:t>
      </w:r>
      <w:r>
        <w:rPr>
          <w:rStyle w:val="NormalTok"/>
        </w:rPr>
        <w:t xml:space="preserve"> PrivacyTier tier</w:t>
      </w:r>
      <w:r>
        <w:rPr>
          <w:rStyle w:val="OperatorTok"/>
        </w:rPr>
        <w:t xml:space="preserve">,</w:t>
      </w:r>
      <w:r>
        <w:rPr>
          <w:rStyle w:val="NormalTok"/>
        </w:rPr>
        <w:t xml:space="preserve"> CancellationToken ct</w:t>
      </w:r>
      <w:r>
        <w:rPr>
          <w:rStyle w:val="OperatorTok"/>
        </w:rPr>
        <w:t xml:space="preserve">);</w:t>
      </w:r>
      <w:r>
        <w:br/>
      </w:r>
      <w:r>
        <w:rPr>
          <w:rStyle w:val="OperatorTok"/>
        </w:rPr>
        <w:t xml:space="preserve">}</w:t>
      </w:r>
    </w:p>
    <w:p>
      <w:pPr>
        <w:pStyle w:val="FirstParagraph"/>
      </w:pPr>
      <w:r>
        <w:rPr>
          <w:rStyle w:val="VerbatimChar"/>
        </w:rPr>
        <w:t xml:space="preserve">BuildPayloadPreview</w:t>
      </w:r>
      <w:r>
        <w:t xml:space="preserve"> </w:t>
      </w:r>
      <w:r>
        <w:t xml:space="preserve">produces the exact data that would leave the device for user confirmation (</w:t>
      </w:r>
      <w:r>
        <w:rPr>
          <w:b/>
          <w:bCs/>
        </w:rPr>
        <w:t xml:space="preserve">NFR-PROD-011</w:t>
      </w:r>
      <w:r>
        <w:t xml:space="preserve">);</w:t>
      </w:r>
      <w:r>
        <w:t xml:space="preserve"> </w:t>
      </w:r>
      <w:r>
        <w:rPr>
          <w:rStyle w:val="VerbatimChar"/>
        </w:rPr>
        <w:t xml:space="preserve">EnforceMode</w:t>
      </w:r>
      <w:r>
        <w:t xml:space="preserve"> </w:t>
      </w:r>
      <w:r>
        <w:t xml:space="preserve">and</w:t>
      </w:r>
      <w:r>
        <w:t xml:space="preserve"> </w:t>
      </w:r>
      <w:r>
        <w:rPr>
          <w:rStyle w:val="VerbatimChar"/>
        </w:rPr>
        <w:t xml:space="preserve">RedactFields</w:t>
      </w:r>
      <w:r>
        <w:t xml:space="preserve"> </w:t>
      </w:r>
      <w:r>
        <w:t xml:space="preserve">strip any field the active tier forbids before the request reaches the gateway;</w:t>
      </w:r>
      <w:r>
        <w:t xml:space="preserve"> </w:t>
      </w:r>
      <w:r>
        <w:rPr>
          <w:rStyle w:val="VerbatimChar"/>
        </w:rPr>
        <w:t xml:space="preserve">AuditAiCall</w:t>
      </w:r>
      <w:r>
        <w:t xml:space="preserve"> </w:t>
      </w:r>
      <w:r>
        <w:t xml:space="preserve">writes the off-device audit entry naming provider, purpose, payload scope, and active tier (</w:t>
      </w:r>
      <w:r>
        <w:rPr>
          <w:b/>
          <w:bCs/>
        </w:rPr>
        <w:t xml:space="preserve">CI-3</w:t>
      </w:r>
      <w:r>
        <w:t xml:space="preserve">,</w:t>
      </w:r>
      <w:r>
        <w:t xml:space="preserve"> </w:t>
      </w:r>
      <w:r>
        <w:rPr>
          <w:b/>
          <w:bCs/>
        </w:rPr>
        <w:t xml:space="preserve">NFR-PROD-013</w:t>
      </w:r>
      <w:r>
        <w:t xml:space="preserve">).</w:t>
      </w:r>
    </w:p>
    <w:bookmarkEnd w:id="52"/>
    <w:bookmarkStart w:id="53" w:name="X0feb5fc71682ef4dad8ca4c39413f41ee6d1537"/>
    <w:p>
      <w:pPr>
        <w:pStyle w:val="Heading2"/>
      </w:pPr>
      <w:r>
        <w:t xml:space="preserve">7.3 Privacy Tiers</w:t>
      </w:r>
    </w:p>
    <w:p>
      <w:pPr>
        <w:pStyle w:val="FirstParagraph"/>
      </w:pPr>
      <w:r>
        <w:t xml:space="preserve">The active</w:t>
      </w:r>
      <w:r>
        <w:t xml:space="preserve"> </w:t>
      </w:r>
      <w:r>
        <w:rPr>
          <w:i/>
          <w:iCs/>
        </w:rPr>
        <w:t xml:space="preserve">privacy tier</w:t>
      </w:r>
      <w:r>
        <w:t xml:space="preserve"> </w:t>
      </w:r>
      <w:r>
        <w:t xml:space="preserve">governs what the gateway permits. The default is the most restrictive that still allows a working core.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Off-device payload</w:t>
            </w:r>
          </w:p>
        </w:tc>
        <w:tc>
          <w:tcPr/>
          <w:p>
            <w:pPr>
              <w:pStyle w:val="Compact"/>
            </w:pPr>
            <w:r>
              <w:t xml:space="preserve">Use</w:t>
            </w:r>
          </w:p>
        </w:tc>
      </w:tr>
      <w:tr>
        <w:tc>
          <w:tcPr/>
          <w:p>
            <w:pPr>
              <w:pStyle w:val="Compact"/>
            </w:pPr>
            <w:r>
              <w:t xml:space="preserve">Offline</w:t>
            </w:r>
          </w:p>
        </w:tc>
        <w:tc>
          <w:tcPr/>
          <w:p>
            <w:pPr>
              <w:pStyle w:val="Compact"/>
            </w:pPr>
            <w:r>
              <w:t xml:space="preserve">None</w:t>
            </w:r>
          </w:p>
        </w:tc>
        <w:tc>
          <w:tcPr/>
          <w:p>
            <w:pPr>
              <w:pStyle w:val="Compact"/>
            </w:pPr>
            <w:r>
              <w:t xml:space="preserve">AI disabled; the full core remains functional (FR-AI-001).</w:t>
            </w:r>
          </w:p>
        </w:tc>
      </w:tr>
      <w:tr>
        <w:tc>
          <w:tcPr/>
          <w:p>
            <w:pPr>
              <w:pStyle w:val="Compact"/>
            </w:pPr>
            <w:r>
              <w:t xml:space="preserve">Metadata-only (default)</w:t>
            </w:r>
          </w:p>
        </w:tc>
        <w:tc>
          <w:tcPr/>
          <w:p>
            <w:pPr>
              <w:pStyle w:val="Compact"/>
            </w:pPr>
            <w:r>
              <w:t xml:space="preserve">Title, author, tags, categories, descriptions, notes only when enabled (FR-AI-004)</w:t>
            </w:r>
          </w:p>
        </w:tc>
        <w:tc>
          <w:tcPr/>
          <w:p>
            <w:pPr>
              <w:pStyle w:val="Compact"/>
            </w:pPr>
            <w:r>
              <w:t xml:space="preserve">Recommendation and normalisation that need bibliographic fields, not content.</w:t>
            </w:r>
          </w:p>
        </w:tc>
      </w:tr>
      <w:tr>
        <w:tc>
          <w:tcPr/>
          <w:p>
            <w:pPr>
              <w:pStyle w:val="Compact"/>
            </w:pPr>
            <w:r>
              <w:t xml:space="preserve">Content-aware (opt-in)</w:t>
            </w:r>
          </w:p>
        </w:tc>
        <w:tc>
          <w:tcPr/>
          <w:p>
            <w:pPr>
              <w:pStyle w:val="Compact"/>
            </w:pPr>
            <w:r>
              <w:t xml:space="preserve">Selected document content, per library or per query, with a clear privacy label shown before any chunk is sent (FR-AI-005)</w:t>
            </w:r>
          </w:p>
        </w:tc>
        <w:tc>
          <w:tcPr/>
          <w:p>
            <w:pPr>
              <w:pStyle w:val="Compact"/>
            </w:pPr>
            <w:r>
              <w:t xml:space="preserve">Summarisation and question-answering over consented content.</w:t>
            </w:r>
          </w:p>
        </w:tc>
      </w:tr>
      <w:tr>
        <w:tc>
          <w:tcPr/>
          <w:p>
            <w:pPr>
              <w:pStyle w:val="Compact"/>
            </w:pPr>
            <w:r>
              <w:t xml:space="preserve">Local (Ollama)</w:t>
            </w:r>
          </w:p>
        </w:tc>
        <w:tc>
          <w:tcPr/>
          <w:p>
            <w:pPr>
              <w:pStyle w:val="Compact"/>
            </w:pPr>
            <w:r>
              <w:t xml:space="preserve">None — inference on-device (FR-AI-006)</w:t>
            </w:r>
          </w:p>
        </w:tc>
        <w:tc>
          <w:tcPr/>
          <w:p>
            <w:pPr>
              <w:pStyle w:val="Compact"/>
            </w:pPr>
            <w:r>
              <w:t xml:space="preserve">Content-aware capability with no off-device transmission.</w:t>
            </w:r>
          </w:p>
        </w:tc>
      </w:tr>
    </w:tbl>
    <w:p>
      <w:pPr>
        <w:pStyle w:val="BodyText"/>
      </w:pPr>
      <w:r>
        <w:t xml:space="preserve">A tier change is recorded in the audit trail, and the gateway re-evaluates the permitted payload whenever the tier changes.</w:t>
      </w:r>
    </w:p>
    <w:bookmarkEnd w:id="53"/>
    <w:bookmarkStart w:id="54" w:name="X20ff4e1c61025d7d95106d7a1197bb76eef3a64"/>
    <w:p>
      <w:pPr>
        <w:pStyle w:val="Heading2"/>
      </w:pPr>
      <w:r>
        <w:t xml:space="preserve">7.4 Recommendation Pipeline (MVP / V1 / V2)</w:t>
      </w:r>
    </w:p>
    <w:p>
      <w:pPr>
        <w:pStyle w:val="FirstParagraph"/>
      </w:pPr>
      <w:r>
        <w:t xml:space="preserve">The recommendation pipeline grows in three stages without changing the gateway or the privacy contract.</w:t>
      </w:r>
    </w:p>
    <w:p>
      <w:pPr>
        <w:pStyle w:val="Compact"/>
        <w:numPr>
          <w:ilvl w:val="0"/>
          <w:numId w:val="1010"/>
        </w:numPr>
      </w:pPr>
      <w:r>
        <w:rPr>
          <w:b/>
          <w:bCs/>
        </w:rPr>
        <w:t xml:space="preserve">MVP — metadata-only ranking with explanations.</w:t>
      </w:r>
      <w:r>
        <w:t xml:space="preserve"> </w:t>
      </w:r>
      <w:r>
        <w:t xml:space="preserve">The advisor builds a candidate set from catalogue metadata, ranks it, and generates explanations and confidence (FR-AI-003). No content leaves the device beyond the metadata fields the active tier permits.</w:t>
      </w:r>
    </w:p>
    <w:p>
      <w:pPr>
        <w:pStyle w:val="Compact"/>
        <w:numPr>
          <w:ilvl w:val="0"/>
          <w:numId w:val="1010"/>
        </w:numPr>
      </w:pPr>
      <w:r>
        <w:rPr>
          <w:b/>
          <w:bCs/>
        </w:rPr>
        <w:t xml:space="preserve">V1 — hybrid ranking.</w:t>
      </w:r>
      <w:r>
        <w:t xml:space="preserve"> </w:t>
      </w:r>
      <w:r>
        <w:t xml:space="preserve">The advisor merges three signals — catalogue metadata, FTS5 full-text matches, and semantic similarity over embeddings — through a weighted ranker (FR-SEARCH-005, FR-SEARCH-004), and adds reading-plan generation with sequence, rationale, estimated difficulty, and checkpoints (FR-AI-007).</w:t>
      </w:r>
    </w:p>
    <w:p>
      <w:pPr>
        <w:pStyle w:val="Compact"/>
        <w:numPr>
          <w:ilvl w:val="0"/>
          <w:numId w:val="1010"/>
        </w:numPr>
      </w:pPr>
      <w:r>
        <w:rPr>
          <w:b/>
          <w:bCs/>
        </w:rPr>
        <w:t xml:space="preserve">V2 — research / answer mode.</w:t>
      </w:r>
      <w:r>
        <w:t xml:space="preserve"> </w:t>
      </w:r>
      <w:r>
        <w:t xml:space="preserve">The advisor retrieves local chunks, answers only from the retrieved context, and cites the supporting book, page, chunk, and confidence (FR-AI-008). Answering only from retrieved local context is the architectural guard against unsupported generation.</w:t>
      </w:r>
    </w:p>
    <w:bookmarkEnd w:id="54"/>
    <w:bookmarkStart w:id="55" w:name="Xac1a246005a8b010fb51acb343cde6e5b9f12eb"/>
    <w:p>
      <w:pPr>
        <w:pStyle w:val="Heading2"/>
      </w:pPr>
      <w:r>
        <w:t xml:space="preserve">7.5 Payload Preview and Provider Neutrality</w:t>
      </w:r>
    </w:p>
    <w:p>
      <w:pPr>
        <w:pStyle w:val="FirstParagraph"/>
      </w:pPr>
      <w:r>
        <w:t xml:space="preserve">Two properties hold across all stages and tiers. First, before any off-device request, the privacy service renders a</w:t>
      </w:r>
      <w:r>
        <w:t xml:space="preserve"> </w:t>
      </w:r>
      <w:r>
        <w:rPr>
          <w:b/>
          <w:bCs/>
        </w:rPr>
        <w:t xml:space="preserve">payload preview</w:t>
      </w:r>
      <w:r>
        <w:t xml:space="preserve"> </w:t>
      </w:r>
      <w:r>
        <w:t xml:space="preserve">of the exact content, field set, and destination provider, and the request is sent only after explicit confirmation (</w:t>
      </w:r>
      <w:r>
        <w:rPr>
          <w:b/>
          <w:bCs/>
        </w:rPr>
        <w:t xml:space="preserve">SI-2</w:t>
      </w:r>
      <w:r>
        <w:t xml:space="preserve">,</w:t>
      </w:r>
      <w:r>
        <w:t xml:space="preserve"> </w:t>
      </w:r>
      <w:r>
        <w:rPr>
          <w:b/>
          <w:bCs/>
        </w:rPr>
        <w:t xml:space="preserve">NFR-PROD-011</w:t>
      </w:r>
      <w:r>
        <w:t xml:space="preserve">); the default offline / metadata-only posture means most users never transmit content at all. Second,</w:t>
      </w:r>
      <w:r>
        <w:t xml:space="preserve"> </w:t>
      </w:r>
      <w:r>
        <w:rPr>
          <w:b/>
          <w:bCs/>
        </w:rPr>
        <w:t xml:space="preserve">provider neutrality</w:t>
      </w:r>
      <w:r>
        <w:t xml:space="preserve"> </w:t>
      </w:r>
      <w:r>
        <w:t xml:space="preserve">is structural: because every call passes</w:t>
      </w:r>
      <w:r>
        <w:t xml:space="preserve"> </w:t>
      </w:r>
      <w:r>
        <w:rPr>
          <w:rStyle w:val="VerbatimChar"/>
        </w:rPr>
        <w:t xml:space="preserve">IAiProvider</w:t>
      </w:r>
      <w:r>
        <w:t xml:space="preserve">, swapping OpenAI for an Anthropic-compatible, DeepSeek-compatible, or local Ollama backend is a configuration change in the composition root, and the advisor, privacy, ranking, and reading-plan logic are unchanged. AI query history is stored locally and is erasable per scope (FR-AI-009,</w:t>
      </w:r>
      <w:r>
        <w:t xml:space="preserve"> </w:t>
      </w:r>
      <w:r>
        <w:rPr>
          <w:b/>
          <w:bCs/>
        </w:rPr>
        <w:t xml:space="preserve">NFR-PROD-014</w:t>
      </w:r>
      <w:r>
        <w:t xml:space="preserve">, Section 4 and Section 8).</w:t>
      </w:r>
    </w:p>
    <w:p>
      <w:pPr>
        <w:pStyle w:val="BodyText"/>
      </w:pPr>
      <w:r>
        <w:t xml:space="preserve">\newpage</w:t>
      </w:r>
    </w:p>
    <w:bookmarkEnd w:id="55"/>
    <w:bookmarkEnd w:id="56"/>
    <w:bookmarkStart w:id="67" w:name="X044d93f0db4a9dab99dc304938a06f090b1863e"/>
    <w:p>
      <w:pPr>
        <w:pStyle w:val="Heading1"/>
      </w:pPr>
      <w:r>
        <w:t xml:space="preserve">8. Cross-Cutting Concerns</w:t>
      </w:r>
    </w:p>
    <w:bookmarkStart w:id="63" w:name="X01191e0039498104120ef72434ec50679254e74"/>
    <w:p>
      <w:pPr>
        <w:pStyle w:val="Heading2"/>
      </w:pPr>
      <w:r>
        <w:t xml:space="preserve">8.1 Security Architecture</w:t>
      </w:r>
    </w:p>
    <w:p>
      <w:pPr>
        <w:pStyle w:val="FirstParagraph"/>
      </w:pPr>
      <w:r>
        <w:t xml:space="preserve">The threat model is that of a local-first desktop application: there is no tenant boundary and no inbound server surface (</w:t>
      </w:r>
      <w:r>
        <w:rPr>
          <w:b/>
          <w:bCs/>
        </w:rPr>
        <w:t xml:space="preserve">CI-2</w:t>
      </w:r>
      <w:r>
        <w:t xml:space="preserve">). The dominant risks are leakage of provider secrets, malicious or malformed imported PDFs, path traversal against the configured library root, supply-chain tampering of the installed binary, and silent off-device exfiltration of user content. The Settings &amp; Security context owns the controls below.</w:t>
      </w:r>
    </w:p>
    <w:bookmarkStart w:id="57" w:name="X2c48eb1ce49665947aa637ff287c4462da7ae64"/>
    <w:p>
      <w:pPr>
        <w:pStyle w:val="Heading3"/>
      </w:pPr>
      <w:r>
        <w:t xml:space="preserve">8.1.1 Credential Storage</w:t>
      </w:r>
    </w:p>
    <w:p>
      <w:pPr>
        <w:pStyle w:val="FirstParagraph"/>
      </w:pPr>
      <w:r>
        <w:t xml:space="preserve">Provider keys, tokens, and credentials are stored in</w:t>
      </w:r>
      <w:r>
        <w:t xml:space="preserve"> </w:t>
      </w:r>
      <w:r>
        <w:rPr>
          <w:b/>
          <w:bCs/>
        </w:rPr>
        <w:t xml:space="preserve">OS-native credential storage</w:t>
      </w:r>
      <w:r>
        <w:t xml:space="preserve"> </w:t>
      </w:r>
      <w:r>
        <w:t xml:space="preserve">— Windows Credential Manager / DPAPI, macOS Keychain, Linux Secret Service. They are never written to settings files, the catalogue database, log files, or crash reports, and are redacted from all logs, telemetry, and the audit trail; a correlation identifier, not the key, identifies a provider call. Removing a provider deletes its secret in the same action and records a credential-removal audit entry.</w:t>
      </w:r>
    </w:p>
    <w:bookmarkEnd w:id="57"/>
    <w:bookmarkStart w:id="58" w:name="X56c6719f17885a6a8e54b7f10acc8dd7c550759"/>
    <w:p>
      <w:pPr>
        <w:pStyle w:val="Heading3"/>
      </w:pPr>
      <w:r>
        <w:t xml:space="preserve">8.1.2 Untrusted-PDF Isolation</w:t>
      </w:r>
    </w:p>
    <w:p>
      <w:pPr>
        <w:pStyle w:val="FirstParagraph"/>
      </w:pPr>
      <w:r>
        <w:t xml:space="preserve">All imported PDFs are untrusted input regardless of source. PDF rendering and OCR run within the</w:t>
      </w:r>
      <w:r>
        <w:t xml:space="preserve"> </w:t>
      </w:r>
      <w:r>
        <w:rPr>
          <w:b/>
          <w:bCs/>
        </w:rPr>
        <w:t xml:space="preserve">worker boundary</w:t>
      </w:r>
      <w:r>
        <w:t xml:space="preserve"> </w:t>
      </w:r>
      <w:r>
        <w:t xml:space="preserve">(</w:t>
      </w:r>
      <w:r>
        <w:rPr>
          <w:rStyle w:val="VerbatimChar"/>
        </w:rPr>
        <w:t xml:space="preserve">OgmaLibrary.Workers</w:t>
      </w:r>
      <w:r>
        <w:t xml:space="preserve">), isolated from the catalogue and the credential store, so a parser exploit cannot reach secrets or book identity. Embedded JavaScript and auto-executing actions in documents are disabled by default, and document-initiated external resource fetches are blocked unless the user explicitly enables them. Render and OCR workers enforce time and memory bounds so a malformed document degrades to a per-file failure rather than hanging or crashing the application.</w:t>
      </w:r>
    </w:p>
    <w:bookmarkEnd w:id="58"/>
    <w:bookmarkStart w:id="59" w:name="X0c0e34e15db76c97872bca19f57002b025dd6b6"/>
    <w:p>
      <w:pPr>
        <w:pStyle w:val="Heading3"/>
      </w:pPr>
      <w:r>
        <w:t xml:space="preserve">8.1.3 Path Validation</w:t>
      </w:r>
    </w:p>
    <w:p>
      <w:pPr>
        <w:pStyle w:val="FirstParagraph"/>
      </w:pPr>
      <w:r>
        <w:t xml:space="preserve">Every file operation validates the resolved, canonicalised path against the configured library root; a path resolving outside the root is refused. Symbolic links resolving outside the root are not followed without explicit per-action user consent. Metadata write-back targets only files inside the validated root, preserves the original under the backup-diff-verify-restore protocol (Section 5.1,</w:t>
      </w:r>
      <w:r>
        <w:t xml:space="preserve"> </w:t>
      </w:r>
      <w:r>
        <w:rPr>
          <w:b/>
          <w:bCs/>
        </w:rPr>
        <w:t xml:space="preserve">NFR-PROD-010</w:t>
      </w:r>
      <w:r>
        <w:t xml:space="preserve">), and records a write-back audit entry. Import rejects or quarantines entries whose names attempt directory traversal rather than acting on the traversed path.</w:t>
      </w:r>
    </w:p>
    <w:bookmarkEnd w:id="59"/>
    <w:bookmarkStart w:id="60" w:name="X9bcf2e22ea5b5958d497bd47eaa3453bc1240da"/>
    <w:p>
      <w:pPr>
        <w:pStyle w:val="Heading3"/>
      </w:pPr>
      <w:r>
        <w:t xml:space="preserve">8.1.4 Signed Updates</w:t>
      </w:r>
    </w:p>
    <w:p>
      <w:pPr>
        <w:pStyle w:val="FirstParagraph"/>
      </w:pPr>
      <w:r>
        <w:t xml:space="preserve">All public builds are code-signed (Authenticode on Windows, Developer ID / notarization on macOS). The signature is verified before an update installs; an unsigned or tamper-detected artifact is refused. Update metadata and artifacts are fetched over an authenticated, integrity-checked channel, and the update descriptor is signature-verified independently of transport (</w:t>
      </w:r>
      <w:r>
        <w:rPr>
          <w:b/>
          <w:bCs/>
        </w:rPr>
        <w:t xml:space="preserve">CI-1</w:t>
      </w:r>
      <w:r>
        <w:t xml:space="preserve">,</w:t>
      </w:r>
      <w:r>
        <w:t xml:space="preserve"> </w:t>
      </w:r>
      <w:r>
        <w:rPr>
          <w:b/>
          <w:bCs/>
        </w:rPr>
        <w:t xml:space="preserve">NFR-PROD-012</w:t>
      </w:r>
      <w:r>
        <w:t xml:space="preserve">).</w:t>
      </w:r>
    </w:p>
    <w:bookmarkEnd w:id="60"/>
    <w:bookmarkStart w:id="61" w:name="Xc75797dda61cbefdb4e2850ed628d9420b56bac"/>
    <w:p>
      <w:pPr>
        <w:pStyle w:val="Heading3"/>
      </w:pPr>
      <w:r>
        <w:t xml:space="preserve">8.1.5 Data at Rest</w:t>
      </w:r>
    </w:p>
    <w:p>
      <w:pPr>
        <w:pStyle w:val="FirstParagraph"/>
      </w:pPr>
      <w:r>
        <w:t xml:space="preserve">The catalogue database supports optional encryption at rest, with the key held in OS credential storage rather than beside the database. Backups produced by destructive-operation protection inherit the same at-rest protection and contain no provider secrets.</w:t>
      </w:r>
    </w:p>
    <w:bookmarkEnd w:id="61"/>
    <w:bookmarkStart w:id="62" w:name="Xa3815440cb14de1cc3235d329f57b0e31be868f"/>
    <w:p>
      <w:pPr>
        <w:pStyle w:val="Heading3"/>
      </w:pPr>
      <w:r>
        <w:t xml:space="preserve">8.1.6 Local Audit Trail</w:t>
      </w:r>
    </w:p>
    <w:p>
      <w:pPr>
        <w:pStyle w:val="FirstParagraph"/>
      </w:pPr>
      <w:r>
        <w:t xml:space="preserve">A local, tamper-evident audit log (the AuditEvents table, Section 4.3) records each sensitive action: provider-credential add/change/remove, privacy-tier change, off-device transmission, metadata write-back, bulk destructive operation, and export. Each entry carries action, timestamp, affected scope, and active privacy tier. The log is user-viewable and user-exportable and is not silently truncated (</w:t>
      </w:r>
      <w:r>
        <w:rPr>
          <w:b/>
          <w:bCs/>
        </w:rPr>
        <w:t xml:space="preserve">NFR-PROD-013</w:t>
      </w:r>
      <w:r>
        <w:t xml:space="preserve">).</w:t>
      </w:r>
    </w:p>
    <w:bookmarkEnd w:id="62"/>
    <w:bookmarkEnd w:id="63"/>
    <w:bookmarkStart w:id="64" w:name="Xbbb87e3dd9b3c0c590c0b3ff2b5646fcd10d4d6"/>
    <w:p>
      <w:pPr>
        <w:pStyle w:val="Heading2"/>
      </w:pPr>
      <w:r>
        <w:t xml:space="preserve">8.2 Background-Job and Worker Model</w:t>
      </w:r>
    </w:p>
    <w:p>
      <w:pPr>
        <w:pStyle w:val="FirstParagraph"/>
      </w:pPr>
      <w:r>
        <w:t xml:space="preserve">All long-running work — scan, thumbnail, OCR, indexing, embedding, and enrichment — runs on the background-worker pipeline in</w:t>
      </w:r>
      <w:r>
        <w:t xml:space="preserve"> </w:t>
      </w:r>
      <w:r>
        <w:rPr>
          <w:rStyle w:val="VerbatimChar"/>
        </w:rPr>
        <w:t xml:space="preserve">OgmaLibrary.Workers</w:t>
      </w:r>
      <w:r>
        <w:t xml:space="preserve">, off the UI thread, so no user interaction blocks longer than 100 ms (</w:t>
      </w:r>
      <w:r>
        <w:rPr>
          <w:b/>
          <w:bCs/>
        </w:rPr>
        <w:t xml:space="preserve">NFR-PROD-005</w:t>
      </w:r>
      <w:r>
        <w:t xml:space="preserve">). The pipeline has three properties.</w:t>
      </w:r>
    </w:p>
    <w:p>
      <w:pPr>
        <w:pStyle w:val="Compact"/>
        <w:numPr>
          <w:ilvl w:val="0"/>
          <w:numId w:val="1011"/>
        </w:numPr>
      </w:pPr>
      <w:r>
        <w:rPr>
          <w:b/>
          <w:bCs/>
        </w:rPr>
        <w:t xml:space="preserve">Resumable.</w:t>
      </w:r>
      <w:r>
        <w:t xml:space="preserve"> </w:t>
      </w:r>
      <w:r>
        <w:t xml:space="preserve">Progress is checkpointed per item in the Jobs table; an interrupted import or re-index resumes from the last completed item rather than restarting, and completed work is not duplicated (</w:t>
      </w:r>
      <w:r>
        <w:rPr>
          <w:b/>
          <w:bCs/>
        </w:rPr>
        <w:t xml:space="preserve">NFR-OGMA-009</w:t>
      </w:r>
      <w:r>
        <w:t xml:space="preserve">).</w:t>
      </w:r>
    </w:p>
    <w:p>
      <w:pPr>
        <w:pStyle w:val="Compact"/>
        <w:numPr>
          <w:ilvl w:val="0"/>
          <w:numId w:val="1011"/>
        </w:numPr>
      </w:pPr>
      <w:r>
        <w:rPr>
          <w:b/>
          <w:bCs/>
        </w:rPr>
        <w:t xml:space="preserve">Per-file failure isolation.</w:t>
      </w:r>
      <w:r>
        <w:t xml:space="preserve"> </w:t>
      </w:r>
      <w:r>
        <w:t xml:space="preserve">Each file is an independent unit; a malformed or oversized file fails in isolation with a recorded reason and does not abort the batch. Failures are visible and retryable in the scan-health surface (FR-LIB-005, FR-LIB-007, FR-SEARCH-006).</w:t>
      </w:r>
    </w:p>
    <w:p>
      <w:pPr>
        <w:pStyle w:val="Compact"/>
        <w:numPr>
          <w:ilvl w:val="0"/>
          <w:numId w:val="1011"/>
        </w:numPr>
      </w:pPr>
      <w:r>
        <w:rPr>
          <w:b/>
          <w:bCs/>
        </w:rPr>
        <w:t xml:space="preserve">Bounded.</w:t>
      </w:r>
      <w:r>
        <w:t xml:space="preserve"> </w:t>
      </w:r>
      <w:r>
        <w:t xml:space="preserve">Each item runs under time and memory bounds consistent with the untrusted-document controls above.</w:t>
      </w:r>
    </w:p>
    <w:bookmarkEnd w:id="64"/>
    <w:bookmarkStart w:id="65" w:name="X48efc29c58ede16b2263a064f27b1d1d4460af6"/>
    <w:p>
      <w:pPr>
        <w:pStyle w:val="Heading2"/>
      </w:pPr>
      <w:r>
        <w:t xml:space="preserve">8.3 Observability and Logging</w:t>
      </w:r>
    </w:p>
    <w:p>
      <w:pPr>
        <w:pStyle w:val="FirstParagraph"/>
      </w:pPr>
      <w:r>
        <w:t xml:space="preserve">The application writes structured logs to the</w:t>
      </w:r>
      <w:r>
        <w:t xml:space="preserve"> </w:t>
      </w:r>
      <w:r>
        <w:rPr>
          <w:rStyle w:val="VerbatimChar"/>
        </w:rPr>
        <w:t xml:space="preserve">logs/</w:t>
      </w:r>
      <w:r>
        <w:t xml:space="preserve"> </w:t>
      </w:r>
      <w:r>
        <w:t xml:space="preserve">directory with provider secrets redacted at the sink. Crash and performance telemetry is opt-in and device-local by default; the crash-free session rate (</w:t>
      </w:r>
      <w:r>
        <w:rPr>
          <w:b/>
          <w:bCs/>
        </w:rPr>
        <w:t xml:space="preserve">NFR-PROD-006</w:t>
      </w:r>
      <w:r>
        <w:t xml:space="preserve">) is computed only from opted-in telemetry. Performance budgets (cold-start, catalogue-load, search, page-turn, frame rate) are instrumented so the CI benchmarks in</w:t>
      </w:r>
      <w:r>
        <w:t xml:space="preserve"> </w:t>
      </w:r>
      <w:r>
        <w:rPr>
          <w:rStyle w:val="VerbatimChar"/>
        </w:rPr>
        <w:t xml:space="preserve">OgmaLibrary.Tests</w:t>
      </w:r>
      <w:r>
        <w:t xml:space="preserve"> </w:t>
      </w:r>
      <w:r>
        <w:t xml:space="preserve">can assert them against the NFR thresholds.</w:t>
      </w:r>
    </w:p>
    <w:bookmarkEnd w:id="65"/>
    <w:bookmarkStart w:id="66" w:name="X98cdd595194c59683ff799a3bd71f283f1a21e7"/>
    <w:p>
      <w:pPr>
        <w:pStyle w:val="Heading2"/>
      </w:pPr>
      <w:r>
        <w:t xml:space="preserve">8.4 Update and Migration Safety</w:t>
      </w:r>
    </w:p>
    <w:p>
      <w:pPr>
        <w:pStyle w:val="FirstParagraph"/>
      </w:pPr>
      <w:r>
        <w:t xml:space="preserve">Packaging &amp; Updates owns release channels, signing, the installer, and update checks (Velopack for direct distribution, MSIX on Windows, signed and notarized DMG on macOS). Every catalogue-schema migration is idempotent, snapshots the catalogue to</w:t>
      </w:r>
      <w:r>
        <w:t xml:space="preserve"> </w:t>
      </w:r>
      <w:r>
        <w:rPr>
          <w:rStyle w:val="VerbatimChar"/>
        </w:rPr>
        <w:t xml:space="preserve">assets/backups/</w:t>
      </w:r>
      <w:r>
        <w:t xml:space="preserve"> </w:t>
      </w:r>
      <w:r>
        <w:t xml:space="preserve">before applying, and is reversible to the pre-migration snapshot if post-migration verification fails (</w:t>
      </w:r>
      <w:r>
        <w:rPr>
          <w:b/>
          <w:bCs/>
        </w:rPr>
        <w:t xml:space="preserve">NFR-PROD-012</w:t>
      </w:r>
      <w:r>
        <w:t xml:space="preserve">). This makes a faulty or tampered update unable to corrupt the catalogue irreversibly.</w:t>
      </w:r>
    </w:p>
    <w:p>
      <w:pPr>
        <w:pStyle w:val="BodyText"/>
      </w:pPr>
      <w:r>
        <w:t xml:space="preserve">\newpage</w:t>
      </w:r>
    </w:p>
    <w:bookmarkEnd w:id="66"/>
    <w:bookmarkEnd w:id="67"/>
    <w:bookmarkStart w:id="71" w:name="Xe9995969bea162317c591d4662c0db6432263ad"/>
    <w:p>
      <w:pPr>
        <w:pStyle w:val="Heading1"/>
      </w:pPr>
      <w:r>
        <w:t xml:space="preserve">9. Architecture-to-Requirement Traceability</w:t>
      </w:r>
    </w:p>
    <w:p>
      <w:pPr>
        <w:pStyle w:val="FirstParagraph"/>
      </w:pPr>
      <w:r>
        <w:t xml:space="preserve">This section maps each architectural component to the functional-requirement (FR) groups and the key non-functional requirements (NFRs) it satisfies, so that every component earns its place by serving a baselined requirement and every requirement has an owning component. FR group prefixes are defined in</w:t>
      </w:r>
      <w:r>
        <w:t xml:space="preserve"> </w:t>
      </w:r>
      <w:r>
        <w:rPr>
          <w:rStyle w:val="VerbatimChar"/>
        </w:rPr>
        <w:t xml:space="preserve">_context/features.md</w:t>
      </w:r>
      <w:r>
        <w:t xml:space="preserve">; NFR identifiers are defined in SRS Section 5; interface identifiers (UI, SI, CI) are defined in SRS Section 3.</w:t>
      </w:r>
    </w:p>
    <w:bookmarkStart w:id="68" w:name="Xe1121aa3f24c9d4f7724588fe84ba1230dab252"/>
    <w:p>
      <w:pPr>
        <w:pStyle w:val="Heading2"/>
      </w:pPr>
      <w:r>
        <w:t xml:space="preserve">9.1 Component-to-FR-Group Map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Architecture component</w:t>
            </w:r>
          </w:p>
        </w:tc>
        <w:tc>
          <w:tcPr/>
          <w:p>
            <w:pPr>
              <w:pStyle w:val="Compact"/>
            </w:pPr>
            <w:r>
              <w:t xml:space="preserve">FR groups satisfied</w:t>
            </w:r>
          </w:p>
        </w:tc>
        <w:tc>
          <w:tcPr/>
          <w:p>
            <w:pPr>
              <w:pStyle w:val="Compact"/>
            </w:pPr>
            <w:r>
              <w:t xml:space="preserve">Key interfaces</w:t>
            </w:r>
          </w:p>
        </w:tc>
      </w:tr>
      <w:tr>
        <w:tc>
          <w:tcPr/>
          <w:p>
            <w:pPr>
              <w:pStyle w:val="Compact"/>
            </w:pPr>
            <w:r>
              <w:t xml:space="preserve">Library Catalogue context (Section 3)</w:t>
            </w:r>
          </w:p>
        </w:tc>
        <w:tc>
          <w:tcPr/>
          <w:p>
            <w:pPr>
              <w:pStyle w:val="Compact"/>
            </w:pPr>
            <w:r>
              <w:t xml:space="preserve">LIB, CAT, META</w:t>
            </w:r>
          </w:p>
        </w:tc>
        <w:tc>
          <w:tcPr/>
          <w:p>
            <w:pPr>
              <w:pStyle w:val="Compact"/>
            </w:pPr>
            <w:r>
              <w:t xml:space="preserve">UI-1</w:t>
            </w:r>
          </w:p>
        </w:tc>
      </w:tr>
      <w:tr>
        <w:tc>
          <w:tcPr/>
          <w:p>
            <w:pPr>
              <w:pStyle w:val="Compact"/>
            </w:pPr>
            <w:r>
              <w:t xml:space="preserve">Ingestion Pipeline + Workers (Sections 5, 8.2)</w:t>
            </w:r>
          </w:p>
        </w:tc>
        <w:tc>
          <w:tcPr/>
          <w:p>
            <w:pPr>
              <w:pStyle w:val="Compact"/>
            </w:pPr>
            <w:r>
              <w:t xml:space="preserve">LIB</w:t>
            </w:r>
          </w:p>
        </w:tc>
        <w:tc>
          <w:tcPr/>
          <w:p>
            <w:pPr>
              <w:pStyle w:val="Compact"/>
            </w:pPr>
            <w:r>
              <w:t xml:space="preserve">—</w:t>
            </w:r>
          </w:p>
        </w:tc>
      </w:tr>
      <w:tr>
        <w:tc>
          <w:tcPr/>
          <w:p>
            <w:pPr>
              <w:pStyle w:val="Compact"/>
            </w:pPr>
            <w:r>
              <w:t xml:space="preserve">Metadata Enrichment context (Sections 3, 5.1)</w:t>
            </w:r>
          </w:p>
        </w:tc>
        <w:tc>
          <w:tcPr/>
          <w:p>
            <w:pPr>
              <w:pStyle w:val="Compact"/>
            </w:pPr>
            <w:r>
              <w:t xml:space="preserve">META</w:t>
            </w:r>
          </w:p>
        </w:tc>
        <w:tc>
          <w:tcPr/>
          <w:p>
            <w:pPr>
              <w:pStyle w:val="Compact"/>
            </w:pPr>
            <w:r>
              <w:t xml:space="preserve">SI-2</w:t>
            </w:r>
          </w:p>
        </w:tc>
      </w:tr>
      <w:tr>
        <w:tc>
          <w:tcPr/>
          <w:p>
            <w:pPr>
              <w:pStyle w:val="Compact"/>
            </w:pPr>
            <w:r>
              <w:t xml:space="preserve">Reader context + page-render cache (Section 5)</w:t>
            </w:r>
          </w:p>
        </w:tc>
        <w:tc>
          <w:tcPr/>
          <w:p>
            <w:pPr>
              <w:pStyle w:val="Compact"/>
            </w:pPr>
            <w:r>
              <w:t xml:space="preserve">READ</w:t>
            </w:r>
          </w:p>
        </w:tc>
        <w:tc>
          <w:tcPr/>
          <w:p>
            <w:pPr>
              <w:pStyle w:val="Compact"/>
            </w:pPr>
            <w:r>
              <w:t xml:space="preserve">UI-2</w:t>
            </w:r>
          </w:p>
        </w:tc>
      </w:tr>
      <w:tr>
        <w:tc>
          <w:tcPr/>
          <w:p>
            <w:pPr>
              <w:pStyle w:val="Compact"/>
            </w:pPr>
            <w:r>
              <w:t xml:space="preserve">Search Index (FTS5 + embeddings) (Sections 4.6, 4.7)</w:t>
            </w:r>
          </w:p>
        </w:tc>
        <w:tc>
          <w:tcPr/>
          <w:p>
            <w:pPr>
              <w:pStyle w:val="Compact"/>
            </w:pPr>
            <w:r>
              <w:t xml:space="preserve">SEARCH</w:t>
            </w:r>
          </w:p>
        </w:tc>
        <w:tc>
          <w:tcPr/>
          <w:p>
            <w:pPr>
              <w:pStyle w:val="Compact"/>
            </w:pPr>
            <w:r>
              <w:t xml:space="preserve">SI-1</w:t>
            </w:r>
          </w:p>
        </w:tc>
      </w:tr>
      <w:tr>
        <w:tc>
          <w:tcPr/>
          <w:p>
            <w:pPr>
              <w:pStyle w:val="Compact"/>
            </w:pPr>
            <w:r>
              <w:t xml:space="preserve">AI architecture: gateway, advisor, privacy (Section 7)</w:t>
            </w:r>
          </w:p>
        </w:tc>
        <w:tc>
          <w:tcPr/>
          <w:p>
            <w:pPr>
              <w:pStyle w:val="Compact"/>
            </w:pPr>
            <w:r>
              <w:t xml:space="preserve">AI</w:t>
            </w:r>
          </w:p>
        </w:tc>
        <w:tc>
          <w:tcPr/>
          <w:p>
            <w:pPr>
              <w:pStyle w:val="Compact"/>
            </w:pPr>
            <w:r>
              <w:t xml:space="preserve">SI-1, SI-2</w:t>
            </w:r>
          </w:p>
        </w:tc>
      </w:tr>
      <w:tr>
        <w:tc>
          <w:tcPr/>
          <w:p>
            <w:pPr>
              <w:pStyle w:val="Compact"/>
            </w:pPr>
            <w:r>
              <w:t xml:space="preserve">Bookshelf Presentation + bridge (Section 6)</w:t>
            </w:r>
          </w:p>
        </w:tc>
        <w:tc>
          <w:tcPr/>
          <w:p>
            <w:pPr>
              <w:pStyle w:val="Compact"/>
            </w:pPr>
            <w:r>
              <w:t xml:space="preserve">CAT</w:t>
            </w:r>
          </w:p>
        </w:tc>
        <w:tc>
          <w:tcPr/>
          <w:p>
            <w:pPr>
              <w:pStyle w:val="Compact"/>
            </w:pPr>
            <w:r>
              <w:t xml:space="preserve">UI-3, SI-3</w:t>
            </w:r>
          </w:p>
        </w:tc>
      </w:tr>
      <w:tr>
        <w:tc>
          <w:tcPr/>
          <w:p>
            <w:pPr>
              <w:pStyle w:val="Compact"/>
            </w:pPr>
            <w:r>
              <w:t xml:space="preserve">Settings &amp; Security context (Section 8.1)</w:t>
            </w:r>
          </w:p>
        </w:tc>
        <w:tc>
          <w:tcPr/>
          <w:p>
            <w:pPr>
              <w:pStyle w:val="Compact"/>
            </w:pPr>
            <w:r>
              <w:t xml:space="preserve">AI, META</w:t>
            </w:r>
          </w:p>
        </w:tc>
        <w:tc>
          <w:tcPr/>
          <w:p>
            <w:pPr>
              <w:pStyle w:val="Compact"/>
            </w:pPr>
            <w:r>
              <w:t xml:space="preserve">CI-1, CI-3</w:t>
            </w:r>
          </w:p>
        </w:tc>
      </w:tr>
      <w:tr>
        <w:tc>
          <w:tcPr/>
          <w:p>
            <w:pPr>
              <w:pStyle w:val="Compact"/>
            </w:pPr>
            <w:r>
              <w:t xml:space="preserve">Packaging &amp; Updates (Section 8.4)</w:t>
            </w:r>
          </w:p>
        </w:tc>
        <w:tc>
          <w:tcPr/>
          <w:p>
            <w:pPr>
              <w:pStyle w:val="Compact"/>
            </w:pPr>
            <w:r>
              <w:t xml:space="preserve">— (lifecycle)</w:t>
            </w:r>
          </w:p>
        </w:tc>
        <w:tc>
          <w:tcPr/>
          <w:p>
            <w:pPr>
              <w:pStyle w:val="Compact"/>
            </w:pPr>
            <w:r>
              <w:t xml:space="preserve">CI-1</w:t>
            </w:r>
          </w:p>
        </w:tc>
      </w:tr>
      <w:tr>
        <w:tc>
          <w:tcPr/>
          <w:p>
            <w:pPr>
              <w:pStyle w:val="Compact"/>
            </w:pPr>
            <w:r>
              <w:t xml:space="preserve">Data architecture: catalogue + sidecar (Section 4)</w:t>
            </w:r>
          </w:p>
        </w:tc>
        <w:tc>
          <w:tcPr/>
          <w:p>
            <w:pPr>
              <w:pStyle w:val="Compact"/>
            </w:pPr>
            <w:r>
              <w:t xml:space="preserve">LIB, CAT, READ, SEARCH, META, AI</w:t>
            </w:r>
          </w:p>
        </w:tc>
        <w:tc>
          <w:tcPr/>
          <w:p>
            <w:pPr>
              <w:pStyle w:val="Compact"/>
            </w:pPr>
            <w:r>
              <w:t xml:space="preserve">—</w:t>
            </w:r>
          </w:p>
        </w:tc>
      </w:tr>
    </w:tbl>
    <w:bookmarkEnd w:id="68"/>
    <w:bookmarkStart w:id="69" w:name="X25e6d6ec5c99e1138acd3b1639ad9c292e528ad"/>
    <w:p>
      <w:pPr>
        <w:pStyle w:val="Heading2"/>
      </w:pPr>
      <w:r>
        <w:t xml:space="preserve">9.2 Component-to-Key-NFR Map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Architecture component</w:t>
            </w:r>
          </w:p>
        </w:tc>
        <w:tc>
          <w:tcPr/>
          <w:p>
            <w:pPr>
              <w:pStyle w:val="Compact"/>
            </w:pPr>
            <w:r>
              <w:t xml:space="preserve">Key NFRs satisfied</w:t>
            </w:r>
          </w:p>
        </w:tc>
      </w:tr>
      <w:tr>
        <w:tc>
          <w:tcPr/>
          <w:p>
            <w:pPr>
              <w:pStyle w:val="Compact"/>
            </w:pPr>
            <w:r>
              <w:t xml:space="preserve">Modular monolith + in-process catalogue (Sections 1, 2)</w:t>
            </w:r>
          </w:p>
        </w:tc>
        <w:tc>
          <w:tcPr/>
          <w:p>
            <w:pPr>
              <w:pStyle w:val="Compact"/>
            </w:pPr>
            <w:r>
              <w:t xml:space="preserve">NFR-PROD-001, NFR-OGMA-001, NFR-PROD-002</w:t>
            </w:r>
          </w:p>
        </w:tc>
      </w:tr>
      <w:tr>
        <w:tc>
          <w:tcPr/>
          <w:p>
            <w:pPr>
              <w:pStyle w:val="Compact"/>
            </w:pPr>
            <w:r>
              <w:t xml:space="preserve">Virtualised catalogue + sidecar thumbnails (Sections 4.1, 4.2)</w:t>
            </w:r>
          </w:p>
        </w:tc>
        <w:tc>
          <w:tcPr/>
          <w:p>
            <w:pPr>
              <w:pStyle w:val="Compact"/>
            </w:pPr>
            <w:r>
              <w:t xml:space="preserve">NFR-OGMA-002, NFR-PROD-003</w:t>
            </w:r>
          </w:p>
        </w:tc>
      </w:tr>
      <w:tr>
        <w:tc>
          <w:tcPr/>
          <w:p>
            <w:pPr>
              <w:pStyle w:val="Compact"/>
            </w:pPr>
            <w:r>
              <w:t xml:space="preserve">Search Index over FTS5 (Section 4.6)</w:t>
            </w:r>
          </w:p>
        </w:tc>
        <w:tc>
          <w:tcPr/>
          <w:p>
            <w:pPr>
              <w:pStyle w:val="Compact"/>
            </w:pPr>
            <w:r>
              <w:t xml:space="preserve">NFR-OGMA-003, NFR-OGMA-004, NFR-PROD-004</w:t>
            </w:r>
          </w:p>
        </w:tc>
      </w:tr>
      <w:tr>
        <w:tc>
          <w:tcPr/>
          <w:p>
            <w:pPr>
              <w:pStyle w:val="Compact"/>
            </w:pPr>
            <w:r>
              <w:t xml:space="preserve">Embedding store + cosine / ANN (Section 4.7)</w:t>
            </w:r>
          </w:p>
        </w:tc>
        <w:tc>
          <w:tcPr/>
          <w:p>
            <w:pPr>
              <w:pStyle w:val="Compact"/>
            </w:pPr>
            <w:r>
              <w:t xml:space="preserve">NFR-PROD-004, SEARCH group</w:t>
            </w:r>
          </w:p>
        </w:tc>
      </w:tr>
      <w:tr>
        <w:tc>
          <w:tcPr/>
          <w:p>
            <w:pPr>
              <w:pStyle w:val="Compact"/>
            </w:pPr>
            <w:r>
              <w:t xml:space="preserve">Page-render cache (Section 5.4)</w:t>
            </w:r>
          </w:p>
        </w:tc>
        <w:tc>
          <w:tcPr/>
          <w:p>
            <w:pPr>
              <w:pStyle w:val="Compact"/>
            </w:pPr>
            <w:r>
              <w:t xml:space="preserve">NFR-OGMA-005</w:t>
            </w:r>
          </w:p>
        </w:tc>
      </w:tr>
      <w:tr>
        <w:tc>
          <w:tcPr/>
          <w:p>
            <w:pPr>
              <w:pStyle w:val="Compact"/>
            </w:pPr>
            <w:r>
              <w:t xml:space="preserve">WebView + Three.js scene model (Section 6)</w:t>
            </w:r>
          </w:p>
        </w:tc>
        <w:tc>
          <w:tcPr/>
          <w:p>
            <w:pPr>
              <w:pStyle w:val="Compact"/>
            </w:pPr>
            <w:r>
              <w:t xml:space="preserve">NFR-OGMA-006</w:t>
            </w:r>
          </w:p>
        </w:tc>
      </w:tr>
      <w:tr>
        <w:tc>
          <w:tcPr/>
          <w:p>
            <w:pPr>
              <w:pStyle w:val="Compact"/>
            </w:pPr>
            <w:r>
              <w:t xml:space="preserve">Background-worker pipeline (Section 8.2)</w:t>
            </w:r>
          </w:p>
        </w:tc>
        <w:tc>
          <w:tcPr/>
          <w:p>
            <w:pPr>
              <w:pStyle w:val="Compact"/>
            </w:pPr>
            <w:r>
              <w:t xml:space="preserve">NFR-PROD-005, NFR-OGMA-009</w:t>
            </w:r>
          </w:p>
        </w:tc>
      </w:tr>
      <w:tr>
        <w:tc>
          <w:tcPr/>
          <w:p>
            <w:pPr>
              <w:pStyle w:val="Compact"/>
            </w:pPr>
            <w:r>
              <w:t xml:space="preserve">Annotation persistence to catalogue (Sections 5.3, 5.5)</w:t>
            </w:r>
          </w:p>
        </w:tc>
        <w:tc>
          <w:tcPr/>
          <w:p>
            <w:pPr>
              <w:pStyle w:val="Compact"/>
            </w:pPr>
            <w:r>
              <w:t xml:space="preserve">NFR-OGMA-008</w:t>
            </w:r>
          </w:p>
        </w:tc>
      </w:tr>
      <w:tr>
        <w:tc>
          <w:tcPr/>
          <w:p>
            <w:pPr>
              <w:pStyle w:val="Compact"/>
            </w:pPr>
            <w:r>
              <w:t xml:space="preserve">Grid/list accessibility fallback (Section 6.4)</w:t>
            </w:r>
          </w:p>
        </w:tc>
        <w:tc>
          <w:tcPr/>
          <w:p>
            <w:pPr>
              <w:pStyle w:val="Compact"/>
            </w:pPr>
            <w:r>
              <w:t xml:space="preserve">NFR-PROD-007, NFR-PROD-008</w:t>
            </w:r>
          </w:p>
        </w:tc>
      </w:tr>
      <w:tr>
        <w:tc>
          <w:tcPr/>
          <w:p>
            <w:pPr>
              <w:pStyle w:val="Compact"/>
            </w:pPr>
            <w:r>
              <w:t xml:space="preserve">AI gateway + privacy service (Section 7)</w:t>
            </w:r>
          </w:p>
        </w:tc>
        <w:tc>
          <w:tcPr/>
          <w:p>
            <w:pPr>
              <w:pStyle w:val="Compact"/>
            </w:pPr>
            <w:r>
              <w:t xml:space="preserve">NFR-PROD-011, NFR-OGMA-007</w:t>
            </w:r>
          </w:p>
        </w:tc>
      </w:tr>
      <w:tr>
        <w:tc>
          <w:tcPr/>
          <w:p>
            <w:pPr>
              <w:pStyle w:val="Compact"/>
            </w:pPr>
            <w:r>
              <w:t xml:space="preserve">Credential store + audit trail (Sections 8.1.1, 8.1.6)</w:t>
            </w:r>
          </w:p>
        </w:tc>
        <w:tc>
          <w:tcPr/>
          <w:p>
            <w:pPr>
              <w:pStyle w:val="Compact"/>
            </w:pPr>
            <w:r>
              <w:t xml:space="preserve">NFR-PROD-013</w:t>
            </w:r>
          </w:p>
        </w:tc>
      </w:tr>
      <w:tr>
        <w:tc>
          <w:tcPr/>
          <w:p>
            <w:pPr>
              <w:pStyle w:val="Compact"/>
            </w:pPr>
            <w:r>
              <w:t xml:space="preserve">AI history / embedding erasure (Sections 4.6, 7.5)</w:t>
            </w:r>
          </w:p>
        </w:tc>
        <w:tc>
          <w:tcPr/>
          <w:p>
            <w:pPr>
              <w:pStyle w:val="Compact"/>
            </w:pPr>
            <w:r>
              <w:t xml:space="preserve">NFR-PROD-014</w:t>
            </w:r>
          </w:p>
        </w:tc>
      </w:tr>
      <w:tr>
        <w:tc>
          <w:tcPr/>
          <w:p>
            <w:pPr>
              <w:pStyle w:val="Compact"/>
            </w:pPr>
            <w:r>
              <w:t xml:space="preserve">Path validation + untrusted-PDF isolation (Sections 8.1.2, 8.1.3)</w:t>
            </w:r>
          </w:p>
        </w:tc>
        <w:tc>
          <w:tcPr/>
          <w:p>
            <w:pPr>
              <w:pStyle w:val="Compact"/>
            </w:pPr>
            <w:r>
              <w:t xml:space="preserve">NFR-PROD-010 (write-back safety)</w:t>
            </w:r>
          </w:p>
        </w:tc>
      </w:tr>
      <w:tr>
        <w:tc>
          <w:tcPr/>
          <w:p>
            <w:pPr>
              <w:pStyle w:val="Compact"/>
            </w:pPr>
            <w:r>
              <w:t xml:space="preserve">Signed updates + reversible migrations (Sections 8.1.4, 8.4)</w:t>
            </w:r>
          </w:p>
        </w:tc>
        <w:tc>
          <w:tcPr/>
          <w:p>
            <w:pPr>
              <w:pStyle w:val="Compact"/>
            </w:pPr>
            <w:r>
              <w:t xml:space="preserve">NFR-PROD-012</w:t>
            </w:r>
          </w:p>
        </w:tc>
      </w:tr>
      <w:tr>
        <w:tc>
          <w:tcPr/>
          <w:p>
            <w:pPr>
              <w:pStyle w:val="Compact"/>
            </w:pPr>
            <w:r>
              <w:t xml:space="preserve">Catalogue augments folder; open-format export (Sections 4.1, 4.2)</w:t>
            </w:r>
          </w:p>
        </w:tc>
        <w:tc>
          <w:tcPr/>
          <w:p>
            <w:pPr>
              <w:pStyle w:val="Compact"/>
            </w:pPr>
            <w:r>
              <w:t xml:space="preserve">NFR-PROD-009</w:t>
            </w:r>
          </w:p>
        </w:tc>
      </w:tr>
    </w:tbl>
    <w:bookmarkEnd w:id="69"/>
    <w:bookmarkStart w:id="70" w:name="X32e720635fef51e3c26983314d7b60680335ae7"/>
    <w:p>
      <w:pPr>
        <w:pStyle w:val="Heading2"/>
      </w:pPr>
      <w:r>
        <w:t xml:space="preserve">9.3 Traceability Notes and Carried Flags</w:t>
      </w:r>
    </w:p>
    <w:p>
      <w:pPr>
        <w:pStyle w:val="Compact"/>
        <w:numPr>
          <w:ilvl w:val="0"/>
          <w:numId w:val="1012"/>
        </w:numPr>
      </w:pPr>
      <w:r>
        <w:rPr>
          <w:b/>
          <w:bCs/>
        </w:rPr>
        <w:t xml:space="preserve">NFR-OGMA-007</w:t>
      </w:r>
      <w:r>
        <w:t xml:space="preserve"> </w:t>
      </w:r>
      <w:r>
        <w:t xml:space="preserve">carries a</w:t>
      </w:r>
      <w:r>
        <w:t xml:space="preserve"> </w:t>
      </w:r>
      <w:r>
        <w:rPr>
          <w:rStyle w:val="VerbatimChar"/>
        </w:rPr>
        <w:t xml:space="preserve">[SMART-FAIL]</w:t>
      </w:r>
      <w:r>
        <w:t xml:space="preserve"> </w:t>
      </w:r>
      <w:r>
        <w:t xml:space="preserve">from SRS Section 5: the metadata-only AI response budget excludes uncontrolled provider latency and is not independently measurable until a provider-latency cap or an application-only processing budget is fixed. The AI gateway (Section 7.1) records application-only and provider latency separately to support whichever budget the consultant fixes at sign-off; the architecture does not resolve the flag, which remains a requirements decision.</w:t>
      </w:r>
    </w:p>
    <w:p>
      <w:pPr>
        <w:pStyle w:val="Compact"/>
        <w:numPr>
          <w:ilvl w:val="0"/>
          <w:numId w:val="1012"/>
        </w:numPr>
      </w:pPr>
      <w:r>
        <w:t xml:space="preserve">The following context gaps from the SRS are carried into this design and must be closed before the data design is baselined: the sidecar asset naming convention (</w:t>
      </w:r>
      <w:r>
        <w:rPr>
          <w:rStyle w:val="VerbatimChar"/>
        </w:rPr>
        <w:t xml:space="preserve">[CONTEXT-GAP]</w:t>
      </w:r>
      <w:r>
        <w:t xml:space="preserve">, Section 4.2), the Work/Edition cardinality and merge/split rules (</w:t>
      </w:r>
      <w:r>
        <w:rPr>
          <w:rStyle w:val="VerbatimChar"/>
        </w:rPr>
        <w:t xml:space="preserve">[CONTEXT-GAP]</w:t>
      </w:r>
      <w:r>
        <w:t xml:space="preserve">, Section 4.5), the command-palette command set (</w:t>
      </w:r>
      <w:r>
        <w:rPr>
          <w:rStyle w:val="VerbatimChar"/>
        </w:rPr>
        <w:t xml:space="preserve">[CONTEXT-GAP]</w:t>
      </w:r>
      <w:r>
        <w:t xml:space="preserve">, SRS Section 3.1, UI-4), and the reference-hardware and minimum-install thresholds underpinning every NFR-OGMA budget (</w:t>
      </w:r>
      <w:r>
        <w:rPr>
          <w:rStyle w:val="VerbatimChar"/>
        </w:rPr>
        <w:t xml:space="preserve">[CONTEXT-GAP]</w:t>
      </w:r>
      <w:r>
        <w:t xml:space="preserve">, SRS Sections 2.5 and 3.2).</w:t>
      </w:r>
    </w:p>
    <w:p>
      <w:pPr>
        <w:pStyle w:val="Compact"/>
        <w:numPr>
          <w:ilvl w:val="0"/>
          <w:numId w:val="1012"/>
        </w:numPr>
      </w:pPr>
      <w:r>
        <w:t xml:space="preserve">Domain terms used in this document —</w:t>
      </w:r>
      <w:r>
        <w:t xml:space="preserve"> </w:t>
      </w:r>
      <w:r>
        <w:rPr>
          <w:b/>
          <w:bCs/>
        </w:rPr>
        <w:t xml:space="preserve">Velopack</w:t>
      </w:r>
      <w:r>
        <w:t xml:space="preserve">,</w:t>
      </w:r>
      <w:r>
        <w:t xml:space="preserve"> </w:t>
      </w:r>
      <w:r>
        <w:rPr>
          <w:b/>
          <w:bCs/>
        </w:rPr>
        <w:t xml:space="preserve">MSIX</w:t>
      </w:r>
      <w:r>
        <w:t xml:space="preserve">,</w:t>
      </w:r>
      <w:r>
        <w:t xml:space="preserve"> </w:t>
      </w:r>
      <w:r>
        <w:rPr>
          <w:b/>
          <w:bCs/>
        </w:rPr>
        <w:t xml:space="preserve">DMG</w:t>
      </w:r>
      <w:r>
        <w:t xml:space="preserve">,</w:t>
      </w:r>
      <w:r>
        <w:t xml:space="preserve"> </w:t>
      </w:r>
      <w:r>
        <w:rPr>
          <w:b/>
          <w:bCs/>
        </w:rPr>
        <w:t xml:space="preserve">BM25</w:t>
      </w:r>
      <w:r>
        <w:t xml:space="preserve">,</w:t>
      </w:r>
      <w:r>
        <w:t xml:space="preserve"> </w:t>
      </w:r>
      <w:r>
        <w:rPr>
          <w:b/>
          <w:bCs/>
        </w:rPr>
        <w:t xml:space="preserve">external-content table</w:t>
      </w:r>
      <w:r>
        <w:t xml:space="preserve">,</w:t>
      </w:r>
      <w:r>
        <w:t xml:space="preserve"> </w:t>
      </w:r>
      <w:r>
        <w:rPr>
          <w:b/>
          <w:bCs/>
        </w:rPr>
        <w:t xml:space="preserve">cosine similarity</w:t>
      </w:r>
      <w:r>
        <w:t xml:space="preserve">,</w:t>
      </w:r>
      <w:r>
        <w:t xml:space="preserve"> </w:t>
      </w:r>
      <w:r>
        <w:rPr>
          <w:b/>
          <w:bCs/>
        </w:rPr>
        <w:t xml:space="preserve">message bridge</w:t>
      </w:r>
      <w:r>
        <w:t xml:space="preserve">,</w:t>
      </w:r>
      <w:r>
        <w:t xml:space="preserve"> </w:t>
      </w:r>
      <w:r>
        <w:rPr>
          <w:b/>
          <w:bCs/>
        </w:rPr>
        <w:t xml:space="preserve">WebGL2</w:t>
      </w:r>
      <w:r>
        <w:t xml:space="preserve">, and</w:t>
      </w:r>
      <w:r>
        <w:t xml:space="preserve"> </w:t>
      </w:r>
      <w:r>
        <w:rPr>
          <w:b/>
          <w:bCs/>
        </w:rPr>
        <w:t xml:space="preserve">Three.js</w:t>
      </w:r>
      <w:r>
        <w:t xml:space="preserve"> </w:t>
      </w:r>
      <w:r>
        <w:t xml:space="preserve">— are already defined in</w:t>
      </w:r>
      <w:r>
        <w:t xml:space="preserve"> </w:t>
      </w:r>
      <w:r>
        <w:rPr>
          <w:rStyle w:val="VerbatimChar"/>
        </w:rPr>
        <w:t xml:space="preserve">_context/glossary.md</w:t>
      </w:r>
      <w:r>
        <w:t xml:space="preserve">. The</w:t>
      </w:r>
      <w:r>
        <w:t xml:space="preserve"> </w:t>
      </w:r>
      <w:r>
        <w:rPr>
          <w:rStyle w:val="VerbatimChar"/>
        </w:rPr>
        <w:t xml:space="preserve">ogma://</w:t>
      </w:r>
      <w:r>
        <w:t xml:space="preserve"> </w:t>
      </w:r>
      <w:r>
        <w:t xml:space="preserve">asset scheme is a design-introduced identifier defined inline at first use (Section 6.2) and is not a domain term requiring a glossary entry.</w:t>
      </w:r>
    </w:p>
    <w:bookmarkEnd w:id="70"/>
    <w:bookmarkEnd w:id="71"/>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High-Level Design / Architecture Document</dc:title>
  <dc:creator/>
  <cp:keywords/>
  <dcterms:created xsi:type="dcterms:W3CDTF">2026-05-30T10:28:33Z</dcterms:created>
  <dcterms:modified xsi:type="dcterms:W3CDTF">2026-05-30T10:28:33Z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2026-05-30</vt:lpwstr>
  </property>
  <property fmtid="{D5CDD505-2E9C-101B-9397-08002B2CF9AE}" pid="3" name="version">
    <vt:lpwstr>0.1 DRAFT</vt:lpwstr>
  </property>
</Properties>
</file>