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risk-register-ogma-library"/>
    <w:p>
      <w:pPr>
        <w:pStyle w:val="Heading1"/>
      </w:pPr>
      <w:r>
        <w:t xml:space="preserve">Risk Register — Ogma Library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Project</w:t>
            </w:r>
          </w:p>
        </w:tc>
        <w:tc>
          <w:tcPr/>
          <w:p>
            <w:pPr>
              <w:pStyle w:val="Compact"/>
            </w:pPr>
            <w:r>
              <w:t xml:space="preserve">Ogma Library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Risk Register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Product owner</w:t>
            </w:r>
          </w:p>
        </w:tc>
        <w:tc>
          <w:tcPr/>
          <w:p>
            <w:pPr>
              <w:pStyle w:val="Compact"/>
            </w:pPr>
            <w:r>
              <w:t xml:space="preserve">Chwezi Core Systems / Peter Bamuhigire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0.1 DRAFT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2026-05-30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basis</w:t>
            </w:r>
          </w:p>
        </w:tc>
        <w:tc>
          <w:tcPr/>
          <w:p>
            <w:pPr>
              <w:pStyle w:val="Compact"/>
            </w:pPr>
            <w:r>
              <w:t xml:space="preserve">ISO/IEC 27001:2022 clause 6.1; IEEE 1012 anomaly identification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Classification</w:t>
            </w:r>
          </w:p>
        </w:tc>
        <w:tc>
          <w:tcPr/>
          <w:p>
            <w:pPr>
              <w:pStyle w:val="Compact"/>
            </w:pPr>
            <w:r>
              <w:t xml:space="preserve">Confidential — Internal Use Only</w:t>
            </w:r>
          </w:p>
        </w:tc>
      </w:tr>
    </w:tbl>
    <w:p>
      <w:pPr>
        <w:pStyle w:val="BodyText"/>
      </w:pPr>
      <w:r>
        <w:t xml:space="preserve">This register records the principal risks to Ogma Library and links each to the requirements, controls, or decisions that treat it. Likelihood and impact use a three-level scale (Low, Medium, High). Security, privacy, and operational risks are recorded as linked entries against the</w:t>
      </w:r>
      <w:r>
        <w:t xml:space="preserve"> </w:t>
      </w:r>
      <w:r>
        <w:rPr>
          <w:rStyle w:val="VerbatimChar"/>
        </w:rPr>
        <w:t xml:space="preserve">CTRL-###</w:t>
      </w:r>
      <w:r>
        <w:t xml:space="preserve"> </w:t>
      </w:r>
      <w:r>
        <w:t xml:space="preserve">controls defined in the Software Requirements Specification (SRS) Section 7. Delivery and technical risks are recorded in the table in Section 2 against the requirements, non-functional budgets, and Architecture Decision Records that treat them.</w:t>
      </w:r>
    </w:p>
    <w:bookmarkStart w:id="19" w:name="security-privacy-and-operational-risks"/>
    <w:p>
      <w:pPr>
        <w:pStyle w:val="Heading2"/>
      </w:pPr>
      <w:r>
        <w:t xml:space="preserve">1. Security, Privacy, and Operational Risks</w:t>
      </w:r>
    </w:p>
    <w:p>
      <w:pPr>
        <w:pStyle w:val="FirstParagraph"/>
      </w:pPr>
      <w:r>
        <w:t xml:space="preserve">Each entry names its mitigating controls. The controls are specified in</w:t>
      </w:r>
      <w:r>
        <w:t xml:space="preserve"> </w:t>
      </w:r>
      <w:r>
        <w:rPr>
          <w:rStyle w:val="VerbatimChar"/>
        </w:rPr>
        <w:t xml:space="preserve">02-requirements-engineering/01-srs/07-security-privacy-requirements.md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RISK-001</w:t>
      </w:r>
      <w:r>
        <w:t xml:space="preserve"> </w:t>
      </w:r>
      <w:r>
        <w:t xml:space="preserve">Provider credential exposure through logs, settings, or crash reports. Likelihood Medium, Impact High. Mitigation: store all secrets in OS credential storage and redact them from every log and report, per CTRL-001 and CTRL-002. Owner: engineering lead.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RISK-002</w:t>
      </w:r>
      <w:r>
        <w:t xml:space="preserve"> </w:t>
      </w:r>
      <w:r>
        <w:t xml:space="preserve">Malicious or malformed document exploits the render or OCR path. Likelihood Medium, Impact High. Mitigation: treat imported content as untrusted, isolate render and OCR in worker boundaries, disable embedded scripting, and bound worker time and memory, per CTRL-004, CTRL-005, CTRL-006, and CTRL-007. Owner: engineering lead.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RISK-003</w:t>
      </w:r>
      <w:r>
        <w:t xml:space="preserve"> </w:t>
      </w:r>
      <w:r>
        <w:t xml:space="preserve">Metadata write-back corrupts an original user file. Likelihood Medium, Impact High. Mitigation: write back only within the validated root with backup, diff, verify-reopen, and restore, per CTRL-011 and NFR-PROD-010. Owner: engineering lead.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RISK-004</w:t>
      </w:r>
      <w:r>
        <w:t xml:space="preserve"> </w:t>
      </w:r>
      <w:r>
        <w:t xml:space="preserve">Path traversal or symlink escape reaches files outside the library root. Likelihood Low, Impact High. Mitigation: canonicalise and validate every path against the root, refuse out-of-root symlinks without consent, and quarantine traversal entries, per CTRL-008, CTRL-009, and CTRL-010. Owner: engineering lead.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RISK-005</w:t>
      </w:r>
      <w:r>
        <w:t xml:space="preserve"> </w:t>
      </w:r>
      <w:r>
        <w:t xml:space="preserve">A tampered or unsigned update is installed. Likelihood Low, Impact High. Mitigation: code-sign all public builds, verify signatures before install, and fetch updates over an authenticated, integrity-checked channel, per CTRL-012 and CTRL-013. Owner: release owner.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RISK-006</w:t>
      </w:r>
      <w:r>
        <w:t xml:space="preserve"> </w:t>
      </w:r>
      <w:r>
        <w:t xml:space="preserve">User document content is transmitted off-device without intent. Likelihood Medium, Impact High. Mitigation: route all egress through the AI gateway, require an active permitting tier and a confirmed payload preview, and minimise the payload, per CTRL-016, CTRL-017, and CTRL-020. Owner: AI engineer.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RISK-007</w:t>
      </w:r>
      <w:r>
        <w:t xml:space="preserve"> </w:t>
      </w:r>
      <w:r>
        <w:t xml:space="preserve">AI history or embeddings retain sensitive content after the user expects deletion. Likelihood Medium, Impact Medium. Mitigation: provide scoped and full erasure of history, vectors, and cached responses, and surface the provider deletion path, per CTRL-023 and NFR-PROD-014. Owner: AI engineer.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RISK-008</w:t>
      </w:r>
      <w:r>
        <w:t xml:space="preserve"> </w:t>
      </w:r>
      <w:r>
        <w:t xml:space="preserve">User content crosses a jurisdiction boundary without notice or lawful basis. Likelihood Medium, Impact High. Mitigation: surface the provider processing region before first use and run a Data Protection Impact Assessment screening before shipping any off-device feature, per CTRL-021 and CTRL-024. Owner: product owner.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RISK-009</w:t>
      </w:r>
      <w:r>
        <w:t xml:space="preserve"> </w:t>
      </w:r>
      <w:r>
        <w:t xml:space="preserve">A provider trains on user content without distinct consent. Likelihood Low, Impact High. Mitigation: default the no-training flag to opt-out and require a separate explicit opt-in, per CTRL-022. Owner: AI engineer.</w:t>
      </w:r>
    </w:p>
    <w:bookmarkEnd w:id="19"/>
    <w:bookmarkStart w:id="20" w:name="delivery-and-technical-risks"/>
    <w:p>
      <w:pPr>
        <w:pStyle w:val="Heading2"/>
      </w:pPr>
      <w:r>
        <w:t xml:space="preserve">2. Delivery and Technical Risks</w:t>
      </w:r>
    </w:p>
    <w:p>
      <w:pPr>
        <w:pStyle w:val="FirstParagraph"/>
      </w:pPr>
      <w:r>
        <w:t xml:space="preserve">These risks are treated by the functional requirements, non-functional budgets, and Architecture Decision Records named in the linked column. They are carried as Phase 0 and phase-gate concerns from the design report.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 ID</w:t>
            </w:r>
          </w:p>
        </w:tc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Likelihood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Linked requirements and decisions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RISK-010</w:t>
            </w:r>
          </w:p>
        </w:tc>
        <w:tc>
          <w:tcPr/>
          <w:p>
            <w:pPr>
              <w:pStyle w:val="Compact"/>
            </w:pPr>
            <w:r>
              <w:t xml:space="preserve">WebView-to-Three.js bridge is unreliable on macOS WKWebView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NFR-OGMA-006, ADR-0003</w:t>
            </w:r>
          </w:p>
        </w:tc>
        <w:tc>
          <w:tcPr/>
          <w:p>
            <w:pPr>
              <w:pStyle w:val="Compact"/>
            </w:pPr>
            <w:r>
              <w:t xml:space="preserve">Prove the bridge in a Phase 0 spike on Windows and macOS; fall back to grid and list views until resolved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RISK-011</w:t>
            </w:r>
          </w:p>
        </w:tc>
        <w:tc>
          <w:tcPr/>
          <w:p>
            <w:pPr>
              <w:pStyle w:val="Compact"/>
            </w:pPr>
            <w:r>
              <w:t xml:space="preserve">The chosen PDFium wrapper fails to package on a target platform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FR-READ-001, ADR-0004</w:t>
            </w:r>
          </w:p>
        </w:tc>
        <w:tc>
          <w:tcPr/>
          <w:p>
            <w:pPr>
              <w:pStyle w:val="Compact"/>
            </w:pPr>
            <w:r>
              <w:t xml:space="preserve">Spike at least two wrapper options and isolate the renderer behind an adapter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RISK-012</w:t>
            </w:r>
          </w:p>
        </w:tc>
        <w:tc>
          <w:tcPr/>
          <w:p>
            <w:pPr>
              <w:pStyle w:val="Compact"/>
            </w:pPr>
            <w:r>
              <w:t xml:space="preserve">The 3D shelf degrades below the frame-rate budget on large libraries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NFR-OGMA-006</w:t>
            </w:r>
          </w:p>
        </w:tc>
        <w:tc>
          <w:tcPr/>
          <w:p>
            <w:pPr>
              <w:pStyle w:val="Compact"/>
            </w:pPr>
            <w:r>
              <w:t xml:space="preserve">Virtualise the shelf, cap visible books, drive focus through search, and keep the grid and list fallback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RISK-013</w:t>
            </w:r>
          </w:p>
        </w:tc>
        <w:tc>
          <w:tcPr/>
          <w:p>
            <w:pPr>
              <w:pStyle w:val="Compact"/>
            </w:pPr>
            <w:r>
              <w:t xml:space="preserve">The full-text and embedding index grows beyond a manageable size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FR-SEARCH-006, NFR-OGMA-004</w:t>
            </w:r>
          </w:p>
        </w:tc>
        <w:tc>
          <w:tcPr/>
          <w:p>
            <w:pPr>
              <w:pStyle w:val="Compact"/>
            </w:pPr>
            <w:r>
              <w:t xml:space="preserve">Store extracted text and vectors in the sidecar, make indexing configurable, and expose index size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RISK-014</w:t>
            </w:r>
          </w:p>
        </w:tc>
        <w:tc>
          <w:tcPr/>
          <w:p>
            <w:pPr>
              <w:pStyle w:val="Compact"/>
            </w:pPr>
            <w:r>
              <w:t xml:space="preserve">External metadata providers return conflicting values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FR-META-003, FR-META-004</w:t>
            </w:r>
          </w:p>
        </w:tc>
        <w:tc>
          <w:tcPr/>
          <w:p>
            <w:pPr>
              <w:pStyle w:val="Compact"/>
            </w:pPr>
            <w:r>
              <w:t xml:space="preserve">Apply field-level provenance and a reviewable confidence-merge policy; local edits win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RISK-015</w:t>
            </w:r>
          </w:p>
        </w:tc>
        <w:tc>
          <w:tcPr/>
          <w:p>
            <w:pPr>
              <w:pStyle w:val="Compact"/>
            </w:pPr>
            <w:r>
              <w:t xml:space="preserve">OCR is slow or inaccurate on scanned documents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FR-READ-010</w:t>
            </w:r>
          </w:p>
        </w:tc>
        <w:tc>
          <w:tcPr/>
          <w:p>
            <w:pPr>
              <w:pStyle w:val="Compact"/>
            </w:pPr>
            <w:r>
              <w:t xml:space="preserve">Run OCR as an optional background job, store confidence, and label OCR-derived hits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RISK-016</w:t>
            </w:r>
          </w:p>
        </w:tc>
        <w:tc>
          <w:tcPr/>
          <w:p>
            <w:pPr>
              <w:pStyle w:val="Compact"/>
            </w:pPr>
            <w:r>
              <w:t xml:space="preserve">The runtime or a package is incompatible with the chosen .NET baseline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ADR-0001</w:t>
            </w:r>
          </w:p>
        </w:tc>
        <w:tc>
          <w:tcPr/>
          <w:p>
            <w:pPr>
              <w:pStyle w:val="Compact"/>
            </w:pPr>
            <w:r>
              <w:t xml:space="preserve">Resolve the .NET 10 compatibility matrix in Phase 0; use .NET 8 only behind a documented blocker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RISK-017</w:t>
            </w:r>
          </w:p>
        </w:tc>
        <w:tc>
          <w:tcPr/>
          <w:p>
            <w:pPr>
              <w:pStyle w:val="Compact"/>
            </w:pPr>
            <w:r>
              <w:t xml:space="preserve">Extracted text is not in reading order and pollutes search or citations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FR-SEARCH-002</w:t>
            </w:r>
          </w:p>
        </w:tc>
        <w:tc>
          <w:tcPr/>
          <w:p>
            <w:pPr>
              <w:pStyle w:val="Compact"/>
            </w:pPr>
            <w:r>
              <w:t xml:space="preserve">Carry extraction-quality flags and never treat extracted text as clean for AI or citation use</w:t>
            </w:r>
          </w:p>
        </w:tc>
      </w:tr>
    </w:tbl>
    <w:bookmarkEnd w:id="20"/>
    <w:bookmarkStart w:id="21" w:name="review-cadence"/>
    <w:p>
      <w:pPr>
        <w:pStyle w:val="Heading2"/>
      </w:pPr>
      <w:r>
        <w:t xml:space="preserve">3. Review Cadence</w:t>
      </w:r>
    </w:p>
    <w:p>
      <w:pPr>
        <w:pStyle w:val="FirstParagraph"/>
      </w:pPr>
      <w:r>
        <w:t xml:space="preserve">The register is reviewed at each phase gate and at every sprint retrospective. A new risk is added with the next sequential identifier, and a closed risk is retained with its closure date and residual rating for audit. A</w:t>
      </w:r>
      <w:r>
        <w:t xml:space="preserve"> </w:t>
      </w:r>
      <w:r>
        <w:rPr>
          <w:rStyle w:val="VerbatimChar"/>
        </w:rPr>
        <w:t xml:space="preserve">[CONTEXT-GAP: reference-hardware specification]</w:t>
      </w:r>
      <w:r>
        <w:t xml:space="preserve"> </w:t>
      </w:r>
      <w:r>
        <w:t xml:space="preserve">remains open against RISK-012 and RISK-013 because the frame-rate and index-size thresholds cannot be finally rated until the reference hardware is fixed in Phase 0.</w:t>
      </w:r>
    </w:p>
    <w:bookmarkEnd w:id="21"/>
    <w:bookmarkEnd w:id="22"/>
    <w:sectPr w:rsidR="00FC693F" w:rsidRPr="0006063C" w:rsidSect="00034616">
      <w:footerReference r:id="rId9" w:type="default"/>
      <w:headerReference r:id="rId10" w:type="default"/>
      <w:pgSz w:h="16838" w:w="11906"/>
      <w:pgMar w:bottom="1134" w:footer="720" w:gutter="0" w:header="720" w:left="1440" w:right="1440" w:top="1440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rFonts w:ascii="Calibri" w:hAnsi="Calibri"/>
        <w:color w:val="595959"/>
        <w:sz w:val="18"/>
      </w:rPr>
      <w:fldChar w:fldCharType="begin"/>
      <w:instrText xml:space="preserve"> PAGE </w:instrText>
      <w:fldChar w:fldCharType="separate"/>
      <w:fldChar w:fldCharType="end"/>
    </w:r>
    <w:r>
      <w:rPr>
        <w:rFonts w:ascii="Calibri" w:hAnsi="Calibri"/>
        <w:color w:val="595959"/>
        <w:sz w:val="18"/>
      </w:rPr>
      <w:t xml:space="preserve"> of </w:t>
    </w:r>
    <w:r>
      <w:rPr>
        <w:rFonts w:ascii="Calibri" w:hAnsi="Calibri"/>
        <w:color w:val="595959"/>
        <w:sz w:val="18"/>
      </w:rPr>
      <w:fldChar w:fldCharType="begin"/>
      <w:instrText xml:space="preserve"> NUMPAGES 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4" w:color="CCCCCC"/>
      </w:pBdr>
    </w:pPr>
    <w:r>
      <w:rPr>
        <w:rFonts w:ascii="Calibri" w:hAnsi="Calibri"/>
        <w:color w:val="595959"/>
        <w:sz w:val="18"/>
      </w:rPr>
      <w:fldChar w:fldCharType="begin"/>
      <w:instrText xml:space="preserve"> TITLE </w:instrText>
      <w:fldChar w:fldCharType="separate"/>
      <w:fldChar w:fldCharType="end"/>
    </w:r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Lines/>
      <w:widowControl/>
      <w:spacing w:after="120" w:before="0" w:line="276" w:lineRule="auto"/>
    </w:pPr>
    <w:rPr>
      <w:rFonts w:ascii="Calibri" w:hAnsi="Calibri"/>
      <w:color w:val="262626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pageBreakBefore/>
      <w:spacing w:after="120" w:before="400"/>
      <w:outlineLvl w:val="0"/>
      <w:pBdr>
        <w:left w:color="1F3864" w:space="8" w:sz="18" w:val="single"/>
      </w:pBdr>
    </w:pPr>
    <w:rPr>
      <w:rFonts w:ascii="Calibri Light" w:asciiTheme="majorHAnsi" w:cstheme="majorBidi" w:eastAsiaTheme="majorEastAsia" w:hAnsi="Calibri Light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80"/>
      <w:outlineLvl w:val="1"/>
    </w:pPr>
    <w:rPr>
      <w:rFonts w:ascii="Calibri Light" w:asciiTheme="majorHAnsi" w:cstheme="majorBidi" w:eastAsiaTheme="majorEastAsia" w:hAnsi="Calibri Light" w:hAnsiTheme="majorHAnsi"/>
      <w:b/>
      <w:bCs/>
      <w:color w:val="2E5D8A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60" w:before="200"/>
      <w:outlineLvl w:val="2"/>
    </w:pPr>
    <w:rPr>
      <w:rFonts w:ascii="Calibri" w:asciiTheme="majorHAnsi" w:cstheme="majorBidi" w:eastAsiaTheme="majorEastAsia" w:hAnsi="Calibri" w:hAnsiTheme="majorHAnsi"/>
      <w:b/>
      <w:bCs/>
      <w:i w:val="0"/>
      <w:color w:val="4472C4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40" w:before="160"/>
      <w:outlineLvl w:val="3"/>
    </w:pPr>
    <w:rPr>
      <w:rFonts w:ascii="Calibri" w:asciiTheme="majorHAnsi" w:cstheme="majorBidi" w:eastAsiaTheme="majorEastAsia" w:hAnsi="Calibri" w:hAnsiTheme="majorHAnsi"/>
      <w:b/>
      <w:bCs/>
      <w:i/>
      <w:iCs/>
      <w:color w:val="262626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160" w:before="0" w:line="240" w:lineRule="auto"/>
      <w:contextualSpacing/>
      <w:jc w:val="left"/>
    </w:pPr>
    <w:rPr>
      <w:rFonts w:ascii="Calibri Light" w:asciiTheme="majorHAnsi" w:cstheme="majorBidi" w:eastAsiaTheme="majorEastAsia" w:hAnsi="Calibri Light" w:hAnsiTheme="majorHAnsi"/>
      <w:b/>
      <w:color w:val="1F3864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480" w:before="0"/>
    </w:pPr>
    <w:rPr>
      <w:rFonts w:ascii="Calibri" w:asciiTheme="majorHAnsi" w:cstheme="majorBidi" w:eastAsiaTheme="majorEastAsia" w:hAnsi="Calibri" w:hAnsiTheme="majorHAnsi"/>
      <w:i/>
      <w:iCs/>
      <w:color w:val="595959"/>
      <w:spacing w:val="15"/>
      <w:sz w:val="26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60" w:before="0"/>
    </w:pPr>
    <w:rPr>
      <w:rFonts w:ascii="Calibri" w:hAnsi="Calibri"/>
      <w:sz w:val="22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160" w:before="40" w:line="240" w:lineRule="auto"/>
      <w:jc w:val="center"/>
    </w:pPr>
    <w:rPr>
      <w:rFonts w:ascii="Calibri" w:hAnsi="Calibri"/>
      <w:b/>
      <w:bCs/>
      <w:i/>
      <w:color w:val="595959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FirstParagraph" w:type="paragraph">
    <w:name w:val="First Paragraph"/>
    <w:basedOn w:val="Normal"/>
    <w:pPr>
      <w:ind w:firstLine="0"/>
    </w:pPr>
  </w:style>
  <w:style w:customStyle="1" w:styleId="VerbatimChar" w:type="character">
    <w:name w:val="Verbatim Char"/>
    <w:rPr>
      <w:rFonts w:ascii="Consolas" w:hAnsi="Consolas"/>
      <w:color w:val="1A1A1A"/>
      <w:sz w:val="19"/>
    </w:rPr>
  </w:style>
  <w:style w:customStyle="1" w:styleId="Verbatim" w:type="paragraph">
    <w:name w:val="Verbatim"/>
    <w:pPr>
      <w:spacing w:after="80" w:before="80"/>
    </w:pPr>
    <w:rPr>
      <w:rFonts w:ascii="Consolas" w:hAnsi="Consolas"/>
      <w:color w:val="1A1A1A"/>
      <w:sz w:val="19"/>
    </w:rPr>
  </w:style>
  <w:style w:customStyle="1" w:styleId="SourceCode" w:type="paragraph">
    <w:name w:val="Source Code"/>
    <w:pPr>
      <w:spacing w:after="80" w:before="80"/>
    </w:pPr>
    <w:rPr>
      <w:rFonts w:ascii="Consolas" w:hAnsi="Consolas"/>
      <w:color w:val="1A1A1A"/>
      <w:sz w:val="19"/>
    </w:rPr>
  </w:style>
  <w:style w:customStyle="1" w:styleId="BlockText" w:type="paragraph">
    <w:name w:val="Block Text"/>
    <w:pPr>
      <w:spacing w:after="120" w:before="120"/>
      <w:ind w:left="567" w:right="567"/>
    </w:pPr>
    <w:rPr>
      <w:rFonts w:ascii="Calibri" w:hAnsi="Calibri"/>
      <w:i/>
      <w:color w:val="595959"/>
      <w:sz w:val="22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8" Target="numbering.xml" /><Relationship Type="http://schemas.openxmlformats.org/officeDocument/2006/relationships/styles" Id="rId17" Target="styles.xml" /><Relationship Type="http://schemas.openxmlformats.org/officeDocument/2006/relationships/settings" Id="rId16" Target="settings.xml" /><Relationship Type="http://schemas.openxmlformats.org/officeDocument/2006/relationships/webSettings" Id="rId15" Target="webSettings.xml" /><Relationship Type="http://schemas.openxmlformats.org/officeDocument/2006/relationships/fontTable" Id="rId14" Target="fontTable.xml" /><Relationship Type="http://schemas.openxmlformats.org/officeDocument/2006/relationships/theme" Id="rId13" Target="theme/theme1.xml" /><Relationship Type="http://schemas.openxmlformats.org/officeDocument/2006/relationships/footnotes" Id="rId12" Target="footnotes.xml" /><Relationship Type="http://schemas.openxmlformats.org/officeDocument/2006/relationships/comments" Id="rId11" Target="comments.xml" /><Relationship Id="rId9" Target="footer1.xml" Type="http://schemas.openxmlformats.org/officeDocument/2006/relationships/footer" /><Relationship Id="rId10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2026-05-30T14:00:40Z</dcterms:created>
  <dcterms:modified xsi:type="dcterms:W3CDTF">2026-05-30T14:00:40Z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ument">
    <vt:lpwstr>Risk Register</vt:lpwstr>
  </property>
  <property fmtid="{D5CDD505-2E9C-101B-9397-08002B2CF9AE}" pid="3" name="phase">
    <vt:lpwstr>09</vt:lpwstr>
  </property>
</Properties>
</file>