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 Ogma Library</w:t>
      </w:r>
    </w:p>
    <w:p>
      <w:pPr>
        <w:pStyle w:val="Date"/>
      </w:pPr>
      <w:r>
        <w:t xml:space="preserve">2026-05-30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19" w:name="X867f4b7faefa768c3afa1ae78008dbd9f70b36e"/>
    <w:p>
      <w:pPr>
        <w:pStyle w:val="Heading1"/>
      </w:pPr>
      <w:r>
        <w:t xml:space="preserve">Software Requirements Specification — Ogma Library</w:t>
      </w:r>
    </w:p>
    <w:p>
      <w:pPr>
        <w:pStyle w:val="FirstParagraph"/>
      </w:pPr>
      <w:r>
        <w:rPr>
          <w:b/>
          <w:bCs/>
        </w:rPr>
        <w:t xml:space="preserve">Ogma Library</w:t>
      </w:r>
    </w:p>
    <w:p>
      <w:pPr>
        <w:pStyle w:val="BodyText"/>
      </w:pPr>
      <w:r>
        <w:rPr>
          <w:i/>
          <w:iCs/>
        </w:rPr>
        <w:t xml:space="preserve">A local-first, premium personal PDF library application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Ogma Library</w:t>
            </w:r>
          </w:p>
        </w:tc>
      </w:tr>
      <w:tr>
        <w:tc>
          <w:tcPr/>
          <w:p>
            <w:pPr>
              <w:pStyle w:val="Compact"/>
            </w:pPr>
            <w:r>
              <w:rPr>
                <w:b/>
                <w:bCs/>
              </w:rPr>
              <w:t xml:space="preserve">Document</w:t>
            </w:r>
          </w:p>
        </w:tc>
        <w:tc>
          <w:tcPr/>
          <w:p>
            <w:pPr>
              <w:pStyle w:val="Compact"/>
            </w:pPr>
            <w:r>
              <w:t xml:space="preserve">Software Requirements Specification</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Product Owner</w:t>
            </w:r>
          </w:p>
        </w:tc>
        <w:tc>
          <w:tcPr/>
          <w:p>
            <w:pPr>
              <w:pStyle w:val="Compact"/>
            </w:pPr>
            <w:r>
              <w:t xml:space="preserve">Peter Bamuhigire</w:t>
            </w:r>
          </w:p>
        </w:tc>
      </w:tr>
      <w:tr>
        <w:tc>
          <w:tcPr/>
          <w:p>
            <w:pPr>
              <w:pStyle w:val="Compact"/>
            </w:pPr>
            <w:r>
              <w:rPr>
                <w:b/>
                <w:bCs/>
              </w:rPr>
              <w:t xml:space="preserve">Document Version</w:t>
            </w:r>
          </w:p>
        </w:tc>
        <w:tc>
          <w:tcPr/>
          <w:p>
            <w:pPr>
              <w:pStyle w:val="Compact"/>
            </w:pPr>
            <w:r>
              <w:t xml:space="preserve">0.1 DRAFT</w:t>
            </w:r>
          </w:p>
        </w:tc>
      </w:tr>
      <w:tr>
        <w:tc>
          <w:tcPr/>
          <w:p>
            <w:pPr>
              <w:pStyle w:val="Compact"/>
            </w:pPr>
            <w:r>
              <w:rPr>
                <w:b/>
                <w:bCs/>
              </w:rPr>
              <w:t xml:space="preserve">Date</w:t>
            </w:r>
          </w:p>
        </w:tc>
        <w:tc>
          <w:tcPr/>
          <w:p>
            <w:pPr>
              <w:pStyle w:val="Compact"/>
            </w:pPr>
            <w:r>
              <w:t xml:space="preserve">2026-05-30</w:t>
            </w:r>
          </w:p>
        </w:tc>
      </w:tr>
      <w:tr>
        <w:tc>
          <w:tcPr/>
          <w:p>
            <w:pPr>
              <w:pStyle w:val="Compact"/>
            </w:pPr>
            <w:r>
              <w:rPr>
                <w:b/>
                <w:bCs/>
              </w:rPr>
              <w:t xml:space="preserve">Classification</w:t>
            </w:r>
          </w:p>
        </w:tc>
        <w:tc>
          <w:tcPr/>
          <w:p>
            <w:pPr>
              <w:pStyle w:val="Compact"/>
            </w:pPr>
            <w:r>
              <w:t xml:space="preserve">Confidential — Internal Use Only</w:t>
            </w:r>
          </w:p>
        </w:tc>
      </w:tr>
      <w:tr>
        <w:tc>
          <w:tcPr/>
          <w:p>
            <w:pPr>
              <w:pStyle w:val="Compact"/>
            </w:pPr>
            <w:r>
              <w:rPr>
                <w:b/>
                <w:bCs/>
              </w:rPr>
              <w:t xml:space="preserve">Methodology</w:t>
            </w:r>
          </w:p>
        </w:tc>
        <w:tc>
          <w:tcPr/>
          <w:p>
            <w:pPr>
              <w:pStyle w:val="Compact"/>
            </w:pPr>
            <w:r>
              <w:t xml:space="preserve">Hybrid (Water-Scrum-Fall)</w:t>
            </w:r>
          </w:p>
        </w:tc>
      </w:tr>
      <w:tr>
        <w:tc>
          <w:tcPr/>
          <w:p>
            <w:pPr>
              <w:pStyle w:val="Compact"/>
            </w:pPr>
            <w:r>
              <w:rPr>
                <w:b/>
                <w:bCs/>
              </w:rPr>
              <w:t xml:space="preserve">Standards Basis</w:t>
            </w:r>
          </w:p>
        </w:tc>
        <w:tc>
          <w:tcPr/>
          <w:p>
            <w:pPr>
              <w:pStyle w:val="Compact"/>
            </w:pPr>
            <w:r>
              <w:t xml:space="preserve">IEEE 830, IEEE 1233, IEEE 610.12, ASTM E1340</w:t>
            </w:r>
          </w:p>
        </w:tc>
      </w:tr>
    </w:tbl>
    <w:p>
      <w:r>
        <w:pict>
          <v:rect style="width:0;height:1.5pt" o:hralign="center" o:hrstd="t" o:hr="t"/>
        </w:pict>
      </w:r>
    </w:p>
    <w:p>
      <w:pPr>
        <w:pStyle w:val="FirstParagraph"/>
      </w:pPr>
      <w:r>
        <w:rPr>
          <w:i/>
          <w:iCs/>
        </w:rPr>
        <w:t xml:space="preserve">Confidential — Internal Use Only. This document is the intellectual property of Chwezi Core Systems. No part may be reproduced or disclosed without written permission.</w:t>
      </w:r>
    </w:p>
    <w:p>
      <w:r>
        <w:pict>
          <v:rect style="width:0;height:1.5pt" o:hralign="center" o:hrstd="t" o:hr="t"/>
        </w:pict>
      </w:r>
    </w:p>
    <w:p>
      <w:pPr>
        <w:pStyle w:val="FirstParagraph"/>
      </w:pPr>
      <w:r>
        <w:t xml:space="preserve">This Software Requirements Specification (SRS) is the formal Waterfall baseline of the Ogma Library engagement. Per the Hybrid (Water-Scrum-Fall) methodology recorded in the project vision, this baseline is signed off before any Phase 07 Agile delivery artifact is generated. Verification and Validation (V&amp;V) follow IEEE Std 1012. Terminology follows IEEE Std 610.12.</w:t>
      </w:r>
    </w:p>
    <w:p>
      <w:r>
        <w:pict>
          <v:rect style="width:0;height:1.5pt" o:hralign="center" o:hrstd="t" o:hr="t"/>
        </w:pict>
      </w:r>
    </w:p>
    <w:p>
      <w:pPr>
        <w:pStyle w:val="FirstParagraph"/>
      </w:pPr>
      <w:r>
        <w:t xml:space="preserve">\newpage</w:t>
      </w:r>
    </w:p>
    <w:bookmarkEnd w:id="19"/>
    <w:bookmarkStart w:id="26" w:name="Xe3d0fc0bea9a42ce7605565d0964033d7f6ee47"/>
    <w:p>
      <w:pPr>
        <w:pStyle w:val="Heading1"/>
      </w:pPr>
      <w:r>
        <w:t xml:space="preserve">1. Introduction</w:t>
      </w:r>
    </w:p>
    <w:bookmarkStart w:id="20" w:name="X20d1ef6c323fcc49382d7abfa1802b113007729"/>
    <w:p>
      <w:pPr>
        <w:pStyle w:val="Heading2"/>
      </w:pPr>
      <w:r>
        <w:t xml:space="preserve">1.1 Purpose of This Software Requirements Specification</w:t>
      </w:r>
    </w:p>
    <w:p>
      <w:pPr>
        <w:pStyle w:val="FirstParagraph"/>
      </w:pPr>
      <w:r>
        <w:t xml:space="preserve">This Software Requirements Specification (SRS) defines the functional, non-functional, data, security, and privacy requirements for Ogma Library, a local-first desktop application that converts a collection of Portable Document Format (PDF) files into a managed, searchable personal library. The document conforms to the Recommended Practice for Software Requirements Specifications (IEEE Std 830) and the Guide for Developing System Requirements Specifications (IEEE Std 1233). It is the requirements baseline that the product owner signs off before Agile delivery begins, in accordance with the Hybrid (Water-Scrum-Fall) methodology recorded in the project vision.</w:t>
      </w:r>
    </w:p>
    <w:p>
      <w:pPr>
        <w:pStyle w:val="BodyText"/>
      </w:pPr>
      <w:r>
        <w:t xml:space="preserve">The intended audience is the product design, engineering, Artificial Intelligence (AI), Quality Assurance (QA), and launch-planning team identified in the stakeholder register. Each requirement in this SRS is written to be correct, unambiguous, complete, and verifiable against a deterministic test oracle.</w:t>
      </w:r>
    </w:p>
    <w:bookmarkEnd w:id="20"/>
    <w:bookmarkStart w:id="21" w:name="Xc32aa2591b3f8652098ae452596599f2ad365fc"/>
    <w:p>
      <w:pPr>
        <w:pStyle w:val="Heading2"/>
      </w:pPr>
      <w:r>
        <w:t xml:space="preserve">1.2 Business Goals</w:t>
      </w:r>
    </w:p>
    <w:p>
      <w:pPr>
        <w:pStyle w:val="FirstParagraph"/>
      </w:pPr>
      <w:r>
        <w:t xml:space="preserve">This SRS traces every functional requirement group to one of the following business goals derived from the product vision. The goals are the anchor for the traceability matrix in Section 8.</w:t>
      </w:r>
    </w:p>
    <w:p>
      <w:pPr>
        <w:pStyle w:val="Compact"/>
        <w:numPr>
          <w:ilvl w:val="0"/>
          <w:numId w:val="1001"/>
        </w:numPr>
      </w:pPr>
      <w:r>
        <w:rPr>
          <w:b/>
          <w:bCs/>
        </w:rPr>
        <w:t xml:space="preserve">BG-1 Visible library.</w:t>
      </w:r>
      <w:r>
        <w:t xml:space="preserve"> </w:t>
      </w:r>
      <w:r>
        <w:t xml:space="preserve">Make a PDF collection visible through covers, shelves, metadata, and multiple browsing modes (3D shelf, grid, list, directory).</w:t>
      </w:r>
    </w:p>
    <w:p>
      <w:pPr>
        <w:pStyle w:val="Compact"/>
        <w:numPr>
          <w:ilvl w:val="0"/>
          <w:numId w:val="1001"/>
        </w:numPr>
      </w:pPr>
      <w:r>
        <w:rPr>
          <w:b/>
          <w:bCs/>
        </w:rPr>
        <w:t xml:space="preserve">BG-2 Usable library.</w:t>
      </w:r>
      <w:r>
        <w:t xml:space="preserve"> </w:t>
      </w:r>
      <w:r>
        <w:t xml:space="preserve">Make the collection usable through reading progress, bookmarks, annotations, search, and statistics.</w:t>
      </w:r>
    </w:p>
    <w:p>
      <w:pPr>
        <w:pStyle w:val="Compact"/>
        <w:numPr>
          <w:ilvl w:val="0"/>
          <w:numId w:val="1001"/>
        </w:numPr>
      </w:pPr>
      <w:r>
        <w:rPr>
          <w:b/>
          <w:bCs/>
        </w:rPr>
        <w:t xml:space="preserve">BG-3 Intelligent library.</w:t>
      </w:r>
      <w:r>
        <w:t xml:space="preserve"> </w:t>
      </w:r>
      <w:r>
        <w:t xml:space="preserve">Make the collection intelligent through an AI reading advisor that recommends books from the user's own collection with explanation and confidence.</w:t>
      </w:r>
    </w:p>
    <w:p>
      <w:pPr>
        <w:pStyle w:val="Compact"/>
        <w:numPr>
          <w:ilvl w:val="0"/>
          <w:numId w:val="1001"/>
        </w:numPr>
      </w:pPr>
      <w:r>
        <w:rPr>
          <w:b/>
          <w:bCs/>
        </w:rPr>
        <w:t xml:space="preserve">BG-4 Durable ownership.</w:t>
      </w:r>
      <w:r>
        <w:t xml:space="preserve"> </w:t>
      </w:r>
      <w:r>
        <w:t xml:space="preserve">Keep the user's files in their original format under the user's control; the catalogue augments the folder rather than replacing it.</w:t>
      </w:r>
    </w:p>
    <w:p>
      <w:pPr>
        <w:pStyle w:val="Compact"/>
        <w:numPr>
          <w:ilvl w:val="0"/>
          <w:numId w:val="1001"/>
        </w:numPr>
      </w:pPr>
      <w:r>
        <w:rPr>
          <w:b/>
          <w:bCs/>
        </w:rPr>
        <w:t xml:space="preserve">BG-5 Private by default.</w:t>
      </w:r>
      <w:r>
        <w:t xml:space="preserve"> </w:t>
      </w:r>
      <w:r>
        <w:t xml:space="preserve">Keep catalogue, reading state, annotations, and indexes on the device, and treat every off-device transmission as an explicit, consented, reversible exception.</w:t>
      </w:r>
    </w:p>
    <w:bookmarkEnd w:id="21"/>
    <w:bookmarkStart w:id="22" w:name="X887f4a4822f522fe8c4451fef0d30a3f01df551"/>
    <w:p>
      <w:pPr>
        <w:pStyle w:val="Heading2"/>
      </w:pPr>
      <w:r>
        <w:t xml:space="preserve">1.3 Scope</w:t>
      </w:r>
    </w:p>
    <w:p>
      <w:pPr>
        <w:pStyle w:val="FirstParagraph"/>
      </w:pPr>
      <w:r>
        <w:t xml:space="preserve">Ogma Library is a single, locally installed desktop application. Its in-scope capability set is organised into six functional modules:</w:t>
      </w:r>
    </w:p>
    <w:p>
      <w:pPr>
        <w:pStyle w:val="Compact"/>
        <w:numPr>
          <w:ilvl w:val="0"/>
          <w:numId w:val="1002"/>
        </w:numPr>
      </w:pPr>
      <w:r>
        <w:rPr>
          <w:b/>
          <w:bCs/>
        </w:rPr>
        <w:t xml:space="preserve">Library Setup and Scanning (LIB).</w:t>
      </w:r>
      <w:r>
        <w:t xml:space="preserve"> </w:t>
      </w:r>
      <w:r>
        <w:t xml:space="preserve">Select a library root, discover PDF files, assign stable identity, detect removed files, and generate thumbnails and spine textures.</w:t>
      </w:r>
    </w:p>
    <w:p>
      <w:pPr>
        <w:pStyle w:val="Compact"/>
        <w:numPr>
          <w:ilvl w:val="0"/>
          <w:numId w:val="1002"/>
        </w:numPr>
      </w:pPr>
      <w:r>
        <w:rPr>
          <w:b/>
          <w:bCs/>
        </w:rPr>
        <w:t xml:space="preserve">Catalogue Browsing (CAT).</w:t>
      </w:r>
      <w:r>
        <w:t xml:space="preserve"> </w:t>
      </w:r>
      <w:r>
        <w:t xml:space="preserve">Browse in 3D shelf, grid, list, and directory views; sort, filter, and organise into virtual shelves; inspect metadata.</w:t>
      </w:r>
    </w:p>
    <w:p>
      <w:pPr>
        <w:pStyle w:val="Compact"/>
        <w:numPr>
          <w:ilvl w:val="0"/>
          <w:numId w:val="1002"/>
        </w:numPr>
      </w:pPr>
      <w:r>
        <w:rPr>
          <w:b/>
          <w:bCs/>
        </w:rPr>
        <w:t xml:space="preserve">Metadata Enrichment (META).</w:t>
      </w:r>
      <w:r>
        <w:t xml:space="preserve"> </w:t>
      </w:r>
      <w:r>
        <w:t xml:space="preserve">Detect identifiers, look up bibliographic metadata, merge under a confidence policy, and write metadata back to source files with backup.</w:t>
      </w:r>
    </w:p>
    <w:p>
      <w:pPr>
        <w:pStyle w:val="Compact"/>
        <w:numPr>
          <w:ilvl w:val="0"/>
          <w:numId w:val="1002"/>
        </w:numPr>
      </w:pPr>
      <w:r>
        <w:rPr>
          <w:b/>
          <w:bCs/>
        </w:rPr>
        <w:t xml:space="preserve">PDF Reader (READ).</w:t>
      </w:r>
      <w:r>
        <w:t xml:space="preserve"> </w:t>
      </w:r>
      <w:r>
        <w:t xml:space="preserve">Open and read PDF files, navigate, zoom, annotate, search text, and resume reading position.</w:t>
      </w:r>
    </w:p>
    <w:p>
      <w:pPr>
        <w:pStyle w:val="Compact"/>
        <w:numPr>
          <w:ilvl w:val="0"/>
          <w:numId w:val="1002"/>
        </w:numPr>
      </w:pPr>
      <w:r>
        <w:rPr>
          <w:b/>
          <w:bCs/>
        </w:rPr>
        <w:t xml:space="preserve">Search and Indexing (SEARCH).</w:t>
      </w:r>
      <w:r>
        <w:t xml:space="preserve"> </w:t>
      </w:r>
      <w:r>
        <w:t xml:space="preserve">Provide metadata search, full-text search, semantic search, and hybrid ranking with an index manager.</w:t>
      </w:r>
    </w:p>
    <w:p>
      <w:pPr>
        <w:pStyle w:val="Compact"/>
        <w:numPr>
          <w:ilvl w:val="0"/>
          <w:numId w:val="1002"/>
        </w:numPr>
      </w:pPr>
      <w:r>
        <w:rPr>
          <w:b/>
          <w:bCs/>
        </w:rPr>
        <w:t xml:space="preserve">AI Advisor (AI).</w:t>
      </w:r>
      <w:r>
        <w:t xml:space="preserve"> </w:t>
      </w:r>
      <w:r>
        <w:t xml:space="preserve">Recommend books from user intent under a provider-neutral gateway and a tiered privacy model, with explanation and confidence.</w:t>
      </w:r>
    </w:p>
    <w:p>
      <w:pPr>
        <w:pStyle w:val="FirstParagraph"/>
      </w:pPr>
      <w:r>
        <w:t xml:space="preserve">The following items are explicitly out of scope for the Minimum Viable Product (MVP), per the vision:</w:t>
      </w:r>
    </w:p>
    <w:p>
      <w:pPr>
        <w:pStyle w:val="Compact"/>
        <w:numPr>
          <w:ilvl w:val="0"/>
          <w:numId w:val="1003"/>
        </w:numPr>
      </w:pPr>
      <w:r>
        <w:t xml:space="preserve">Cloud synchronisation. The data model is designed to permit encrypted synchronisation later; planning is deferred to V2.</w:t>
      </w:r>
    </w:p>
    <w:p>
      <w:pPr>
        <w:pStyle w:val="Compact"/>
        <w:numPr>
          <w:ilvl w:val="0"/>
          <w:numId w:val="1003"/>
        </w:numPr>
      </w:pPr>
      <w:r>
        <w:t xml:space="preserve">Electronic Publication (EPUB) and Comic Book Archive (CBZ) formats. The schema is prepared for these formats; support is post-MVP.</w:t>
      </w:r>
    </w:p>
    <w:p>
      <w:pPr>
        <w:pStyle w:val="Compact"/>
        <w:numPr>
          <w:ilvl w:val="0"/>
          <w:numId w:val="1003"/>
        </w:numPr>
      </w:pPr>
      <w:r>
        <w:t xml:space="preserve">PDF write-back of highlight annotations. Annotations persist in the catalogue of record first; PDF write-back of highlights is post-MVP.</w:t>
      </w:r>
    </w:p>
    <w:bookmarkEnd w:id="22"/>
    <w:bookmarkStart w:id="23" w:name="Xa1f827e69131a9242dd1811f908c9d7e0b8c433"/>
    <w:p>
      <w:pPr>
        <w:pStyle w:val="Heading2"/>
      </w:pPr>
      <w:r>
        <w:t xml:space="preserve">1.4 Definitions, Acronyms, and Abbreviations</w:t>
      </w:r>
    </w:p>
    <w:p>
      <w:pPr>
        <w:pStyle w:val="FirstParagraph"/>
      </w:pPr>
      <w:r>
        <w:t xml:space="preserve">All domain terms, technical terms, acronyms, and standards used in this SRS are defined in the project glossary at</w:t>
      </w:r>
      <w:r>
        <w:t xml:space="preserve"> </w:t>
      </w:r>
      <w:r>
        <w:rPr>
          <w:rStyle w:val="VerbatimChar"/>
        </w:rPr>
        <w:t xml:space="preserve">projects/Ogma-Library/_context/glossary.md</w:t>
      </w:r>
      <w:r>
        <w:t xml:space="preserve">. Each acronym is spelled out on first use in this document and abbreviated thereafter. Any term used in this SRS that is not present in the glossary is flagged inline as</w:t>
      </w:r>
      <w:r>
        <w:t xml:space="preserve"> </w:t>
      </w:r>
      <w:r>
        <w:rPr>
          <w:rStyle w:val="VerbatimChar"/>
        </w:rPr>
        <w:t xml:space="preserve">[GLOSSARY-GAP: &lt;term&gt;]</w:t>
      </w:r>
      <w:r>
        <w:t xml:space="preserve"> </w:t>
      </w:r>
      <w:r>
        <w:t xml:space="preserve">and is collected in Section 8.</w:t>
      </w:r>
    </w:p>
    <w:bookmarkEnd w:id="23"/>
    <w:bookmarkStart w:id="24" w:name="Xcb8f34702d1980450cb726f50d1fbc110147fb8"/>
    <w:p>
      <w:pPr>
        <w:pStyle w:val="Heading2"/>
      </w:pPr>
      <w:r>
        <w:t xml:space="preserve">1.5 References</w:t>
      </w:r>
    </w:p>
    <w:p>
      <w:pPr>
        <w:pStyle w:val="Compact"/>
        <w:numPr>
          <w:ilvl w:val="0"/>
          <w:numId w:val="1004"/>
        </w:numPr>
      </w:pPr>
      <w:r>
        <w:t xml:space="preserve">IEEE Std 830 — Recommended Practice for Software Requirements Specifications.</w:t>
      </w:r>
    </w:p>
    <w:p>
      <w:pPr>
        <w:pStyle w:val="Compact"/>
        <w:numPr>
          <w:ilvl w:val="0"/>
          <w:numId w:val="1004"/>
        </w:numPr>
      </w:pPr>
      <w:r>
        <w:t xml:space="preserve">IEEE Std 1233 — Guide for Developing System Requirements Specifications.</w:t>
      </w:r>
    </w:p>
    <w:p>
      <w:pPr>
        <w:pStyle w:val="Compact"/>
        <w:numPr>
          <w:ilvl w:val="0"/>
          <w:numId w:val="1004"/>
        </w:numPr>
      </w:pPr>
      <w:r>
        <w:t xml:space="preserve">IEEE Std 610.12 — Standard Glossary of Software Engineering Terminology.</w:t>
      </w:r>
    </w:p>
    <w:p>
      <w:pPr>
        <w:pStyle w:val="Compact"/>
        <w:numPr>
          <w:ilvl w:val="0"/>
          <w:numId w:val="1004"/>
        </w:numPr>
      </w:pPr>
      <w:r>
        <w:t xml:space="preserve">IEEE Std 1012 — Standard for System, Software, and Hardware Verification and Validation.</w:t>
      </w:r>
    </w:p>
    <w:p>
      <w:pPr>
        <w:pStyle w:val="Compact"/>
        <w:numPr>
          <w:ilvl w:val="0"/>
          <w:numId w:val="1004"/>
        </w:numPr>
      </w:pPr>
      <w:r>
        <w:t xml:space="preserve">IEEE Std 982.1 — Standard Dictionary of Measures of the Software Aspects of Dependability.</w:t>
      </w:r>
    </w:p>
    <w:p>
      <w:pPr>
        <w:pStyle w:val="Compact"/>
        <w:numPr>
          <w:ilvl w:val="0"/>
          <w:numId w:val="1004"/>
        </w:numPr>
      </w:pPr>
      <w:r>
        <w:t xml:space="preserve">ASTM E1340 — Standard Guide for Rapid Prototyping of Computerized Systems.</w:t>
      </w:r>
    </w:p>
    <w:p>
      <w:pPr>
        <w:pStyle w:val="Compact"/>
        <w:numPr>
          <w:ilvl w:val="0"/>
          <w:numId w:val="1004"/>
        </w:numPr>
      </w:pPr>
      <w:r>
        <w:t xml:space="preserve">ISO/IEC 25010 — Systems and software Quality Requirements and Evaluation (product quality model).</w:t>
      </w:r>
    </w:p>
    <w:p>
      <w:pPr>
        <w:pStyle w:val="Compact"/>
        <w:numPr>
          <w:ilvl w:val="0"/>
          <w:numId w:val="1004"/>
        </w:numPr>
      </w:pPr>
      <w:r>
        <w:t xml:space="preserve">Web Content Accessibility Guidelines (WCAG) 2.2 Level AA.</w:t>
      </w:r>
    </w:p>
    <w:p>
      <w:pPr>
        <w:pStyle w:val="Compact"/>
        <w:numPr>
          <w:ilvl w:val="0"/>
          <w:numId w:val="1004"/>
        </w:numPr>
      </w:pPr>
      <w:r>
        <w:t xml:space="preserve">Project context:</w:t>
      </w:r>
      <w:r>
        <w:t xml:space="preserve"> </w:t>
      </w:r>
      <w:r>
        <w:rPr>
          <w:rStyle w:val="VerbatimChar"/>
        </w:rPr>
        <w:t xml:space="preserve">_context/vision.md</w:t>
      </w:r>
      <w:r>
        <w:t xml:space="preserve">,</w:t>
      </w:r>
      <w:r>
        <w:t xml:space="preserve"> </w:t>
      </w:r>
      <w:r>
        <w:rPr>
          <w:rStyle w:val="VerbatimChar"/>
        </w:rPr>
        <w:t xml:space="preserve">_context/features.md</w:t>
      </w:r>
      <w:r>
        <w:t xml:space="preserve">,</w:t>
      </w:r>
      <w:r>
        <w:t xml:space="preserve"> </w:t>
      </w:r>
      <w:r>
        <w:rPr>
          <w:rStyle w:val="VerbatimChar"/>
        </w:rPr>
        <w:t xml:space="preserve">_context/stakeholders.md</w:t>
      </w:r>
      <w:r>
        <w:t xml:space="preserve">,</w:t>
      </w:r>
      <w:r>
        <w:t xml:space="preserve"> </w:t>
      </w:r>
      <w:r>
        <w:rPr>
          <w:rStyle w:val="VerbatimChar"/>
        </w:rPr>
        <w:t xml:space="preserve">_context/domain.md</w:t>
      </w:r>
      <w:r>
        <w:t xml:space="preserve">,</w:t>
      </w:r>
      <w:r>
        <w:t xml:space="preserve"> </w:t>
      </w:r>
      <w:r>
        <w:rPr>
          <w:rStyle w:val="VerbatimChar"/>
        </w:rPr>
        <w:t xml:space="preserve">_context/glossary.md</w:t>
      </w:r>
      <w:r>
        <w:t xml:space="preserve">.</w:t>
      </w:r>
    </w:p>
    <w:p>
      <w:pPr>
        <w:pStyle w:val="Compact"/>
        <w:numPr>
          <w:ilvl w:val="0"/>
          <w:numId w:val="1004"/>
        </w:numPr>
      </w:pPr>
      <w:r>
        <w:t xml:space="preserve">Domain references:</w:t>
      </w:r>
      <w:r>
        <w:t xml:space="preserve"> </w:t>
      </w:r>
      <w:r>
        <w:rPr>
          <w:rStyle w:val="VerbatimChar"/>
        </w:rPr>
        <w:t xml:space="preserve">domains/productivity/references/nfr-defaults.md</w:t>
      </w:r>
      <w:r>
        <w:t xml:space="preserve">,</w:t>
      </w:r>
      <w:r>
        <w:t xml:space="preserve"> </w:t>
      </w:r>
      <w:r>
        <w:rPr>
          <w:rStyle w:val="VerbatimChar"/>
        </w:rPr>
        <w:t xml:space="preserve">domains/productivity/references/security-baseline.md</w:t>
      </w:r>
      <w:r>
        <w:t xml:space="preserve">,</w:t>
      </w:r>
      <w:r>
        <w:t xml:space="preserve"> </w:t>
      </w:r>
      <w:r>
        <w:rPr>
          <w:rStyle w:val="VerbatimChar"/>
        </w:rPr>
        <w:t xml:space="preserve">domains/productivity/references/regulations.md</w:t>
      </w:r>
      <w:r>
        <w:t xml:space="preserve">.</w:t>
      </w:r>
    </w:p>
    <w:bookmarkEnd w:id="24"/>
    <w:bookmarkStart w:id="25" w:name="X29f302f01fd3943ee644211218f978116071c80"/>
    <w:p>
      <w:pPr>
        <w:pStyle w:val="Heading2"/>
      </w:pPr>
      <w:r>
        <w:t xml:space="preserve">1.6 Overview of the Document</w:t>
      </w:r>
    </w:p>
    <w:p>
      <w:pPr>
        <w:pStyle w:val="FirstParagraph"/>
      </w:pPr>
      <w:r>
        <w:t xml:space="preserve">Section 2 describes the product perspective, functions, users, constraints, assumptions, and the privacy-tier model. Section 3 specifies external interface requirements. Section 4 specifies all functional requirements grouped by module. Section 5 specifies non-functional requirements, including the injected productivity domain defaults. Section 6 specifies data requirements and the book-identity strategy. Section 7 specifies security and privacy requirements. Section 8 specifies the Verification and Validation approach, the traceability matrix, and the consolidated review flags.</w:t>
      </w:r>
    </w:p>
    <w:p>
      <w:pPr>
        <w:pStyle w:val="BodyText"/>
      </w:pPr>
      <w:r>
        <w:t xml:space="preserve">\newpage</w:t>
      </w:r>
    </w:p>
    <w:bookmarkEnd w:id="25"/>
    <w:bookmarkEnd w:id="26"/>
    <w:bookmarkStart w:id="33" w:name="X9193add25e2ce1e86c38972eca5adfa00384b97"/>
    <w:p>
      <w:pPr>
        <w:pStyle w:val="Heading1"/>
      </w:pPr>
      <w:r>
        <w:t xml:space="preserve">2. Overall Description</w:t>
      </w:r>
    </w:p>
    <w:bookmarkStart w:id="27" w:name="X40679f18d7e6714a9b5771b70f2e7757bd6390a"/>
    <w:p>
      <w:pPr>
        <w:pStyle w:val="Heading2"/>
      </w:pPr>
      <w:r>
        <w:t xml:space="preserve">2.1 Product Perspective</w:t>
      </w:r>
    </w:p>
    <w:p>
      <w:pPr>
        <w:pStyle w:val="FirstParagraph"/>
      </w:pPr>
      <w:r>
        <w:t xml:space="preserve">Ogma Library is a self-contained, locally installed desktop application. It is not a component of a larger system and depends on no server-side service for its core operation. It is architected as a</w:t>
      </w:r>
      <w:r>
        <w:t xml:space="preserve"> </w:t>
      </w:r>
      <w:r>
        <w:rPr>
          <w:i/>
          <w:iCs/>
        </w:rPr>
        <w:t xml:space="preserve">modular monolith</w:t>
      </w:r>
      <w:r>
        <w:t xml:space="preserve">: a single deployable application internally divided into well-bounded modules (Library, Catalogue, Metadata, Reader, Search, AI) that communicate across explicit</w:t>
      </w:r>
      <w:r>
        <w:t xml:space="preserve"> </w:t>
      </w:r>
      <w:r>
        <w:rPr>
          <w:i/>
          <w:iCs/>
        </w:rPr>
        <w:t xml:space="preserve">bounded context</w:t>
      </w:r>
      <w:r>
        <w:t xml:space="preserve"> </w:t>
      </w:r>
      <w:r>
        <w:t xml:space="preserve">boundaries.</w:t>
      </w:r>
    </w:p>
    <w:p>
      <w:pPr>
        <w:pStyle w:val="BodyText"/>
      </w:pPr>
      <w:r>
        <w:t xml:space="preserve">The application is local-first by default. The</w:t>
      </w:r>
      <w:r>
        <w:t xml:space="preserve"> </w:t>
      </w:r>
      <w:r>
        <w:rPr>
          <w:i/>
          <w:iCs/>
        </w:rPr>
        <w:t xml:space="preserve">catalogue of record</w:t>
      </w:r>
      <w:r>
        <w:t xml:space="preserve"> </w:t>
      </w:r>
      <w:r>
        <w:t xml:space="preserve">— the embedded SQLite database — is the authoritative source of truth for book identity, metadata, virtual shelves, reading progress, and annotations. The database augments the user's folder of PDF files; it does not replace it, and it never locks the user's files into a proprietary container. Generated artifacts (covers, thumbnails, spine textures, Optical Character Recognition (OCR) text, extracted text, embeddings, and backups) are held in a</w:t>
      </w:r>
      <w:r>
        <w:t xml:space="preserve"> </w:t>
      </w:r>
      <w:r>
        <w:rPr>
          <w:i/>
          <w:iCs/>
        </w:rPr>
        <w:t xml:space="preserve">sidecar asset folder</w:t>
      </w:r>
      <w:r>
        <w:t xml:space="preserve"> </w:t>
      </w:r>
      <w:r>
        <w:t xml:space="preserve">on disk, outside the database.</w:t>
      </w:r>
    </w:p>
    <w:p>
      <w:pPr>
        <w:pStyle w:val="BodyText"/>
      </w:pPr>
      <w:r>
        <w:t xml:space="preserve">The desktop shell is built on Avalonia, a cross-platform .NET User Interface (UI) framework. The 3D bookshelf is rendered with Three.js inside an embedded platform web control (WebView2 on Windows, WKWebView on macOS), driven by a typed C#-to-JavaScript</w:t>
      </w:r>
      <w:r>
        <w:t xml:space="preserve"> </w:t>
      </w:r>
      <w:r>
        <w:rPr>
          <w:i/>
          <w:iCs/>
        </w:rPr>
        <w:t xml:space="preserve">message bridge</w:t>
      </w:r>
      <w:r>
        <w:t xml:space="preserve">.</w:t>
      </w:r>
    </w:p>
    <w:bookmarkEnd w:id="27"/>
    <w:bookmarkStart w:id="28" w:name="X8a79d0d6a0ced62c3451ef7400d041837550cfe"/>
    <w:p>
      <w:pPr>
        <w:pStyle w:val="Heading2"/>
      </w:pPr>
      <w:r>
        <w:t xml:space="preserve">2.2 Product Functions</w:t>
      </w:r>
    </w:p>
    <w:p>
      <w:pPr>
        <w:pStyle w:val="FirstParagraph"/>
      </w:pPr>
      <w:r>
        <w:t xml:space="preserve">At a summary level, Ogma Library provides the following functions, detailed as numbered requirements in Section 4.</w:t>
      </w:r>
    </w:p>
    <w:p>
      <w:pPr>
        <w:pStyle w:val="Compact"/>
        <w:numPr>
          <w:ilvl w:val="0"/>
          <w:numId w:val="1005"/>
        </w:numPr>
      </w:pPr>
      <w:r>
        <w:t xml:space="preserve">Select a library root and discover, identify, and track PDF files within it.</w:t>
      </w:r>
    </w:p>
    <w:p>
      <w:pPr>
        <w:pStyle w:val="Compact"/>
        <w:numPr>
          <w:ilvl w:val="0"/>
          <w:numId w:val="1005"/>
        </w:numPr>
      </w:pPr>
      <w:r>
        <w:t xml:space="preserve">Browse the catalogue in 3D shelf, grid, list, and directory modes that share one book-detail and reader surface.</w:t>
      </w:r>
    </w:p>
    <w:p>
      <w:pPr>
        <w:pStyle w:val="Compact"/>
        <w:numPr>
          <w:ilvl w:val="0"/>
          <w:numId w:val="1005"/>
        </w:numPr>
      </w:pPr>
      <w:r>
        <w:t xml:space="preserve">Organise books into virtual shelves and smart shelves independent of file path.</w:t>
      </w:r>
    </w:p>
    <w:p>
      <w:pPr>
        <w:pStyle w:val="Compact"/>
        <w:numPr>
          <w:ilvl w:val="0"/>
          <w:numId w:val="1005"/>
        </w:numPr>
      </w:pPr>
      <w:r>
        <w:t xml:space="preserve">Detect identifiers, look up and merge bibliographic metadata under a reviewable confidence policy, and write metadata back to source files with backup and diff.</w:t>
      </w:r>
    </w:p>
    <w:p>
      <w:pPr>
        <w:pStyle w:val="Compact"/>
        <w:numPr>
          <w:ilvl w:val="0"/>
          <w:numId w:val="1005"/>
        </w:numPr>
      </w:pPr>
      <w:r>
        <w:t xml:space="preserve">Open, read, navigate, zoom, search, bookmark, and annotate PDF files, resuming the last reading position.</w:t>
      </w:r>
    </w:p>
    <w:p>
      <w:pPr>
        <w:pStyle w:val="Compact"/>
        <w:numPr>
          <w:ilvl w:val="0"/>
          <w:numId w:val="1005"/>
        </w:numPr>
      </w:pPr>
      <w:r>
        <w:t xml:space="preserve">Provide metadata search, full-text search over an FTS5 index, semantic search over embeddings, and hybrid ranking.</w:t>
      </w:r>
    </w:p>
    <w:p>
      <w:pPr>
        <w:pStyle w:val="Compact"/>
        <w:numPr>
          <w:ilvl w:val="0"/>
          <w:numId w:val="1005"/>
        </w:numPr>
      </w:pPr>
      <w:r>
        <w:t xml:space="preserve">Recommend books from the user's own collection through a provider-neutral AI gateway, with explanation, confidence, and a tiered privacy model.</w:t>
      </w:r>
    </w:p>
    <w:bookmarkEnd w:id="28"/>
    <w:bookmarkStart w:id="29" w:name="Xd2f70ac4050bfb0f41ce4f9357738f18c684a1e"/>
    <w:p>
      <w:pPr>
        <w:pStyle w:val="Heading2"/>
      </w:pPr>
      <w:r>
        <w:t xml:space="preserve">2.3 User Characteristics</w:t>
      </w:r>
    </w:p>
    <w:p>
      <w:pPr>
        <w:pStyle w:val="FirstParagraph"/>
      </w:pPr>
      <w:r>
        <w:t xml:space="preserve">The application is designed for five personas drawn from the stakeholder register. Each persona defines a distinct success signal and a critical feature set that the requirements in Section 4 must satisfy.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Primary job</w:t>
            </w:r>
          </w:p>
        </w:tc>
        <w:tc>
          <w:tcPr/>
          <w:p>
            <w:pPr>
              <w:pStyle w:val="Compact"/>
            </w:pPr>
            <w:r>
              <w:t xml:space="preserve">Product success signal</w:t>
            </w:r>
          </w:p>
        </w:tc>
        <w:tc>
          <w:tcPr/>
          <w:p>
            <w:pPr>
              <w:pStyle w:val="Compact"/>
            </w:pPr>
            <w:r>
              <w:t xml:space="preserve">Critical feature focus</w:t>
            </w:r>
          </w:p>
        </w:tc>
      </w:tr>
      <w:tr>
        <w:tc>
          <w:tcPr/>
          <w:p>
            <w:pPr>
              <w:pStyle w:val="Compact"/>
            </w:pPr>
            <w:r>
              <w:t xml:space="preserve">Serious reader</w:t>
            </w:r>
          </w:p>
        </w:tc>
        <w:tc>
          <w:tcPr/>
          <w:p>
            <w:pPr>
              <w:pStyle w:val="Compact"/>
            </w:pPr>
            <w:r>
              <w:t xml:space="preserve">Re-discover and continue books accumulated over years</w:t>
            </w:r>
          </w:p>
        </w:tc>
        <w:tc>
          <w:tcPr/>
          <w:p>
            <w:pPr>
              <w:pStyle w:val="Compact"/>
            </w:pPr>
            <w:r>
              <w:t xml:space="preserve">Finds, resumes, and browses without recalling file names</w:t>
            </w:r>
          </w:p>
        </w:tc>
        <w:tc>
          <w:tcPr/>
          <w:p>
            <w:pPr>
              <w:pStyle w:val="Compact"/>
            </w:pPr>
            <w:r>
              <w:t xml:space="preserve">3D shelf, grid view, progress, shelves, reading statistics</w:t>
            </w:r>
          </w:p>
        </w:tc>
      </w:tr>
      <w:tr>
        <w:tc>
          <w:tcPr/>
          <w:p>
            <w:pPr>
              <w:pStyle w:val="Compact"/>
            </w:pPr>
            <w:r>
              <w:t xml:space="preserve">Researcher</w:t>
            </w:r>
          </w:p>
        </w:tc>
        <w:tc>
          <w:tcPr/>
          <w:p>
            <w:pPr>
              <w:pStyle w:val="Compact"/>
            </w:pPr>
            <w:r>
              <w:t xml:space="preserve">Find the right document for a topic or question</w:t>
            </w:r>
          </w:p>
        </w:tc>
        <w:tc>
          <w:tcPr/>
          <w:p>
            <w:pPr>
              <w:pStyle w:val="Compact"/>
            </w:pPr>
            <w:r>
              <w:t xml:space="preserve">Moves from intent to relevant source quickly</w:t>
            </w:r>
          </w:p>
        </w:tc>
        <w:tc>
          <w:tcPr/>
          <w:p>
            <w:pPr>
              <w:pStyle w:val="Compact"/>
            </w:pPr>
            <w:r>
              <w:t xml:space="preserve">Full-text search, semantic search, AI advisor, annotations, citations</w:t>
            </w:r>
          </w:p>
        </w:tc>
      </w:tr>
      <w:tr>
        <w:tc>
          <w:tcPr/>
          <w:p>
            <w:pPr>
              <w:pStyle w:val="Compact"/>
            </w:pPr>
            <w:r>
              <w:t xml:space="preserve">Collector</w:t>
            </w:r>
          </w:p>
        </w:tc>
        <w:tc>
          <w:tcPr/>
          <w:p>
            <w:pPr>
              <w:pStyle w:val="Compact"/>
            </w:pPr>
            <w:r>
              <w:t xml:space="preserve">Correct and preserve metadata</w:t>
            </w:r>
          </w:p>
        </w:tc>
        <w:tc>
          <w:tcPr/>
          <w:p>
            <w:pPr>
              <w:pStyle w:val="Compact"/>
            </w:pPr>
            <w:r>
              <w:t xml:space="preserve">Repairs, enriches, exports, and writes metadata safely</w:t>
            </w:r>
          </w:p>
        </w:tc>
        <w:tc>
          <w:tcPr/>
          <w:p>
            <w:pPr>
              <w:pStyle w:val="Compact"/>
            </w:pPr>
            <w:r>
              <w:t xml:space="preserve">ISBN detection, provider lookup, metadata editor, backups</w:t>
            </w:r>
          </w:p>
        </w:tc>
      </w:tr>
      <w:tr>
        <w:tc>
          <w:tcPr/>
          <w:p>
            <w:pPr>
              <w:pStyle w:val="Compact"/>
            </w:pPr>
            <w:r>
              <w:t xml:space="preserve">Power librarian</w:t>
            </w:r>
          </w:p>
        </w:tc>
        <w:tc>
          <w:tcPr/>
          <w:p>
            <w:pPr>
              <w:pStyle w:val="Compact"/>
            </w:pPr>
            <w:r>
              <w:t xml:space="preserve">Maintain a large collection over time</w:t>
            </w:r>
          </w:p>
        </w:tc>
        <w:tc>
          <w:tcPr/>
          <w:p>
            <w:pPr>
              <w:pStyle w:val="Compact"/>
            </w:pPr>
            <w:r>
              <w:t xml:space="preserve">Audits duplicates, gaps, unavailable files, broken covers</w:t>
            </w:r>
          </w:p>
        </w:tc>
        <w:tc>
          <w:tcPr/>
          <w:p>
            <w:pPr>
              <w:pStyle w:val="Compact"/>
            </w:pPr>
            <w:r>
              <w:t xml:space="preserve">Health dashboard, duplicate detection, batch jobs</w:t>
            </w:r>
          </w:p>
        </w:tc>
      </w:tr>
      <w:tr>
        <w:tc>
          <w:tcPr/>
          <w:p>
            <w:pPr>
              <w:pStyle w:val="Compact"/>
            </w:pPr>
            <w:r>
              <w:t xml:space="preserve">Privacy-sensitive user</w:t>
            </w:r>
          </w:p>
        </w:tc>
        <w:tc>
          <w:tcPr/>
          <w:p>
            <w:pPr>
              <w:pStyle w:val="Compact"/>
            </w:pPr>
            <w:r>
              <w:t xml:space="preserve">Use AI without exposing documents unnecessarily</w:t>
            </w:r>
          </w:p>
        </w:tc>
        <w:tc>
          <w:tcPr/>
          <w:p>
            <w:pPr>
              <w:pStyle w:val="Compact"/>
            </w:pPr>
            <w:r>
              <w:t xml:space="preserve">Chooses local-only or metadata-only AI modes</w:t>
            </w:r>
          </w:p>
        </w:tc>
        <w:tc>
          <w:tcPr/>
          <w:p>
            <w:pPr>
              <w:pStyle w:val="Compact"/>
            </w:pPr>
            <w:r>
              <w:t xml:space="preserve">Privacy labels, local embeddings, explicit upload controls</w:t>
            </w:r>
          </w:p>
        </w:tc>
      </w:tr>
    </w:tbl>
    <w:p>
      <w:pPr>
        <w:pStyle w:val="BodyText"/>
      </w:pPr>
      <w:r>
        <w:t xml:space="preserve">The application targets users with general desktop-computing competence. It does not assume software-engineering knowledge. Keyboard-only and screen-reader users are a first-class audience; WCAG 2.2 Level AA conformance is a release gate (see Section 5).</w:t>
      </w:r>
    </w:p>
    <w:bookmarkEnd w:id="29"/>
    <w:bookmarkStart w:id="30" w:name="X1d37ca2cf2c6517ebe12098404c292ffcd35a5b"/>
    <w:p>
      <w:pPr>
        <w:pStyle w:val="Heading2"/>
      </w:pPr>
      <w:r>
        <w:t xml:space="preserve">2.4 Constraints</w:t>
      </w:r>
    </w:p>
    <w:p>
      <w:pPr>
        <w:pStyle w:val="Compact"/>
        <w:numPr>
          <w:ilvl w:val="0"/>
          <w:numId w:val="1006"/>
        </w:numPr>
      </w:pPr>
      <w:r>
        <w:rPr>
          <w:b/>
          <w:bCs/>
        </w:rPr>
        <w:t xml:space="preserve">CON-1 Runtime baseline.</w:t>
      </w:r>
      <w:r>
        <w:t xml:space="preserve"> </w:t>
      </w:r>
      <w:r>
        <w:t xml:space="preserve">The application SHALL target the .NET 10 Long-Term Support (LTS) runtime, active through 2028-11-14. Use of .NET 8 is permitted only as a temporary compatibility bridge behind a documented blocker recorded in an Architecture Decision Record (ADR) with a dated migration plan.</w:t>
      </w:r>
    </w:p>
    <w:p>
      <w:pPr>
        <w:pStyle w:val="Compact"/>
        <w:numPr>
          <w:ilvl w:val="0"/>
          <w:numId w:val="1006"/>
        </w:numPr>
      </w:pPr>
      <w:r>
        <w:rPr>
          <w:b/>
          <w:bCs/>
        </w:rPr>
        <w:t xml:space="preserve">CON-2 Local-first operation.</w:t>
      </w:r>
      <w:r>
        <w:t xml:space="preserve"> </w:t>
      </w:r>
      <w:r>
        <w:t xml:space="preserve">Core operations SHALL function with no network connection present (see Section 5, NFR-PROD-001).</w:t>
      </w:r>
    </w:p>
    <w:p>
      <w:pPr>
        <w:pStyle w:val="Compact"/>
        <w:numPr>
          <w:ilvl w:val="0"/>
          <w:numId w:val="1006"/>
        </w:numPr>
      </w:pPr>
      <w:r>
        <w:rPr>
          <w:b/>
          <w:bCs/>
        </w:rPr>
        <w:t xml:space="preserve">CON-3 File ownership.</w:t>
      </w:r>
      <w:r>
        <w:t xml:space="preserve"> </w:t>
      </w:r>
      <w:r>
        <w:t xml:space="preserve">The application SHALL keep source files in their original format under the user's control and SHALL NOT require rewriting them into a proprietary container (see Section 5, NFR-PROD-009).</w:t>
      </w:r>
    </w:p>
    <w:p>
      <w:pPr>
        <w:pStyle w:val="Compact"/>
        <w:numPr>
          <w:ilvl w:val="0"/>
          <w:numId w:val="1006"/>
        </w:numPr>
      </w:pPr>
      <w:r>
        <w:rPr>
          <w:b/>
          <w:bCs/>
        </w:rPr>
        <w:t xml:space="preserve">CON-4 Single egress chokepoint.</w:t>
      </w:r>
      <w:r>
        <w:t xml:space="preserve"> </w:t>
      </w:r>
      <w:r>
        <w:t xml:space="preserve">All off-device network calls SHALL route through the provider AI gateway; no feature module may open its own network connection to a provider (see Section 7).</w:t>
      </w:r>
    </w:p>
    <w:p>
      <w:pPr>
        <w:pStyle w:val="Compact"/>
        <w:numPr>
          <w:ilvl w:val="0"/>
          <w:numId w:val="1006"/>
        </w:numPr>
      </w:pPr>
      <w:r>
        <w:rPr>
          <w:b/>
          <w:bCs/>
        </w:rPr>
        <w:t xml:space="preserve">CON-5 Accessibility.</w:t>
      </w:r>
      <w:r>
        <w:t xml:space="preserve"> </w:t>
      </w:r>
      <w:r>
        <w:t xml:space="preserve">The application SHALL conform to WCAG 2.2 Level AA as a release gate (see Section 5).</w:t>
      </w:r>
    </w:p>
    <w:p>
      <w:pPr>
        <w:pStyle w:val="Compact"/>
        <w:numPr>
          <w:ilvl w:val="0"/>
          <w:numId w:val="1006"/>
        </w:numPr>
      </w:pPr>
      <w:r>
        <w:rPr>
          <w:b/>
          <w:bCs/>
        </w:rPr>
        <w:t xml:space="preserve">CON-6 Platform targets.</w:t>
      </w:r>
      <w:r>
        <w:t xml:space="preserve"> </w:t>
      </w:r>
      <w:r>
        <w:t xml:space="preserve">The MVP SHALL run on Windows (WebView2) and macOS (WKWebView).</w:t>
      </w:r>
      <w:r>
        <w:t xml:space="preserve"> </w:t>
      </w:r>
      <w:r>
        <w:rPr>
          <w:rStyle w:val="VerbatimChar"/>
        </w:rPr>
        <w:t xml:space="preserve">[CONTEXT-GAP: confirmation of Linux as an MVP target platform — the glossary references a Linux Secret Service credential store but the personas and platform interfaces do not confirm Linux scope]</w:t>
      </w:r>
    </w:p>
    <w:bookmarkEnd w:id="30"/>
    <w:bookmarkStart w:id="31" w:name="X64d2af84293eeb3b79c868ce9364e2198597b19"/>
    <w:p>
      <w:pPr>
        <w:pStyle w:val="Heading2"/>
      </w:pPr>
      <w:r>
        <w:t xml:space="preserve">2.5 Assumptions and Dependencies</w:t>
      </w:r>
    </w:p>
    <w:p>
      <w:pPr>
        <w:pStyle w:val="Compact"/>
        <w:numPr>
          <w:ilvl w:val="0"/>
          <w:numId w:val="1007"/>
        </w:numPr>
      </w:pPr>
      <w:r>
        <w:rPr>
          <w:b/>
          <w:bCs/>
        </w:rPr>
        <w:t xml:space="preserve">ASM-1.</w:t>
      </w:r>
      <w:r>
        <w:t xml:space="preserve"> </w:t>
      </w:r>
      <w:r>
        <w:t xml:space="preserve">The user's PDF collection resides on a local or locally mounted file system reachable by an absolute path under a single library root.</w:t>
      </w:r>
    </w:p>
    <w:p>
      <w:pPr>
        <w:pStyle w:val="Compact"/>
        <w:numPr>
          <w:ilvl w:val="0"/>
          <w:numId w:val="1007"/>
        </w:numPr>
      </w:pPr>
      <w:r>
        <w:rPr>
          <w:b/>
          <w:bCs/>
        </w:rPr>
        <w:t xml:space="preserve">ASM-2.</w:t>
      </w:r>
      <w:r>
        <w:t xml:space="preserve"> </w:t>
      </w:r>
      <w:r>
        <w:t xml:space="preserve">The reference hardware against which latency budgets are validated is defined by the QA team before the first benchmark run.</w:t>
      </w:r>
      <w:r>
        <w:t xml:space="preserve"> </w:t>
      </w:r>
      <w:r>
        <w:rPr>
          <w:rStyle w:val="VerbatimChar"/>
        </w:rPr>
        <w:t xml:space="preserve">[CONTEXT-GAP: exact reference-hardware specification — CPU, RAM, and storage class — is not yet recorded in _context]</w:t>
      </w:r>
    </w:p>
    <w:p>
      <w:pPr>
        <w:pStyle w:val="Compact"/>
        <w:numPr>
          <w:ilvl w:val="0"/>
          <w:numId w:val="1007"/>
        </w:numPr>
      </w:pPr>
      <w:r>
        <w:rPr>
          <w:b/>
          <w:bCs/>
        </w:rPr>
        <w:t xml:space="preserve">DEP-1.</w:t>
      </w:r>
      <w:r>
        <w:t xml:space="preserve"> </w:t>
      </w:r>
      <w:r>
        <w:t xml:space="preserve">PDF rendering depends on the PDFium engine; text and metadata extraction depend on PdfPig; metadata write-back depends on PDFsharp; image resize and texture generation depend on SkiaSharp.</w:t>
      </w:r>
    </w:p>
    <w:p>
      <w:pPr>
        <w:pStyle w:val="Compact"/>
        <w:numPr>
          <w:ilvl w:val="0"/>
          <w:numId w:val="1007"/>
        </w:numPr>
      </w:pPr>
      <w:r>
        <w:rPr>
          <w:b/>
          <w:bCs/>
        </w:rPr>
        <w:t xml:space="preserve">DEP-2.</w:t>
      </w:r>
      <w:r>
        <w:t xml:space="preserve"> </w:t>
      </w:r>
      <w:r>
        <w:t xml:space="preserve">Full-text search depends on the SQLite FTS5 extension; vector search depends on a SQLite vector extension (sqlite-vec / Vec1).</w:t>
      </w:r>
    </w:p>
    <w:p>
      <w:pPr>
        <w:pStyle w:val="Compact"/>
        <w:numPr>
          <w:ilvl w:val="0"/>
          <w:numId w:val="1007"/>
        </w:numPr>
      </w:pPr>
      <w:r>
        <w:rPr>
          <w:b/>
          <w:bCs/>
        </w:rPr>
        <w:t xml:space="preserve">DEP-3.</w:t>
      </w:r>
      <w:r>
        <w:t xml:space="preserve"> </w:t>
      </w:r>
      <w:r>
        <w:t xml:space="preserve">The 3D bookshelf depends on WebGL2 being available in the platform WebView; a capability helper confirms availability and the application falls back to grid or list view where WebGL2 is absent.</w:t>
      </w:r>
    </w:p>
    <w:p>
      <w:pPr>
        <w:pStyle w:val="Compact"/>
        <w:numPr>
          <w:ilvl w:val="0"/>
          <w:numId w:val="1007"/>
        </w:numPr>
      </w:pPr>
      <w:r>
        <w:rPr>
          <w:b/>
          <w:bCs/>
        </w:rPr>
        <w:t xml:space="preserve">DEP-4.</w:t>
      </w:r>
      <w:r>
        <w:t xml:space="preserve"> </w:t>
      </w:r>
      <w:r>
        <w:t xml:space="preserve">Optional cloud AI and metadata enrichment depend on third-party providers (OpenAI-compatible, Anthropic-compatible, DeepSeek-compatible, Ollama for local, Google Books, Open Library). Availability of these providers is outside the application's control.</w:t>
      </w:r>
    </w:p>
    <w:p>
      <w:pPr>
        <w:pStyle w:val="Compact"/>
        <w:numPr>
          <w:ilvl w:val="0"/>
          <w:numId w:val="1007"/>
        </w:numPr>
      </w:pPr>
      <w:r>
        <w:rPr>
          <w:b/>
          <w:bCs/>
        </w:rPr>
        <w:t xml:space="preserve">DEP-5.</w:t>
      </w:r>
      <w:r>
        <w:t xml:space="preserve"> </w:t>
      </w:r>
      <w:r>
        <w:t xml:space="preserve">Optional OCR depends on the Tesseract engine.</w:t>
      </w:r>
    </w:p>
    <w:bookmarkEnd w:id="31"/>
    <w:bookmarkStart w:id="32" w:name="X4a0d294cfc521e874ac46b6bd6e0da211b9f236"/>
    <w:p>
      <w:pPr>
        <w:pStyle w:val="Heading2"/>
      </w:pPr>
      <w:r>
        <w:t xml:space="preserve">2.6 Privacy-Tier Model Overview</w:t>
      </w:r>
    </w:p>
    <w:p>
      <w:pPr>
        <w:pStyle w:val="FirstParagraph"/>
      </w:pPr>
      <w:r>
        <w:t xml:space="preserve">AI and enrichment data handling operates under four explicit</w:t>
      </w:r>
      <w:r>
        <w:t xml:space="preserve"> </w:t>
      </w:r>
      <w:r>
        <w:rPr>
          <w:i/>
          <w:iCs/>
        </w:rPr>
        <w:t xml:space="preserve">privacy tiers</w:t>
      </w:r>
      <w:r>
        <w:t xml:space="preserve">. The default tier is the most restrictive. The tier in force is shown at the point of any off-device action, and a</w:t>
      </w:r>
      <w:r>
        <w:t xml:space="preserve"> </w:t>
      </w:r>
      <w:r>
        <w:rPr>
          <w:i/>
          <w:iCs/>
        </w:rPr>
        <w:t xml:space="preserve">payload preview</w:t>
      </w:r>
      <w:r>
        <w:t xml:space="preserve"> </w:t>
      </w:r>
      <w:r>
        <w:t xml:space="preserve">is presented before any data leaves the device (see Section 7 and Section 5, NFR-PROD-011).</w:t>
      </w:r>
    </w:p>
    <w:p>
      <w:pPr>
        <w:pStyle w:val="Compact"/>
        <w:numPr>
          <w:ilvl w:val="0"/>
          <w:numId w:val="1008"/>
        </w:numPr>
      </w:pPr>
      <w:r>
        <w:rPr>
          <w:b/>
          <w:bCs/>
        </w:rPr>
        <w:t xml:space="preserve">Tier 0 — Offline.</w:t>
      </w:r>
      <w:r>
        <w:t xml:space="preserve"> </w:t>
      </w:r>
      <w:r>
        <w:t xml:space="preserve">No off-device transmission of any kind. AI features that require a provider are unavailable; reading, browsing, metadata editing, and local search remain fully functional.</w:t>
      </w:r>
    </w:p>
    <w:p>
      <w:pPr>
        <w:pStyle w:val="Compact"/>
        <w:numPr>
          <w:ilvl w:val="0"/>
          <w:numId w:val="1008"/>
        </w:numPr>
      </w:pPr>
      <w:r>
        <w:rPr>
          <w:b/>
          <w:bCs/>
        </w:rPr>
        <w:t xml:space="preserve">Tier 1 — Metadata-only (default for cloud AI).</w:t>
      </w:r>
      <w:r>
        <w:t xml:space="preserve"> </w:t>
      </w:r>
      <w:r>
        <w:t xml:space="preserve">Off-device requests may carry only bibliographic and organisational metadata (title, author, tags, categories, descriptions, notes). No document content is transmitted.</w:t>
      </w:r>
    </w:p>
    <w:p>
      <w:pPr>
        <w:pStyle w:val="Compact"/>
        <w:numPr>
          <w:ilvl w:val="0"/>
          <w:numId w:val="1008"/>
        </w:numPr>
      </w:pPr>
      <w:r>
        <w:rPr>
          <w:b/>
          <w:bCs/>
        </w:rPr>
        <w:t xml:space="preserve">Tier 2 — Content-aware (opt-in).</w:t>
      </w:r>
      <w:r>
        <w:t xml:space="preserve"> </w:t>
      </w:r>
      <w:r>
        <w:t xml:space="preserve">Off-device requests may carry document content chunks, enabled per library or per query, only after the user confirms a privacy label and previewed payload.</w:t>
      </w:r>
    </w:p>
    <w:p>
      <w:pPr>
        <w:pStyle w:val="Compact"/>
        <w:numPr>
          <w:ilvl w:val="0"/>
          <w:numId w:val="1008"/>
        </w:numPr>
      </w:pPr>
      <w:r>
        <w:rPr>
          <w:b/>
          <w:bCs/>
        </w:rPr>
        <w:t xml:space="preserve">Tier 3 — Local AI.</w:t>
      </w:r>
      <w:r>
        <w:t xml:space="preserve"> </w:t>
      </w:r>
      <w:r>
        <w:t xml:space="preserve">Inference and embeddings run on-device through Ollama. No user content leaves the machine; treated as local operation for regulatory purposes.</w:t>
      </w:r>
    </w:p>
    <w:p>
      <w:pPr>
        <w:pStyle w:val="FirstParagraph"/>
      </w:pPr>
      <w:r>
        <w:t xml:space="preserve">\newpage</w:t>
      </w:r>
    </w:p>
    <w:bookmarkEnd w:id="32"/>
    <w:bookmarkEnd w:id="33"/>
    <w:bookmarkStart w:id="38" w:name="Xd1094d81aa8a8bcfe07382c09cb16d506908afc"/>
    <w:p>
      <w:pPr>
        <w:pStyle w:val="Heading1"/>
      </w:pPr>
      <w:r>
        <w:t xml:space="preserve">3. External Interface Requirements</w:t>
      </w:r>
    </w:p>
    <w:bookmarkStart w:id="34" w:name="Xd0a85d7949193a3cb43e65a8fc5ae541c9f00b1"/>
    <w:p>
      <w:pPr>
        <w:pStyle w:val="Heading2"/>
      </w:pPr>
      <w:r>
        <w:t xml:space="preserve">3.1 User Interfaces</w:t>
      </w:r>
    </w:p>
    <w:p>
      <w:pPr>
        <w:pStyle w:val="FirstParagraph"/>
      </w:pPr>
      <w:r>
        <w:t xml:space="preserve">The application presents a single main window hosting the catalogue and a set of focused surfaces. All surfaces are operable by keyboard alone and expose accessible names, roles, and states to the platform accessibility Application Programming Interface (API), per the accessibility requirements in Section 5.</w:t>
      </w:r>
    </w:p>
    <w:p>
      <w:pPr>
        <w:pStyle w:val="Compact"/>
        <w:numPr>
          <w:ilvl w:val="0"/>
          <w:numId w:val="1009"/>
        </w:numPr>
      </w:pPr>
      <w:r>
        <w:rPr>
          <w:b/>
          <w:bCs/>
        </w:rPr>
        <w:t xml:space="preserve">UI-1 Main window.</w:t>
      </w:r>
      <w:r>
        <w:t xml:space="preserve"> </w:t>
      </w:r>
      <w:r>
        <w:t xml:space="preserve">A single primary window presents the catalogue in the active browsing mode, a sort-and-filter control region, a virtual-shelf and smart-shelf navigation region, and a status region for background jobs. All four browsing modes (3D shelf, grid, list, directory) open the same book-detail surface and the same reader.</w:t>
      </w:r>
    </w:p>
    <w:p>
      <w:pPr>
        <w:pStyle w:val="Compact"/>
        <w:numPr>
          <w:ilvl w:val="0"/>
          <w:numId w:val="1009"/>
        </w:numPr>
      </w:pPr>
      <w:r>
        <w:rPr>
          <w:b/>
          <w:bCs/>
        </w:rPr>
        <w:t xml:space="preserve">UI-2 Reader.</w:t>
      </w:r>
      <w:r>
        <w:t xml:space="preserve"> </w:t>
      </w:r>
      <w:r>
        <w:t xml:space="preserve">A document reading surface presents the rendered PDF page area, a navigation region (first, previous, next, last, jump-to-page, history back and forward), a zoom control, a display-mode control (single page, two-page spread, continuous scroll), a full-screen toggle, a text-search field with match highlighting, and a bookmark and annotation region.</w:t>
      </w:r>
    </w:p>
    <w:p>
      <w:pPr>
        <w:pStyle w:val="Compact"/>
        <w:numPr>
          <w:ilvl w:val="0"/>
          <w:numId w:val="1009"/>
        </w:numPr>
      </w:pPr>
      <w:r>
        <w:rPr>
          <w:b/>
          <w:bCs/>
        </w:rPr>
        <w:t xml:space="preserve">UI-3 3D shelf.</w:t>
      </w:r>
      <w:r>
        <w:t xml:space="preserve"> </w:t>
      </w:r>
      <w:r>
        <w:t xml:space="preserve">A WebGL2-rendered shelf, hosted in the platform WebView and driven by Three.js, presents book meshes with generated spine textures. Selecting a book mesh opens the same book-detail surface as the other browsing modes. Where WebGL2 is unavailable, the application falls back to the grid view.</w:t>
      </w:r>
    </w:p>
    <w:p>
      <w:pPr>
        <w:pStyle w:val="Compact"/>
        <w:numPr>
          <w:ilvl w:val="0"/>
          <w:numId w:val="1009"/>
        </w:numPr>
      </w:pPr>
      <w:r>
        <w:rPr>
          <w:b/>
          <w:bCs/>
        </w:rPr>
        <w:t xml:space="preserve">UI-4 Command palette.</w:t>
      </w:r>
      <w:r>
        <w:t xml:space="preserve"> </w:t>
      </w:r>
      <w:r>
        <w:t xml:space="preserve">A keyboard-invoked command palette accepts a typed query and exposes navigation, search, shelf, and action commands.</w:t>
      </w:r>
      <w:r>
        <w:t xml:space="preserve"> </w:t>
      </w:r>
      <w:r>
        <w:rPr>
          <w:rStyle w:val="VerbatimChar"/>
        </w:rPr>
        <w:t xml:space="preserve">[CONTEXT-GAP: the command palette is named in the deliverable brief and implied by the calm-control UX principle but is not enumerated as a feature ID in _context/features.md; its command set is unspecified]</w:t>
      </w:r>
    </w:p>
    <w:bookmarkEnd w:id="34"/>
    <w:bookmarkStart w:id="35" w:name="X4c2cf716762a4416bc889380d4a123de24a44f7"/>
    <w:p>
      <w:pPr>
        <w:pStyle w:val="Heading2"/>
      </w:pPr>
      <w:r>
        <w:t xml:space="preserve">3.2 Hardware Interfaces</w:t>
      </w:r>
    </w:p>
    <w:p>
      <w:pPr>
        <w:pStyle w:val="FirstParagraph"/>
      </w:pPr>
      <w:r>
        <w:t xml:space="preserve">The application runs on commodity desktop hardware and requires no specialised peripheral. It requires a Graphics Processing Unit (GPU) capable of WebGL2 for the 3D shelf surface; absence of a WebGL2-capable GPU degrades to the grid or list view without loss of catalogue function (see Section 2.5, DEP-3). The application requires local persistent storage sufficient to hold the catalogue database and the sidecar asset folder; the application surfaces sidecar storage size through the index manager.</w:t>
      </w:r>
      <w:r>
        <w:t xml:space="preserve"> </w:t>
      </w:r>
      <w:r>
        <w:rPr>
          <w:rStyle w:val="VerbatimChar"/>
        </w:rPr>
        <w:t xml:space="preserve">[CONTEXT-GAP: minimum RAM, CPU, and free-disk thresholds for installation are not specified in _context]</w:t>
      </w:r>
    </w:p>
    <w:bookmarkEnd w:id="35"/>
    <w:bookmarkStart w:id="36" w:name="X165c5f1ae5fcdd5323bac8cfb5b51a68882c52b"/>
    <w:p>
      <w:pPr>
        <w:pStyle w:val="Heading2"/>
      </w:pPr>
      <w:r>
        <w:t xml:space="preserve">3.3 Software Interfaces</w:t>
      </w:r>
    </w:p>
    <w:p>
      <w:pPr>
        <w:pStyle w:val="FirstParagraph"/>
      </w:pPr>
      <w:r>
        <w:t xml:space="preserve">The application integrates the following external software components and services. Each integration is named with its purpose and its data direction.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Interface</w:t>
            </w:r>
          </w:p>
        </w:tc>
        <w:tc>
          <w:tcPr/>
          <w:p>
            <w:pPr>
              <w:pStyle w:val="Compact"/>
            </w:pPr>
            <w:r>
              <w:t xml:space="preserve">Purpose</w:t>
            </w:r>
          </w:p>
        </w:tc>
        <w:tc>
          <w:tcPr/>
          <w:p>
            <w:pPr>
              <w:pStyle w:val="Compact"/>
            </w:pPr>
            <w:r>
              <w:t xml:space="preserve">Direction</w:t>
            </w:r>
          </w:p>
        </w:tc>
      </w:tr>
      <w:tr>
        <w:tc>
          <w:tcPr/>
          <w:p>
            <w:pPr>
              <w:pStyle w:val="Compact"/>
            </w:pPr>
            <w:r>
              <w:t xml:space="preserve">PDFium</w:t>
            </w:r>
          </w:p>
        </w:tc>
        <w:tc>
          <w:tcPr/>
          <w:p>
            <w:pPr>
              <w:pStyle w:val="Compact"/>
            </w:pPr>
            <w:r>
              <w:t xml:space="preserve">PDF page rendering and password-protected document loading</w:t>
            </w:r>
          </w:p>
        </w:tc>
        <w:tc>
          <w:tcPr/>
          <w:p>
            <w:pPr>
              <w:pStyle w:val="Compact"/>
            </w:pPr>
            <w:r>
              <w:t xml:space="preserve">Local, in-process</w:t>
            </w:r>
          </w:p>
        </w:tc>
      </w:tr>
      <w:tr>
        <w:tc>
          <w:tcPr/>
          <w:p>
            <w:pPr>
              <w:pStyle w:val="Compact"/>
            </w:pPr>
            <w:r>
              <w:t xml:space="preserve">PdfPig</w:t>
            </w:r>
          </w:p>
        </w:tc>
        <w:tc>
          <w:tcPr/>
          <w:p>
            <w:pPr>
              <w:pStyle w:val="Compact"/>
            </w:pPr>
            <w:r>
              <w:t xml:space="preserve">PDF text and metadata extraction</w:t>
            </w:r>
          </w:p>
        </w:tc>
        <w:tc>
          <w:tcPr/>
          <w:p>
            <w:pPr>
              <w:pStyle w:val="Compact"/>
            </w:pPr>
            <w:r>
              <w:t xml:space="preserve">Local, in-process</w:t>
            </w:r>
          </w:p>
        </w:tc>
      </w:tr>
      <w:tr>
        <w:tc>
          <w:tcPr/>
          <w:p>
            <w:pPr>
              <w:pStyle w:val="Compact"/>
            </w:pPr>
            <w:r>
              <w:t xml:space="preserve">PDFsharp</w:t>
            </w:r>
          </w:p>
        </w:tc>
        <w:tc>
          <w:tcPr/>
          <w:p>
            <w:pPr>
              <w:pStyle w:val="Compact"/>
            </w:pPr>
            <w:r>
              <w:t xml:space="preserve">Metadata write-back to PDF source files</w:t>
            </w:r>
          </w:p>
        </w:tc>
        <w:tc>
          <w:tcPr/>
          <w:p>
            <w:pPr>
              <w:pStyle w:val="Compact"/>
            </w:pPr>
            <w:r>
              <w:t xml:space="preserve">Local, in-process</w:t>
            </w:r>
          </w:p>
        </w:tc>
      </w:tr>
      <w:tr>
        <w:tc>
          <w:tcPr/>
          <w:p>
            <w:pPr>
              <w:pStyle w:val="Compact"/>
            </w:pPr>
            <w:r>
              <w:t xml:space="preserve">SkiaSharp</w:t>
            </w:r>
          </w:p>
        </w:tc>
        <w:tc>
          <w:tcPr/>
          <w:p>
            <w:pPr>
              <w:pStyle w:val="Compact"/>
            </w:pPr>
            <w:r>
              <w:t xml:space="preserve">Image resize and spine-texture generation</w:t>
            </w:r>
          </w:p>
        </w:tc>
        <w:tc>
          <w:tcPr/>
          <w:p>
            <w:pPr>
              <w:pStyle w:val="Compact"/>
            </w:pPr>
            <w:r>
              <w:t xml:space="preserve">Local, in-process</w:t>
            </w:r>
          </w:p>
        </w:tc>
      </w:tr>
      <w:tr>
        <w:tc>
          <w:tcPr/>
          <w:p>
            <w:pPr>
              <w:pStyle w:val="Compact"/>
            </w:pPr>
            <w:r>
              <w:t xml:space="preserve">SQLite with FTS5</w:t>
            </w:r>
          </w:p>
        </w:tc>
        <w:tc>
          <w:tcPr/>
          <w:p>
            <w:pPr>
              <w:pStyle w:val="Compact"/>
            </w:pPr>
            <w:r>
              <w:t xml:space="preserve">Catalogue of record and full-text index</w:t>
            </w:r>
          </w:p>
        </w:tc>
        <w:tc>
          <w:tcPr/>
          <w:p>
            <w:pPr>
              <w:pStyle w:val="Compact"/>
            </w:pPr>
            <w:r>
              <w:t xml:space="preserve">Local, in-process</w:t>
            </w:r>
          </w:p>
        </w:tc>
      </w:tr>
      <w:tr>
        <w:tc>
          <w:tcPr/>
          <w:p>
            <w:pPr>
              <w:pStyle w:val="Compact"/>
            </w:pPr>
            <w:r>
              <w:t xml:space="preserve">SQLite vector extension (sqlite-vec / Vec1)</w:t>
            </w:r>
          </w:p>
        </w:tc>
        <w:tc>
          <w:tcPr/>
          <w:p>
            <w:pPr>
              <w:pStyle w:val="Compact"/>
            </w:pPr>
            <w:r>
              <w:t xml:space="preserve">Approximate nearest-neighbour search over embeddings</w:t>
            </w:r>
          </w:p>
        </w:tc>
        <w:tc>
          <w:tcPr/>
          <w:p>
            <w:pPr>
              <w:pStyle w:val="Compact"/>
            </w:pPr>
            <w:r>
              <w:t xml:space="preserve">Local, in-process</w:t>
            </w:r>
          </w:p>
        </w:tc>
      </w:tr>
      <w:tr>
        <w:tc>
          <w:tcPr/>
          <w:p>
            <w:pPr>
              <w:pStyle w:val="Compact"/>
            </w:pPr>
            <w:r>
              <w:t xml:space="preserve">WebView2 / WKWebView with Three.js</w:t>
            </w:r>
          </w:p>
        </w:tc>
        <w:tc>
          <w:tcPr/>
          <w:p>
            <w:pPr>
              <w:pStyle w:val="Compact"/>
            </w:pPr>
            <w:r>
              <w:t xml:space="preserve">3D bookshelf rendering surface</w:t>
            </w:r>
          </w:p>
        </w:tc>
        <w:tc>
          <w:tcPr/>
          <w:p>
            <w:pPr>
              <w:pStyle w:val="Compact"/>
            </w:pPr>
            <w:r>
              <w:t xml:space="preserve">Local, in-process via message bridge</w:t>
            </w:r>
          </w:p>
        </w:tc>
      </w:tr>
      <w:tr>
        <w:tc>
          <w:tcPr/>
          <w:p>
            <w:pPr>
              <w:pStyle w:val="Compact"/>
            </w:pPr>
            <w:r>
              <w:t xml:space="preserve">OS credential store</w:t>
            </w:r>
          </w:p>
        </w:tc>
        <w:tc>
          <w:tcPr/>
          <w:p>
            <w:pPr>
              <w:pStyle w:val="Compact"/>
            </w:pPr>
            <w:r>
              <w:t xml:space="preserve">Storage and retrieval of provider secrets</w:t>
            </w:r>
          </w:p>
        </w:tc>
        <w:tc>
          <w:tcPr/>
          <w:p>
            <w:pPr>
              <w:pStyle w:val="Compact"/>
            </w:pPr>
            <w:r>
              <w:t xml:space="preserve">Local, OS-mediated</w:t>
            </w:r>
          </w:p>
        </w:tc>
      </w:tr>
      <w:tr>
        <w:tc>
          <w:tcPr/>
          <w:p>
            <w:pPr>
              <w:pStyle w:val="Compact"/>
            </w:pPr>
            <w:r>
              <w:t xml:space="preserve">Tesseract</w:t>
            </w:r>
          </w:p>
        </w:tc>
        <w:tc>
          <w:tcPr/>
          <w:p>
            <w:pPr>
              <w:pStyle w:val="Compact"/>
            </w:pPr>
            <w:r>
              <w:t xml:space="preserve">Optional OCR of scanned pages</w:t>
            </w:r>
          </w:p>
        </w:tc>
        <w:tc>
          <w:tcPr/>
          <w:p>
            <w:pPr>
              <w:pStyle w:val="Compact"/>
            </w:pPr>
            <w:r>
              <w:t xml:space="preserve">Local, in-process or worker</w:t>
            </w:r>
          </w:p>
        </w:tc>
      </w:tr>
      <w:tr>
        <w:tc>
          <w:tcPr/>
          <w:p>
            <w:pPr>
              <w:pStyle w:val="Compact"/>
            </w:pPr>
            <w:r>
              <w:t xml:space="preserve">Google Books API</w:t>
            </w:r>
          </w:p>
        </w:tc>
        <w:tc>
          <w:tcPr/>
          <w:p>
            <w:pPr>
              <w:pStyle w:val="Compact"/>
            </w:pPr>
            <w:r>
              <w:t xml:space="preserve">Bibliographic metadata and cover candidates by ISBN</w:t>
            </w:r>
          </w:p>
        </w:tc>
        <w:tc>
          <w:tcPr/>
          <w:p>
            <w:pPr>
              <w:pStyle w:val="Compact"/>
            </w:pPr>
            <w:r>
              <w:t xml:space="preserve">Off-device, outbound</w:t>
            </w:r>
          </w:p>
        </w:tc>
      </w:tr>
      <w:tr>
        <w:tc>
          <w:tcPr/>
          <w:p>
            <w:pPr>
              <w:pStyle w:val="Compact"/>
            </w:pPr>
            <w:r>
              <w:t xml:space="preserve">Open Library API</w:t>
            </w:r>
          </w:p>
        </w:tc>
        <w:tc>
          <w:tcPr/>
          <w:p>
            <w:pPr>
              <w:pStyle w:val="Compact"/>
            </w:pPr>
            <w:r>
              <w:t xml:space="preserve">ISBN lookup, edition data, cover images</w:t>
            </w:r>
          </w:p>
        </w:tc>
        <w:tc>
          <w:tcPr/>
          <w:p>
            <w:pPr>
              <w:pStyle w:val="Compact"/>
            </w:pPr>
            <w:r>
              <w:t xml:space="preserve">Off-device, outbound</w:t>
            </w:r>
          </w:p>
        </w:tc>
      </w:tr>
      <w:tr>
        <w:tc>
          <w:tcPr/>
          <w:p>
            <w:pPr>
              <w:pStyle w:val="Compact"/>
            </w:pPr>
            <w:r>
              <w:t xml:space="preserve">OpenAI / Anthropic-compatible / DeepSeek-compatible providers</w:t>
            </w:r>
          </w:p>
        </w:tc>
        <w:tc>
          <w:tcPr/>
          <w:p>
            <w:pPr>
              <w:pStyle w:val="Compact"/>
            </w:pPr>
            <w:r>
              <w:t xml:space="preserve">Cloud AI recommendation and embeddings</w:t>
            </w:r>
          </w:p>
        </w:tc>
        <w:tc>
          <w:tcPr/>
          <w:p>
            <w:pPr>
              <w:pStyle w:val="Compact"/>
            </w:pPr>
            <w:r>
              <w:t xml:space="preserve">Off-device, outbound (gated)</w:t>
            </w:r>
          </w:p>
        </w:tc>
      </w:tr>
      <w:tr>
        <w:tc>
          <w:tcPr/>
          <w:p>
            <w:pPr>
              <w:pStyle w:val="Compact"/>
            </w:pPr>
            <w:r>
              <w:t xml:space="preserve">Ollama</w:t>
            </w:r>
          </w:p>
        </w:tc>
        <w:tc>
          <w:tcPr/>
          <w:p>
            <w:pPr>
              <w:pStyle w:val="Compact"/>
            </w:pPr>
            <w:r>
              <w:t xml:space="preserve">Local AI inference and embeddings</w:t>
            </w:r>
          </w:p>
        </w:tc>
        <w:tc>
          <w:tcPr/>
          <w:p>
            <w:pPr>
              <w:pStyle w:val="Compact"/>
            </w:pPr>
            <w:r>
              <w:t xml:space="preserve">Local, on-device</w:t>
            </w:r>
          </w:p>
        </w:tc>
      </w:tr>
    </w:tbl>
    <w:p>
      <w:pPr>
        <w:pStyle w:val="Compact"/>
        <w:numPr>
          <w:ilvl w:val="0"/>
          <w:numId w:val="1010"/>
        </w:numPr>
      </w:pPr>
      <w:r>
        <w:rPr>
          <w:b/>
          <w:bCs/>
        </w:rPr>
        <w:t xml:space="preserve">SI-1 Provider gateway.</w:t>
      </w:r>
      <w:r>
        <w:t xml:space="preserve"> </w:t>
      </w:r>
      <w:r>
        <w:t xml:space="preserve">All AI provider integrations SHALL be reached through the provider-neutral AI gateway (</w:t>
      </w:r>
      <w:r>
        <w:rPr>
          <w:rStyle w:val="VerbatimChar"/>
        </w:rPr>
        <w:t xml:space="preserve">IAiProvider</w:t>
      </w:r>
      <w:r>
        <w:t xml:space="preserve">); no module may bypass the gateway to call a provider directly.</w:t>
      </w:r>
    </w:p>
    <w:p>
      <w:pPr>
        <w:pStyle w:val="Compact"/>
        <w:numPr>
          <w:ilvl w:val="0"/>
          <w:numId w:val="1010"/>
        </w:numPr>
      </w:pPr>
      <w:r>
        <w:rPr>
          <w:b/>
          <w:bCs/>
        </w:rPr>
        <w:t xml:space="preserve">SI-2 Off-device gating.</w:t>
      </w:r>
      <w:r>
        <w:t xml:space="preserve"> </w:t>
      </w:r>
      <w:r>
        <w:t xml:space="preserve">Off-device software interfaces (Google Books API, Open Library API, cloud AI providers) SHALL be invoked only when the active privacy tier permits the call and the user has confirmed the previewed payload (see Section 7).</w:t>
      </w:r>
    </w:p>
    <w:p>
      <w:pPr>
        <w:pStyle w:val="Compact"/>
        <w:numPr>
          <w:ilvl w:val="0"/>
          <w:numId w:val="1010"/>
        </w:numPr>
      </w:pPr>
      <w:r>
        <w:rPr>
          <w:b/>
          <w:bCs/>
        </w:rPr>
        <w:t xml:space="preserve">SI-3 Message bridge contract.</w:t>
      </w:r>
      <w:r>
        <w:t xml:space="preserve"> </w:t>
      </w:r>
      <w:r>
        <w:t xml:space="preserve">The C#-to-JavaScript message bridge SHALL exchange a typed scene model to the WebView and typed interaction events back; the bridge SHALL validate every inbound message against the contract before acting on it.</w:t>
      </w:r>
    </w:p>
    <w:bookmarkEnd w:id="36"/>
    <w:bookmarkStart w:id="37" w:name="X40dd3988d5de243c0b64676632d73eb3926770b"/>
    <w:p>
      <w:pPr>
        <w:pStyle w:val="Heading2"/>
      </w:pPr>
      <w:r>
        <w:t xml:space="preserve">3.4 Communications Interfaces</w:t>
      </w:r>
    </w:p>
    <w:p>
      <w:pPr>
        <w:pStyle w:val="Compact"/>
        <w:numPr>
          <w:ilvl w:val="0"/>
          <w:numId w:val="1011"/>
        </w:numPr>
      </w:pPr>
      <w:r>
        <w:rPr>
          <w:b/>
          <w:bCs/>
        </w:rPr>
        <w:t xml:space="preserve">CI-1.</w:t>
      </w:r>
      <w:r>
        <w:t xml:space="preserve"> </w:t>
      </w:r>
      <w:r>
        <w:t xml:space="preserve">All off-device calls SHALL use an authenticated, integrity-checked transport (Transport Layer Security). Update metadata and artifacts SHALL be fetched over an authenticated, integrity-checked channel, and the update descriptor SHALL be signature-verified independently of transport (see Section 7).</w:t>
      </w:r>
    </w:p>
    <w:p>
      <w:pPr>
        <w:pStyle w:val="Compact"/>
        <w:numPr>
          <w:ilvl w:val="0"/>
          <w:numId w:val="1011"/>
        </w:numPr>
      </w:pPr>
      <w:r>
        <w:rPr>
          <w:b/>
          <w:bCs/>
        </w:rPr>
        <w:t xml:space="preserve">CI-2.</w:t>
      </w:r>
      <w:r>
        <w:t xml:space="preserve"> </w:t>
      </w:r>
      <w:r>
        <w:t xml:space="preserve">The application SHALL NOT open any inbound network listener; it exposes no server endpoint and accepts no remote connection.</w:t>
      </w:r>
    </w:p>
    <w:p>
      <w:pPr>
        <w:pStyle w:val="Compact"/>
        <w:numPr>
          <w:ilvl w:val="0"/>
          <w:numId w:val="1011"/>
        </w:numPr>
      </w:pPr>
      <w:r>
        <w:rPr>
          <w:b/>
          <w:bCs/>
        </w:rPr>
        <w:t xml:space="preserve">CI-3.</w:t>
      </w:r>
      <w:r>
        <w:t xml:space="preserve"> </w:t>
      </w:r>
      <w:r>
        <w:t xml:space="preserve">Every off-device communication SHALL produce a local audit entry naming the provider, purpose, payload scope, and active privacy tier (see Section 5, NFR-PROD-013).</w:t>
      </w:r>
    </w:p>
    <w:p>
      <w:pPr>
        <w:pStyle w:val="FirstParagraph"/>
      </w:pPr>
      <w:r>
        <w:t xml:space="preserve">\newpage</w:t>
      </w:r>
    </w:p>
    <w:bookmarkEnd w:id="37"/>
    <w:bookmarkEnd w:id="38"/>
    <w:bookmarkStart w:id="45" w:name="X92af3177fcd7934be9e86f872d9396373c3b0fb"/>
    <w:p>
      <w:pPr>
        <w:pStyle w:val="Heading1"/>
      </w:pPr>
      <w:r>
        <w:t xml:space="preserve">4. Functional Requirements</w:t>
      </w:r>
    </w:p>
    <w:p>
      <w:pPr>
        <w:pStyle w:val="FirstParagraph"/>
      </w:pPr>
      <w:r>
        <w:t xml:space="preserve">Each requirement is stated in active voice as "The system shall ...", carries a priority tier (MVP, V1, or V2), and is paired with a deterministic acceptance criterion that serves as the test oracle. The requirement identifiers are the stable identifiers defined in</w:t>
      </w:r>
      <w:r>
        <w:t xml:space="preserve"> </w:t>
      </w:r>
      <w:r>
        <w:rPr>
          <w:rStyle w:val="VerbatimChar"/>
        </w:rPr>
        <w:t xml:space="preserve">_context/features.md</w:t>
      </w:r>
      <w:r>
        <w:t xml:space="preserve"> </w:t>
      </w:r>
      <w:r>
        <w:t xml:space="preserve">and are reused without alteration. Where the expected result of a requirement depends on human judgement rather than a deterministic oracle, the requirement carries a</w:t>
      </w:r>
      <w:r>
        <w:t xml:space="preserve"> </w:t>
      </w:r>
      <w:r>
        <w:rPr>
          <w:rStyle w:val="VerbatimChar"/>
        </w:rPr>
        <w:t xml:space="preserve">[VERIFIABILITY-FAIL: &lt;reason&gt;]</w:t>
      </w:r>
      <w:r>
        <w:t xml:space="preserve"> </w:t>
      </w:r>
      <w:r>
        <w:t xml:space="preserve">tag. Where a requirement lacks a traceability link to a business goal, it carries a</w:t>
      </w:r>
      <w:r>
        <w:t xml:space="preserve"> </w:t>
      </w:r>
      <w:r>
        <w:rPr>
          <w:rStyle w:val="VerbatimChar"/>
        </w:rPr>
        <w:t xml:space="preserve">[TRACE-GAP: &lt;FR-ID&gt;]</w:t>
      </w:r>
      <w:r>
        <w:t xml:space="preserve"> </w:t>
      </w:r>
      <w:r>
        <w:t xml:space="preserve">tag.</w:t>
      </w:r>
    </w:p>
    <w:bookmarkStart w:id="39" w:name="Xbdd119a01ce8f59a81f38b3a831f3f93699d574"/>
    <w:p>
      <w:pPr>
        <w:pStyle w:val="Heading2"/>
      </w:pPr>
      <w:r>
        <w:t xml:space="preserve">4.1 Library Setup and Scanning (LIB)</w:t>
      </w:r>
    </w:p>
    <w:p>
      <w:pPr>
        <w:pStyle w:val="FirstParagraph"/>
      </w:pPr>
      <w:r>
        <w:t xml:space="preserve">Module LIB traces to business goals BG-1 (visible library) and BG-4 (durable ownership).</w:t>
      </w:r>
    </w:p>
    <w:p>
      <w:pPr>
        <w:pStyle w:val="BodyText"/>
      </w:pPr>
      <w:r>
        <w:rPr>
          <w:b/>
          <w:bCs/>
        </w:rPr>
        <w:t xml:space="preserve">FR-LIB-001</w:t>
      </w:r>
      <w:r>
        <w:t xml:space="preserve"> </w:t>
      </w:r>
      <w:r>
        <w:t xml:space="preserve">(MVP): The system shall store, display, and rescan a user-selected library root folder when the user selects a folder as the library root.</w:t>
      </w:r>
    </w:p>
    <w:p>
      <w:pPr>
        <w:pStyle w:val="Compact"/>
        <w:numPr>
          <w:ilvl w:val="0"/>
          <w:numId w:val="1012"/>
        </w:numPr>
      </w:pPr>
      <w:r>
        <w:t xml:space="preserve">Acceptance: after the user selects a folder, the stored root path equals the selected absolute path, the path is displayed in the UI, and invoking rescan re-reads that exact path.</w:t>
      </w:r>
    </w:p>
    <w:p>
      <w:pPr>
        <w:pStyle w:val="FirstParagraph"/>
      </w:pPr>
      <w:r>
        <w:rPr>
          <w:b/>
          <w:bCs/>
        </w:rPr>
        <w:t xml:space="preserve">FR-LIB-002</w:t>
      </w:r>
      <w:r>
        <w:t xml:space="preserve"> </w:t>
      </w:r>
      <w:r>
        <w:t xml:space="preserve">(MVP): The system shall recursively discover PDF files under the library root and shall exclude folders the user has marked as excluded when a scan runs.</w:t>
      </w:r>
    </w:p>
    <w:p>
      <w:pPr>
        <w:pStyle w:val="Compact"/>
        <w:numPr>
          <w:ilvl w:val="0"/>
          <w:numId w:val="1013"/>
        </w:numPr>
      </w:pPr>
      <w:r>
        <w:t xml:space="preserve">Acceptance: for a fixture tree containing PDF files at multiple depths and one excluded subfolder, the scan result contains every PDF outside the excluded subfolder and no PDF inside it.</w:t>
      </w:r>
    </w:p>
    <w:p>
      <w:pPr>
        <w:pStyle w:val="FirstParagraph"/>
      </w:pPr>
      <w:r>
        <w:rPr>
          <w:b/>
          <w:bCs/>
        </w:rPr>
        <w:t xml:space="preserve">FR-LIB-003</w:t>
      </w:r>
      <w:r>
        <w:t xml:space="preserve"> </w:t>
      </w:r>
      <w:r>
        <w:t xml:space="preserve">(MVP): The system shall assign a stable identity to each file from its relative path plus content hash, and shall re-match a renamed or moved file to its existing catalogue record when the content hash is unchanged.</w:t>
      </w:r>
    </w:p>
    <w:p>
      <w:pPr>
        <w:pStyle w:val="Compact"/>
        <w:numPr>
          <w:ilvl w:val="0"/>
          <w:numId w:val="1014"/>
        </w:numPr>
      </w:pPr>
      <w:r>
        <w:t xml:space="preserve">Acceptance: after a file is renamed or moved within the root and rescanned, the catalogue record retains its prior identifier, metadata, shelves, progress, and annotations rather than creating a duplicate.</w:t>
      </w:r>
    </w:p>
    <w:p>
      <w:pPr>
        <w:pStyle w:val="FirstParagraph"/>
      </w:pPr>
      <w:r>
        <w:rPr>
          <w:b/>
          <w:bCs/>
        </w:rPr>
        <w:t xml:space="preserve">FR-LIB-004</w:t>
      </w:r>
      <w:r>
        <w:t xml:space="preserve"> </w:t>
      </w:r>
      <w:r>
        <w:t xml:space="preserve">(MVP): The system shall mark a file as removed or unavailable without deleting the user's metadata, shelves, notes, or reading progress when a previously catalogued file is no longer present at scan time.</w:t>
      </w:r>
    </w:p>
    <w:p>
      <w:pPr>
        <w:pStyle w:val="Compact"/>
        <w:numPr>
          <w:ilvl w:val="0"/>
          <w:numId w:val="1015"/>
        </w:numPr>
      </w:pPr>
      <w:r>
        <w:t xml:space="preserve">Acceptance: after deleting a catalogued file from disk and rescanning, the record is flagged unavailable and all user-authored data for that record remains retrievable.</w:t>
      </w:r>
    </w:p>
    <w:p>
      <w:pPr>
        <w:pStyle w:val="FirstParagraph"/>
      </w:pPr>
      <w:r>
        <w:rPr>
          <w:b/>
          <w:bCs/>
        </w:rPr>
        <w:t xml:space="preserve">FR-LIB-005</w:t>
      </w:r>
      <w:r>
        <w:t xml:space="preserve"> </w:t>
      </w:r>
      <w:r>
        <w:t xml:space="preserve">(MVP): The system shall generate thumbnails and spine textures in background jobs that keep the UI responsive, and shall make any generation failure visible and retryable.</w:t>
      </w:r>
    </w:p>
    <w:p>
      <w:pPr>
        <w:pStyle w:val="Compact"/>
        <w:numPr>
          <w:ilvl w:val="0"/>
          <w:numId w:val="1016"/>
        </w:numPr>
      </w:pPr>
      <w:r>
        <w:t xml:space="preserve">Acceptance: during a generation run the UI thread is not blocked beyond the budget in NFR-PROD-005; an injected generation failure produces a visible failed-job entry that the user can retry, after which the asset is produced.</w:t>
      </w:r>
    </w:p>
    <w:p>
      <w:pPr>
        <w:pStyle w:val="FirstParagraph"/>
      </w:pPr>
      <w:r>
        <w:rPr>
          <w:b/>
          <w:bCs/>
        </w:rPr>
        <w:t xml:space="preserve">FR-LIB-006</w:t>
      </w:r>
      <w:r>
        <w:t xml:space="preserve"> </w:t>
      </w:r>
      <w:r>
        <w:t xml:space="preserve">(MVP): The system shall perform an incremental rescan using modification time, size, and/or a hash cache so that unchanged files are not re-hashed when a rescan runs.</w:t>
      </w:r>
    </w:p>
    <w:p>
      <w:pPr>
        <w:pStyle w:val="Compact"/>
        <w:numPr>
          <w:ilvl w:val="0"/>
          <w:numId w:val="1017"/>
        </w:numPr>
      </w:pPr>
      <w:r>
        <w:t xml:space="preserve">Acceptance: on a second rescan with no file changes, the count of full content-hash computations is 0 and the catalogue is unchanged.</w:t>
      </w:r>
    </w:p>
    <w:p>
      <w:pPr>
        <w:pStyle w:val="FirstParagraph"/>
      </w:pPr>
      <w:r>
        <w:rPr>
          <w:b/>
          <w:bCs/>
        </w:rPr>
        <w:t xml:space="preserve">FR-LIB-007</w:t>
      </w:r>
      <w:r>
        <w:t xml:space="preserve"> </w:t>
      </w:r>
      <w:r>
        <w:t xml:space="preserve">(V1): The system shall produce a scan health report listing failed files, password-protected files, unsupported files, files missing thumbnails, and files with metadata gaps when the user requests the report.</w:t>
      </w:r>
    </w:p>
    <w:p>
      <w:pPr>
        <w:pStyle w:val="Compact"/>
        <w:numPr>
          <w:ilvl w:val="0"/>
          <w:numId w:val="1018"/>
        </w:numPr>
      </w:pPr>
      <w:r>
        <w:t xml:space="preserve">Acceptance: for a fixture containing one of each listed condition, the report lists each affected file under the correct category and the counts match the fixture.</w:t>
      </w:r>
    </w:p>
    <w:bookmarkEnd w:id="39"/>
    <w:bookmarkStart w:id="40" w:name="X7bea1bda8775470d346a30b4ac3f40f9006131a"/>
    <w:p>
      <w:pPr>
        <w:pStyle w:val="Heading2"/>
      </w:pPr>
      <w:r>
        <w:t xml:space="preserve">4.2 Catalogue Browsing (CAT)</w:t>
      </w:r>
    </w:p>
    <w:p>
      <w:pPr>
        <w:pStyle w:val="FirstParagraph"/>
      </w:pPr>
      <w:r>
        <w:t xml:space="preserve">Module CAT traces to business goals BG-1 (visible library) and BG-2 (usable library).</w:t>
      </w:r>
    </w:p>
    <w:p>
      <w:pPr>
        <w:pStyle w:val="BodyText"/>
      </w:pPr>
      <w:r>
        <w:rPr>
          <w:b/>
          <w:bCs/>
        </w:rPr>
        <w:t xml:space="preserve">FR-CAT-001</w:t>
      </w:r>
      <w:r>
        <w:t xml:space="preserve"> </w:t>
      </w:r>
      <w:r>
        <w:t xml:space="preserve">(MVP): The system shall present the catalogue in 3D shelf, grid, list, and directory views, and each view shall open the same book-detail surface and reader when a book is selected.</w:t>
      </w:r>
    </w:p>
    <w:p>
      <w:pPr>
        <w:pStyle w:val="Compact"/>
        <w:numPr>
          <w:ilvl w:val="0"/>
          <w:numId w:val="1019"/>
        </w:numPr>
      </w:pPr>
      <w:r>
        <w:t xml:space="preserve">Acceptance: selecting the same book in each of the four views opens the identical book-detail surface and, on open, the identical reader for that book.</w:t>
      </w:r>
    </w:p>
    <w:p>
      <w:pPr>
        <w:pStyle w:val="FirstParagraph"/>
      </w:pPr>
      <w:r>
        <w:rPr>
          <w:b/>
          <w:bCs/>
        </w:rPr>
        <w:t xml:space="preserve">FR-CAT-002</w:t>
      </w:r>
      <w:r>
        <w:t xml:space="preserve"> </w:t>
      </w:r>
      <w:r>
        <w:t xml:space="preserve">(MVP): The system shall sort and filter the catalogue by title, author, year, status, rating, tag, shelf, and availability, shall combine multiple active filters conjunctively, and shall clear all filters on a single clear action.</w:t>
      </w:r>
    </w:p>
    <w:p>
      <w:pPr>
        <w:pStyle w:val="Compact"/>
        <w:numPr>
          <w:ilvl w:val="0"/>
          <w:numId w:val="1020"/>
        </w:numPr>
      </w:pPr>
      <w:r>
        <w:t xml:space="preserve">Acceptance: applying two filters returns only records satisfying both; the displayed count equals the count of records satisfying the conjunction; the clear action returns the view to the unfiltered set.</w:t>
      </w:r>
    </w:p>
    <w:p>
      <w:pPr>
        <w:pStyle w:val="FirstParagraph"/>
      </w:pPr>
      <w:r>
        <w:rPr>
          <w:b/>
          <w:bCs/>
        </w:rPr>
        <w:t xml:space="preserve">FR-CAT-003</w:t>
      </w:r>
      <w:r>
        <w:t xml:space="preserve"> </w:t>
      </w:r>
      <w:r>
        <w:t xml:space="preserve">(MVP): The system shall create a virtual shelf and allow a book to belong to multiple virtual shelves independent of its file path when the user adds the book to a shelf.</w:t>
      </w:r>
    </w:p>
    <w:p>
      <w:pPr>
        <w:pStyle w:val="Compact"/>
        <w:numPr>
          <w:ilvl w:val="0"/>
          <w:numId w:val="1021"/>
        </w:numPr>
      </w:pPr>
      <w:r>
        <w:t xml:space="preserve">Acceptance: a book added to two shelves appears in both shelf views; its file path is unchanged; removal from one shelf leaves it in the other.</w:t>
      </w:r>
    </w:p>
    <w:p>
      <w:pPr>
        <w:pStyle w:val="FirstParagraph"/>
      </w:pPr>
      <w:r>
        <w:rPr>
          <w:b/>
          <w:bCs/>
        </w:rPr>
        <w:t xml:space="preserve">FR-CAT-004</w:t>
      </w:r>
      <w:r>
        <w:t xml:space="preserve"> </w:t>
      </w:r>
      <w:r>
        <w:t xml:space="preserve">(MVP): The system shall display the full metadata of a selected book across file, bibliographic, reading, enrichment, and AI field groups when the user opens the book detail.</w:t>
      </w:r>
    </w:p>
    <w:p>
      <w:pPr>
        <w:pStyle w:val="Compact"/>
        <w:numPr>
          <w:ilvl w:val="0"/>
          <w:numId w:val="1022"/>
        </w:numPr>
      </w:pPr>
      <w:r>
        <w:t xml:space="preserve">Acceptance: the book-detail surface shows each of the five field groups, and each populated field displays its stored value.</w:t>
      </w:r>
    </w:p>
    <w:p>
      <w:pPr>
        <w:pStyle w:val="FirstParagraph"/>
      </w:pPr>
      <w:r>
        <w:rPr>
          <w:b/>
          <w:bCs/>
        </w:rPr>
        <w:t xml:space="preserve">FR-CAT-005</w:t>
      </w:r>
      <w:r>
        <w:t xml:space="preserve"> </w:t>
      </w:r>
      <w:r>
        <w:t xml:space="preserve">(V1): The system shall apply a previewed, undoable change to tags, shelves, status, and metadata-confidence across a multi-book selection when the user confirms a bulk edit.</w:t>
      </w:r>
    </w:p>
    <w:p>
      <w:pPr>
        <w:pStyle w:val="Compact"/>
        <w:numPr>
          <w:ilvl w:val="0"/>
          <w:numId w:val="1023"/>
        </w:numPr>
      </w:pPr>
      <w:r>
        <w:t xml:space="preserve">Acceptance: a bulk edit over a selection shows the pending change set before commit; on commit the change applies to every selected book; a single undo restores every affected book to its pre-edit state (see NFR-PROD-010).</w:t>
      </w:r>
    </w:p>
    <w:bookmarkEnd w:id="40"/>
    <w:bookmarkStart w:id="41" w:name="X33848b2ed52fb2187fb70288326e2881a0881a2"/>
    <w:p>
      <w:pPr>
        <w:pStyle w:val="Heading2"/>
      </w:pPr>
      <w:r>
        <w:t xml:space="preserve">4.3 Metadata Enrichment (META)</w:t>
      </w:r>
    </w:p>
    <w:p>
      <w:pPr>
        <w:pStyle w:val="FirstParagraph"/>
      </w:pPr>
      <w:r>
        <w:t xml:space="preserve">Module META traces to business goals BG-1 (visible library) and BG-4 (durable ownership).</w:t>
      </w:r>
    </w:p>
    <w:p>
      <w:pPr>
        <w:pStyle w:val="BodyText"/>
      </w:pPr>
      <w:r>
        <w:rPr>
          <w:b/>
          <w:bCs/>
        </w:rPr>
        <w:t xml:space="preserve">FR-META-001</w:t>
      </w:r>
      <w:r>
        <w:t xml:space="preserve"> </w:t>
      </w:r>
      <w:r>
        <w:t xml:space="preserve">(MVP): The system shall detect ISBN-10 and ISBN-13 candidates from the filename, the XMP and DocInfo metadata, and the extracted first pages, and shall normalise, validate the check digit, and rank the candidates.</w:t>
      </w:r>
    </w:p>
    <w:p>
      <w:pPr>
        <w:pStyle w:val="Compact"/>
        <w:numPr>
          <w:ilvl w:val="0"/>
          <w:numId w:val="1024"/>
        </w:numPr>
      </w:pPr>
      <w:r>
        <w:t xml:space="preserve">Acceptance: for a fixture whose ISBN appears in each source, every valid ISBN is detected, check-digit-invalid candidates are rejected, and the candidate list is ordered by the documented ranking.</w:t>
      </w:r>
    </w:p>
    <w:p>
      <w:pPr>
        <w:pStyle w:val="FirstParagraph"/>
      </w:pPr>
      <w:r>
        <w:rPr>
          <w:b/>
          <w:bCs/>
        </w:rPr>
        <w:t xml:space="preserve">FR-META-002</w:t>
      </w:r>
      <w:r>
        <w:t xml:space="preserve"> </w:t>
      </w:r>
      <w:r>
        <w:t xml:space="preserve">(MVP): The system shall look up candidate ISBNs in the Google Books API and the Open Library API and shall store the source provider, retrieval timestamp, and confidence for each returned value.</w:t>
      </w:r>
    </w:p>
    <w:p>
      <w:pPr>
        <w:pStyle w:val="Compact"/>
        <w:numPr>
          <w:ilvl w:val="0"/>
          <w:numId w:val="1025"/>
        </w:numPr>
      </w:pPr>
      <w:r>
        <w:t xml:space="preserve">Acceptance: a lookup against a known ISBN stores at least one candidate record carrying a non-null source, timestamp, and confidence.</w:t>
      </w:r>
    </w:p>
    <w:p>
      <w:pPr>
        <w:pStyle w:val="FirstParagraph"/>
      </w:pPr>
      <w:r>
        <w:rPr>
          <w:b/>
          <w:bCs/>
        </w:rPr>
        <w:t xml:space="preserve">FR-META-003</w:t>
      </w:r>
      <w:r>
        <w:t xml:space="preserve"> </w:t>
      </w:r>
      <w:r>
        <w:t xml:space="preserve">(MVP): The system shall merge candidate metadata through a reviewable confidence policy and shall allow the user to accept, reject, or manually edit each merged field.</w:t>
      </w:r>
    </w:p>
    <w:p>
      <w:pPr>
        <w:pStyle w:val="Compact"/>
        <w:numPr>
          <w:ilvl w:val="0"/>
          <w:numId w:val="1026"/>
        </w:numPr>
      </w:pPr>
      <w:r>
        <w:t xml:space="preserve">Acceptance: a merge over conflicting candidates presents the resolved value and its source; the user can override any field; the override is persisted as the field value with a user-decision</w:t>
      </w:r>
      <w:r>
        <w:t xml:space="preserve"> </w:t>
      </w:r>
      <w:r>
        <w:rPr>
          <w:i/>
          <w:iCs/>
        </w:rPr>
        <w:t xml:space="preserve">provenance</w:t>
      </w:r>
      <w:r>
        <w:t xml:space="preserve"> </w:t>
      </w:r>
      <w:r>
        <w:t xml:space="preserve">entry.</w:t>
      </w:r>
    </w:p>
    <w:p>
      <w:pPr>
        <w:pStyle w:val="FirstParagraph"/>
      </w:pPr>
      <w:r>
        <w:rPr>
          <w:b/>
          <w:bCs/>
        </w:rPr>
        <w:t xml:space="preserve">FR-META-004</w:t>
      </w:r>
      <w:r>
        <w:t xml:space="preserve"> </w:t>
      </w:r>
      <w:r>
        <w:t xml:space="preserve">(V1): The system shall record field-level</w:t>
      </w:r>
      <w:r>
        <w:t xml:space="preserve"> </w:t>
      </w:r>
      <w:r>
        <w:rPr>
          <w:i/>
          <w:iCs/>
        </w:rPr>
        <w:t xml:space="preserve">provenance</w:t>
      </w:r>
      <w:r>
        <w:t xml:space="preserve"> </w:t>
      </w:r>
      <w:r>
        <w:t xml:space="preserve">for title, author, cover, ISBN, publisher, description, and categories.</w:t>
      </w:r>
    </w:p>
    <w:p>
      <w:pPr>
        <w:pStyle w:val="Compact"/>
        <w:numPr>
          <w:ilvl w:val="0"/>
          <w:numId w:val="1027"/>
        </w:numPr>
      </w:pPr>
      <w:r>
        <w:t xml:space="preserve">Acceptance: for each listed field, the stored provenance names the source provider, confidence, retrieval date, and user decision.</w:t>
      </w:r>
    </w:p>
    <w:p>
      <w:pPr>
        <w:pStyle w:val="FirstParagraph"/>
      </w:pPr>
      <w:r>
        <w:rPr>
          <w:b/>
          <w:bCs/>
        </w:rPr>
        <w:t xml:space="preserve">FR-META-005</w:t>
      </w:r>
      <w:r>
        <w:t xml:space="preserve"> </w:t>
      </w:r>
      <w:r>
        <w:t xml:space="preserve">(V1): The system shall write metadata back to a PDF file only after explicit user confirmation, shall back up the original first, shall show a field-level diff, and shall leave the original intact on failure.</w:t>
      </w:r>
    </w:p>
    <w:p>
      <w:pPr>
        <w:pStyle w:val="Compact"/>
        <w:numPr>
          <w:ilvl w:val="0"/>
          <w:numId w:val="1028"/>
        </w:numPr>
      </w:pPr>
      <w:r>
        <w:t xml:space="preserve">Acceptance: a confirmed write-back produces a backup copy, shows the field diff before commit, and updates the file; an injected write failure leaves the original file byte-identical to its pre-operation state (see NFR-PROD-010).</w:t>
      </w:r>
    </w:p>
    <w:p>
      <w:pPr>
        <w:pStyle w:val="FirstParagraph"/>
      </w:pPr>
      <w:r>
        <w:rPr>
          <w:b/>
          <w:bCs/>
        </w:rPr>
        <w:t xml:space="preserve">FR-META-006</w:t>
      </w:r>
      <w:r>
        <w:t xml:space="preserve"> </w:t>
      </w:r>
      <w:r>
        <w:t xml:space="preserve">(V1): The system shall run batch enrichment under provider rate limits and retry controls and shall keep paused and failed jobs visible.</w:t>
      </w:r>
    </w:p>
    <w:p>
      <w:pPr>
        <w:pStyle w:val="Compact"/>
        <w:numPr>
          <w:ilvl w:val="0"/>
          <w:numId w:val="1029"/>
        </w:numPr>
      </w:pPr>
      <w:r>
        <w:t xml:space="preserve">Acceptance: a batch over multiple books respects the configured rate limit (no calls exceed the limit window), retries a transient failure up to the configured count, and shows paused and failed jobs in the job region.</w:t>
      </w:r>
    </w:p>
    <w:p>
      <w:pPr>
        <w:pStyle w:val="FirstParagraph"/>
      </w:pPr>
      <w:r>
        <w:rPr>
          <w:b/>
          <w:bCs/>
        </w:rPr>
        <w:t xml:space="preserve">FR-META-007</w:t>
      </w:r>
      <w:r>
        <w:t xml:space="preserve"> </w:t>
      </w:r>
      <w:r>
        <w:t xml:space="preserve">(V1): The system shall compute a metadata quality score per book and shall filter the catalogue to books missing cover, ISBN, author, year, description, or categories.</w:t>
      </w:r>
    </w:p>
    <w:p>
      <w:pPr>
        <w:pStyle w:val="Compact"/>
        <w:numPr>
          <w:ilvl w:val="0"/>
          <w:numId w:val="1030"/>
        </w:numPr>
      </w:pPr>
      <w:r>
        <w:t xml:space="preserve">Acceptance: each book exposes a numeric quality score; filtering by a missing field returns exactly the books lacking that field.</w:t>
      </w:r>
    </w:p>
    <w:bookmarkEnd w:id="41"/>
    <w:bookmarkStart w:id="42" w:name="X4506feff90aa4a74a927424210f267813274cf6"/>
    <w:p>
      <w:pPr>
        <w:pStyle w:val="Heading2"/>
      </w:pPr>
      <w:r>
        <w:t xml:space="preserve">4.4 PDF Reader (READ)</w:t>
      </w:r>
    </w:p>
    <w:p>
      <w:pPr>
        <w:pStyle w:val="FirstParagraph"/>
      </w:pPr>
      <w:r>
        <w:t xml:space="preserve">Module READ traces to business goals BG-2 (usable library) and BG-4 (durable ownership).</w:t>
      </w:r>
    </w:p>
    <w:p>
      <w:pPr>
        <w:pStyle w:val="BodyText"/>
      </w:pPr>
      <w:r>
        <w:rPr>
          <w:b/>
          <w:bCs/>
        </w:rPr>
        <w:t xml:space="preserve">FR-READ-001</w:t>
      </w:r>
      <w:r>
        <w:t xml:space="preserve"> </w:t>
      </w:r>
      <w:r>
        <w:t xml:space="preserve">(MVP): The system shall open a PDF from the catalogue and resume the last reading position (page and scroll offset) when the book was previously read.</w:t>
      </w:r>
    </w:p>
    <w:p>
      <w:pPr>
        <w:pStyle w:val="Compact"/>
        <w:numPr>
          <w:ilvl w:val="0"/>
          <w:numId w:val="1031"/>
        </w:numPr>
      </w:pPr>
      <w:r>
        <w:t xml:space="preserve">Acceptance: closing a book at a known page and scroll offset and reopening it restores that exact page and offset.</w:t>
      </w:r>
    </w:p>
    <w:p>
      <w:pPr>
        <w:pStyle w:val="FirstParagraph"/>
      </w:pPr>
      <w:r>
        <w:rPr>
          <w:b/>
          <w:bCs/>
        </w:rPr>
        <w:t xml:space="preserve">FR-READ-002</w:t>
      </w:r>
      <w:r>
        <w:t xml:space="preserve"> </w:t>
      </w:r>
      <w:r>
        <w:t xml:space="preserve">(MVP): The system shall provide first, previous, next, last, jump-to-page, and history back and forward navigation through both keyboard and UI controls.</w:t>
      </w:r>
    </w:p>
    <w:p>
      <w:pPr>
        <w:pStyle w:val="Compact"/>
        <w:numPr>
          <w:ilvl w:val="0"/>
          <w:numId w:val="1032"/>
        </w:numPr>
      </w:pPr>
      <w:r>
        <w:t xml:space="preserve">Acceptance: each navigation command, invoked by keyboard and by UI, moves to the specified page; history back and forward return to the prior and subsequent visited pages in order.</w:t>
      </w:r>
    </w:p>
    <w:p>
      <w:pPr>
        <w:pStyle w:val="FirstParagraph"/>
      </w:pPr>
      <w:r>
        <w:rPr>
          <w:b/>
          <w:bCs/>
        </w:rPr>
        <w:t xml:space="preserve">FR-READ-003</w:t>
      </w:r>
      <w:r>
        <w:t xml:space="preserve"> </w:t>
      </w:r>
      <w:r>
        <w:t xml:space="preserve">(MVP): The system shall provide fit-width, fit-page, and fixed-percentage zoom with keyboard shortcuts, and shall persist the zoom state per book or per the user's preference.</w:t>
      </w:r>
    </w:p>
    <w:p>
      <w:pPr>
        <w:pStyle w:val="Compact"/>
        <w:numPr>
          <w:ilvl w:val="0"/>
          <w:numId w:val="1033"/>
        </w:numPr>
      </w:pPr>
      <w:r>
        <w:t xml:space="preserve">Acceptance: each zoom mode renders the page at the corresponding scale; the persisted zoom state is restored on reopen per the configured scope.</w:t>
      </w:r>
    </w:p>
    <w:p>
      <w:pPr>
        <w:pStyle w:val="FirstParagraph"/>
      </w:pPr>
      <w:r>
        <w:rPr>
          <w:b/>
          <w:bCs/>
        </w:rPr>
        <w:t xml:space="preserve">FR-READ-004</w:t>
      </w:r>
      <w:r>
        <w:t xml:space="preserve"> </w:t>
      </w:r>
      <w:r>
        <w:t xml:space="preserve">(MVP): The system shall provide single-page, two-page-spread, and continuous-scroll display modes and shall persist the selected mode per book.</w:t>
      </w:r>
    </w:p>
    <w:p>
      <w:pPr>
        <w:pStyle w:val="Compact"/>
        <w:numPr>
          <w:ilvl w:val="0"/>
          <w:numId w:val="1034"/>
        </w:numPr>
      </w:pPr>
      <w:r>
        <w:t xml:space="preserve">Acceptance: each mode renders the expected page layout; reopening the book restores the last-used mode.</w:t>
      </w:r>
    </w:p>
    <w:p>
      <w:pPr>
        <w:pStyle w:val="FirstParagraph"/>
      </w:pPr>
      <w:r>
        <w:rPr>
          <w:b/>
          <w:bCs/>
        </w:rPr>
        <w:t xml:space="preserve">FR-READ-005</w:t>
      </w:r>
      <w:r>
        <w:t xml:space="preserve"> </w:t>
      </w:r>
      <w:r>
        <w:t xml:space="preserve">(MVP): The system shall hide non-essential UI in full-screen reading mode and shall exit full-screen on the Escape key.</w:t>
      </w:r>
    </w:p>
    <w:p>
      <w:pPr>
        <w:pStyle w:val="Compact"/>
        <w:numPr>
          <w:ilvl w:val="0"/>
          <w:numId w:val="1035"/>
        </w:numPr>
      </w:pPr>
      <w:r>
        <w:t xml:space="preserve">Acceptance: entering full-screen hides the navigation and shelf regions; pressing Escape restores the standard reader layout.</w:t>
      </w:r>
    </w:p>
    <w:p>
      <w:pPr>
        <w:pStyle w:val="FirstParagraph"/>
      </w:pPr>
      <w:r>
        <w:rPr>
          <w:b/>
          <w:bCs/>
        </w:rPr>
        <w:t xml:space="preserve">FR-READ-006</w:t>
      </w:r>
      <w:r>
        <w:t xml:space="preserve"> </w:t>
      </w:r>
      <w:r>
        <w:t xml:space="preserve">(MVP): The system shall highlight text-search matches and list the pages containing matches, using the PDF text layer where it is available.</w:t>
      </w:r>
    </w:p>
    <w:p>
      <w:pPr>
        <w:pStyle w:val="Compact"/>
        <w:numPr>
          <w:ilvl w:val="0"/>
          <w:numId w:val="1036"/>
        </w:numPr>
      </w:pPr>
      <w:r>
        <w:t xml:space="preserve">Acceptance: a search for a term present in the text layer highlights each occurrence and lists every page on which it occurs.</w:t>
      </w:r>
    </w:p>
    <w:p>
      <w:pPr>
        <w:pStyle w:val="FirstParagraph"/>
      </w:pPr>
      <w:r>
        <w:rPr>
          <w:b/>
          <w:bCs/>
        </w:rPr>
        <w:t xml:space="preserve">FR-READ-007</w:t>
      </w:r>
      <w:r>
        <w:t xml:space="preserve"> </w:t>
      </w:r>
      <w:r>
        <w:t xml:space="preserve">(MVP): The system shall create bookmarks with labels and page jumps that persist across close and reopen.</w:t>
      </w:r>
    </w:p>
    <w:p>
      <w:pPr>
        <w:pStyle w:val="Compact"/>
        <w:numPr>
          <w:ilvl w:val="0"/>
          <w:numId w:val="1037"/>
        </w:numPr>
      </w:pPr>
      <w:r>
        <w:t xml:space="preserve">Acceptance: a labelled bookmark created at a page reopens after close, retains its label, and jumps to the bookmarked page when activated.</w:t>
      </w:r>
    </w:p>
    <w:p>
      <w:pPr>
        <w:pStyle w:val="FirstParagraph"/>
      </w:pPr>
      <w:r>
        <w:rPr>
          <w:b/>
          <w:bCs/>
        </w:rPr>
        <w:t xml:space="preserve">FR-READ-008</w:t>
      </w:r>
      <w:r>
        <w:t xml:space="preserve"> </w:t>
      </w:r>
      <w:r>
        <w:t xml:space="preserve">(MVP): The system shall persist highlights and notes in the catalogue of record and shall reload the annotation overlay at its accurate position after reopen.</w:t>
      </w:r>
    </w:p>
    <w:p>
      <w:pPr>
        <w:pStyle w:val="Compact"/>
        <w:numPr>
          <w:ilvl w:val="0"/>
          <w:numId w:val="1038"/>
        </w:numPr>
      </w:pPr>
      <w:r>
        <w:t xml:space="preserve">Acceptance: a highlight placed over a known text region reopens at the same coordinates after close; the note text is unchanged.</w:t>
      </w:r>
    </w:p>
    <w:p>
      <w:pPr>
        <w:pStyle w:val="FirstParagraph"/>
      </w:pPr>
      <w:r>
        <w:rPr>
          <w:b/>
          <w:bCs/>
        </w:rPr>
        <w:t xml:space="preserve">FR-READ-009</w:t>
      </w:r>
      <w:r>
        <w:t xml:space="preserve"> </w:t>
      </w:r>
      <w:r>
        <w:t xml:space="preserve">(V1): The system shall detect a password-protected PDF and shall open it through the OS credential flow after the user consents.</w:t>
      </w:r>
    </w:p>
    <w:p>
      <w:pPr>
        <w:pStyle w:val="Compact"/>
        <w:numPr>
          <w:ilvl w:val="0"/>
          <w:numId w:val="1039"/>
        </w:numPr>
      </w:pPr>
      <w:r>
        <w:t xml:space="preserve">Acceptance: opening a password-protected fixture prompts for consent, retrieves the credential through the OS flow, and renders the document; declining consent leaves the document unopened.</w:t>
      </w:r>
    </w:p>
    <w:p>
      <w:pPr>
        <w:pStyle w:val="FirstParagraph"/>
      </w:pPr>
      <w:r>
        <w:rPr>
          <w:b/>
          <w:bCs/>
        </w:rPr>
        <w:t xml:space="preserve">FR-READ-010</w:t>
      </w:r>
      <w:r>
        <w:t xml:space="preserve"> </w:t>
      </w:r>
      <w:r>
        <w:t xml:space="preserve">(V1): The system shall OCR-index a scanned PDF as an optional background job and shall mark the resulting text as OCR-derived and searchable.</w:t>
      </w:r>
    </w:p>
    <w:p>
      <w:pPr>
        <w:pStyle w:val="Compact"/>
        <w:numPr>
          <w:ilvl w:val="0"/>
          <w:numId w:val="1040"/>
        </w:numPr>
      </w:pPr>
      <w:r>
        <w:t xml:space="preserve">Acceptance: an OCR job over a scanned fixture produces searchable text flagged OCR-derived; a search for a known phrase returns the page.</w:t>
      </w:r>
    </w:p>
    <w:p>
      <w:pPr>
        <w:pStyle w:val="FirstParagraph"/>
      </w:pPr>
      <w:r>
        <w:rPr>
          <w:b/>
          <w:bCs/>
        </w:rPr>
        <w:t xml:space="preserve">FR-READ-011</w:t>
      </w:r>
      <w:r>
        <w:t xml:space="preserve"> </w:t>
      </w:r>
      <w:r>
        <w:t xml:space="preserve">(V1): The system shall copy a citation card containing title, author, page, and the selected text when the user invokes citation capture on a text selection.</w:t>
      </w:r>
    </w:p>
    <w:p>
      <w:pPr>
        <w:pStyle w:val="Compact"/>
        <w:numPr>
          <w:ilvl w:val="0"/>
          <w:numId w:val="1041"/>
        </w:numPr>
      </w:pPr>
      <w:r>
        <w:t xml:space="preserve">Acceptance: invoking citation capture on a selection places a citation card on the clipboard carrying the four fields with the correct page and selected text.</w:t>
      </w:r>
    </w:p>
    <w:p>
      <w:pPr>
        <w:pStyle w:val="FirstParagraph"/>
      </w:pPr>
      <w:r>
        <w:rPr>
          <w:b/>
          <w:bCs/>
        </w:rPr>
        <w:t xml:space="preserve">FR-READ-012</w:t>
      </w:r>
      <w:r>
        <w:t xml:space="preserve"> </w:t>
      </w:r>
      <w:r>
        <w:t xml:space="preserve">(V2): The system shall present a split view showing two PDFs, or two locations within one PDF, side by side when the user opens split view.</w:t>
      </w:r>
    </w:p>
    <w:p>
      <w:pPr>
        <w:pStyle w:val="Compact"/>
        <w:numPr>
          <w:ilvl w:val="0"/>
          <w:numId w:val="1042"/>
        </w:numPr>
      </w:pPr>
      <w:r>
        <w:t xml:space="preserve">Acceptance: split view renders two independent reading panes; navigation in one pane does not move the other.</w:t>
      </w:r>
    </w:p>
    <w:bookmarkEnd w:id="42"/>
    <w:bookmarkStart w:id="43" w:name="Xf5e668fe950ed4a089297e6d0b2e3f50f2b0541"/>
    <w:p>
      <w:pPr>
        <w:pStyle w:val="Heading2"/>
      </w:pPr>
      <w:r>
        <w:t xml:space="preserve">4.5 Search and Indexing (SEARCH)</w:t>
      </w:r>
    </w:p>
    <w:p>
      <w:pPr>
        <w:pStyle w:val="FirstParagraph"/>
      </w:pPr>
      <w:r>
        <w:t xml:space="preserve">Module SEARCH traces to business goals BG-2 (usable library) and BG-3 (intelligent library).</w:t>
      </w:r>
    </w:p>
    <w:p>
      <w:pPr>
        <w:pStyle w:val="BodyText"/>
      </w:pPr>
      <w:r>
        <w:rPr>
          <w:b/>
          <w:bCs/>
        </w:rPr>
        <w:t xml:space="preserve">FR-SEARCH-001</w:t>
      </w:r>
      <w:r>
        <w:t xml:space="preserve"> </w:t>
      </w:r>
      <w:r>
        <w:t xml:space="preserve">(MVP): The system shall return metadata search results while the user types, within the latency budget defined in NFR-OGMA-003 for a corpus of 2,000 books.</w:t>
      </w:r>
    </w:p>
    <w:p>
      <w:pPr>
        <w:pStyle w:val="Compact"/>
        <w:numPr>
          <w:ilvl w:val="0"/>
          <w:numId w:val="1043"/>
        </w:numPr>
      </w:pPr>
      <w:r>
        <w:t xml:space="preserve">Acceptance: a query-replay benchmark over a 2,000-book corpus reports a P95 metadata-search latency at or below the budget in NFR-OGMA-003.</w:t>
      </w:r>
    </w:p>
    <w:p>
      <w:pPr>
        <w:pStyle w:val="FirstParagraph"/>
      </w:pPr>
      <w:r>
        <w:rPr>
          <w:b/>
          <w:bCs/>
        </w:rPr>
        <w:t xml:space="preserve">FR-SEARCH-002</w:t>
      </w:r>
      <w:r>
        <w:t xml:space="preserve"> </w:t>
      </w:r>
      <w:r>
        <w:t xml:space="preserve">(V1): The system shall maintain an FTS5 index covering extracted text, notes, tags, descriptions, and tables of contents.</w:t>
      </w:r>
    </w:p>
    <w:p>
      <w:pPr>
        <w:pStyle w:val="Compact"/>
        <w:numPr>
          <w:ilvl w:val="0"/>
          <w:numId w:val="1044"/>
        </w:numPr>
      </w:pPr>
      <w:r>
        <w:t xml:space="preserve">Acceptance: a term present only in each listed content source is found by full-text search after indexing; the index manager reports the source coverage.</w:t>
      </w:r>
    </w:p>
    <w:p>
      <w:pPr>
        <w:pStyle w:val="FirstParagraph"/>
      </w:pPr>
      <w:r>
        <w:rPr>
          <w:b/>
          <w:bCs/>
        </w:rPr>
        <w:t xml:space="preserve">FR-SEARCH-003</w:t>
      </w:r>
      <w:r>
        <w:t xml:space="preserve"> </w:t>
      </w:r>
      <w:r>
        <w:t xml:space="preserve">(V1): The system shall state the match location for each search result as one of title, author, note, text-page, or semantic hit.</w:t>
      </w:r>
    </w:p>
    <w:p>
      <w:pPr>
        <w:pStyle w:val="Compact"/>
        <w:numPr>
          <w:ilvl w:val="0"/>
          <w:numId w:val="1045"/>
        </w:numPr>
      </w:pPr>
      <w:r>
        <w:t xml:space="preserve">Acceptance: for a query matching in each location type, every result row displays the correct match-location label.</w:t>
      </w:r>
    </w:p>
    <w:p>
      <w:pPr>
        <w:pStyle w:val="FirstParagraph"/>
      </w:pPr>
      <w:r>
        <w:rPr>
          <w:b/>
          <w:bCs/>
        </w:rPr>
        <w:t xml:space="preserve">FR-SEARCH-004</w:t>
      </w:r>
      <w:r>
        <w:t xml:space="preserve"> </w:t>
      </w:r>
      <w:r>
        <w:t xml:space="preserve">(V1): The system shall return results for a natural-language query through semantic search over embeddings.</w:t>
      </w:r>
    </w:p>
    <w:p>
      <w:pPr>
        <w:pStyle w:val="Compact"/>
        <w:numPr>
          <w:ilvl w:val="0"/>
          <w:numId w:val="1046"/>
        </w:numPr>
      </w:pPr>
      <w:r>
        <w:t xml:space="preserve">Acceptance: a natural-language query whose intent matches a book lacking the literal query terms returns that book among the ranked semantic results.</w:t>
      </w:r>
    </w:p>
    <w:p>
      <w:pPr>
        <w:pStyle w:val="FirstParagraph"/>
      </w:pPr>
      <w:r>
        <w:rPr>
          <w:b/>
          <w:bCs/>
        </w:rPr>
        <w:t xml:space="preserve">FR-SEARCH-005</w:t>
      </w:r>
      <w:r>
        <w:t xml:space="preserve"> </w:t>
      </w:r>
      <w:r>
        <w:t xml:space="preserve">(V1): The system shall produce a hybrid ranking that blends exact match, recency, reading status, rating, and semantic similarity.</w:t>
      </w:r>
    </w:p>
    <w:p>
      <w:pPr>
        <w:pStyle w:val="Compact"/>
        <w:numPr>
          <w:ilvl w:val="0"/>
          <w:numId w:val="1047"/>
        </w:numPr>
      </w:pPr>
      <w:r>
        <w:t xml:space="preserve">Acceptance: a fixed query against a fixed corpus produces a deterministic ranked order that reflects each named signal per the documented weighting; the order is reproducible across runs.</w:t>
      </w:r>
    </w:p>
    <w:p>
      <w:pPr>
        <w:pStyle w:val="FirstParagraph"/>
      </w:pPr>
      <w:r>
        <w:rPr>
          <w:b/>
          <w:bCs/>
        </w:rPr>
        <w:t xml:space="preserve">FR-SEARCH-006</w:t>
      </w:r>
      <w:r>
        <w:t xml:space="preserve"> </w:t>
      </w:r>
      <w:r>
        <w:t xml:space="preserve">(V1): The system shall expose, through the index manager, indexing progress, the count of indexed books, pending OCR, failed extractions, and index size.</w:t>
      </w:r>
    </w:p>
    <w:p>
      <w:pPr>
        <w:pStyle w:val="Compact"/>
        <w:numPr>
          <w:ilvl w:val="0"/>
          <w:numId w:val="1048"/>
        </w:numPr>
      </w:pPr>
      <w:r>
        <w:t xml:space="preserve">Acceptance: the index manager displays each listed figure, and the figures reconcile with the underlying index state for a known fixture.</w:t>
      </w:r>
    </w:p>
    <w:bookmarkEnd w:id="43"/>
    <w:bookmarkStart w:id="44" w:name="X6b4bb56a8e3dc03c9f783966863cf150d489a61"/>
    <w:p>
      <w:pPr>
        <w:pStyle w:val="Heading2"/>
      </w:pPr>
      <w:r>
        <w:t xml:space="preserve">4.6 AI Advisor (AI)</w:t>
      </w:r>
    </w:p>
    <w:p>
      <w:pPr>
        <w:pStyle w:val="FirstParagraph"/>
      </w:pPr>
      <w:r>
        <w:t xml:space="preserve">Module AI traces to business goals BG-3 (intelligent library) and BG-5 (private by default).</w:t>
      </w:r>
    </w:p>
    <w:p>
      <w:pPr>
        <w:pStyle w:val="BodyText"/>
      </w:pPr>
      <w:r>
        <w:rPr>
          <w:b/>
          <w:bCs/>
        </w:rPr>
        <w:t xml:space="preserve">FR-AI-001</w:t>
      </w:r>
      <w:r>
        <w:t xml:space="preserve"> </w:t>
      </w:r>
      <w:r>
        <w:t xml:space="preserve">(MVP): The system shall allow the user to disable AI completely, shall require no provider key when AI is disabled, and shall block no core reading function on the presence of AI.</w:t>
      </w:r>
    </w:p>
    <w:p>
      <w:pPr>
        <w:pStyle w:val="Compact"/>
        <w:numPr>
          <w:ilvl w:val="0"/>
          <w:numId w:val="1049"/>
        </w:numPr>
      </w:pPr>
      <w:r>
        <w:t xml:space="preserve">Acceptance: with AI disabled and no key configured, every LIB, CAT, META, READ, and SEARCH MVP function operates; no AI surface is required to reach them.</w:t>
      </w:r>
    </w:p>
    <w:p>
      <w:pPr>
        <w:pStyle w:val="FirstParagraph"/>
      </w:pPr>
      <w:r>
        <w:rPr>
          <w:b/>
          <w:bCs/>
        </w:rPr>
        <w:t xml:space="preserve">FR-AI-002</w:t>
      </w:r>
      <w:r>
        <w:t xml:space="preserve"> </w:t>
      </w:r>
      <w:r>
        <w:t xml:space="preserve">(MVP): The system shall let the user choose an AI provider from OpenAI-compatible, Anthropic-compatible, DeepSeek-compatible, and Ollama (local) options behind a single provider contract.</w:t>
      </w:r>
    </w:p>
    <w:p>
      <w:pPr>
        <w:pStyle w:val="Compact"/>
        <w:numPr>
          <w:ilvl w:val="0"/>
          <w:numId w:val="1050"/>
        </w:numPr>
      </w:pPr>
      <w:r>
        <w:t xml:space="preserve">Acceptance: selecting each provider routes calls through the</w:t>
      </w:r>
      <w:r>
        <w:t xml:space="preserve"> </w:t>
      </w:r>
      <w:r>
        <w:rPr>
          <w:rStyle w:val="VerbatimChar"/>
        </w:rPr>
        <w:t xml:space="preserve">IAiProvider</w:t>
      </w:r>
      <w:r>
        <w:t xml:space="preserve"> </w:t>
      </w:r>
      <w:r>
        <w:t xml:space="preserve">gateway; switching providers requires no change outside provider configuration.</w:t>
      </w:r>
    </w:p>
    <w:p>
      <w:pPr>
        <w:pStyle w:val="FirstParagraph"/>
      </w:pPr>
      <w:r>
        <w:rPr>
          <w:b/>
          <w:bCs/>
        </w:rPr>
        <w:t xml:space="preserve">FR-AI-003</w:t>
      </w:r>
      <w:r>
        <w:t xml:space="preserve"> </w:t>
      </w:r>
      <w:r>
        <w:t xml:space="preserve">(MVP): The system shall recommend books from the user's own collection in response to a user intent, presenting ranked cards that each carry an explanation and a confidence value.</w:t>
      </w:r>
    </w:p>
    <w:p>
      <w:pPr>
        <w:pStyle w:val="Compact"/>
        <w:numPr>
          <w:ilvl w:val="0"/>
          <w:numId w:val="1051"/>
        </w:numPr>
      </w:pPr>
      <w:r>
        <w:t xml:space="preserve">Acceptance: a recommendation request returns ranked cards drawn only from catalogued books; each card shows an explanation referencing the matching field or content and a confidence value.</w:t>
      </w:r>
      <w:r>
        <w:t xml:space="preserve"> </w:t>
      </w:r>
      <w:r>
        <w:rPr>
          <w:rStyle w:val="VerbatimChar"/>
        </w:rPr>
        <w:t xml:space="preserve">[VERIFIABILITY-FAIL: the relevance quality of a recommendation is a judgement call; the deterministic oracle is limited to the presence of ranked cards drawn from the local collection, each carrying a non-empty explanation and a confidence value in the defined range, not to the correctness of the ranking]</w:t>
      </w:r>
    </w:p>
    <w:p>
      <w:pPr>
        <w:pStyle w:val="FirstParagraph"/>
      </w:pPr>
      <w:r>
        <w:rPr>
          <w:b/>
          <w:bCs/>
        </w:rPr>
        <w:t xml:space="preserve">FR-AI-004</w:t>
      </w:r>
      <w:r>
        <w:t xml:space="preserve"> </w:t>
      </w:r>
      <w:r>
        <w:t xml:space="preserve">(MVP): The system shall default to metadata-only mode and, when cloud AI is enabled, shall send only title, author, tags, categories, descriptions, and notes off-device.</w:t>
      </w:r>
    </w:p>
    <w:p>
      <w:pPr>
        <w:pStyle w:val="Compact"/>
        <w:numPr>
          <w:ilvl w:val="0"/>
          <w:numId w:val="1052"/>
        </w:numPr>
      </w:pPr>
      <w:r>
        <w:t xml:space="preserve">Acceptance: with metadata-only mode active, a captured outbound payload contains only the listed fields and no document content (see NFR-PROD-011).</w:t>
      </w:r>
    </w:p>
    <w:p>
      <w:pPr>
        <w:pStyle w:val="FirstParagraph"/>
      </w:pPr>
      <w:r>
        <w:rPr>
          <w:b/>
          <w:bCs/>
        </w:rPr>
        <w:t xml:space="preserve">FR-AI-005</w:t>
      </w:r>
      <w:r>
        <w:t xml:space="preserve"> </w:t>
      </w:r>
      <w:r>
        <w:t xml:space="preserve">(V1): The system shall enable content-aware mode only on explicit opt-in per library or per query and shall show a privacy label before any content chunk is sent.</w:t>
      </w:r>
    </w:p>
    <w:p>
      <w:pPr>
        <w:pStyle w:val="Compact"/>
        <w:numPr>
          <w:ilvl w:val="0"/>
          <w:numId w:val="1053"/>
        </w:numPr>
      </w:pPr>
      <w:r>
        <w:t xml:space="preserve">Acceptance: a content-aware request is blocked until opt-in is recorded; the privacy label and previewed payload are shown before transmission; absent opt-in, no content chunk leaves the device.</w:t>
      </w:r>
    </w:p>
    <w:p>
      <w:pPr>
        <w:pStyle w:val="FirstParagraph"/>
      </w:pPr>
      <w:r>
        <w:rPr>
          <w:b/>
          <w:bCs/>
        </w:rPr>
        <w:t xml:space="preserve">FR-AI-006</w:t>
      </w:r>
      <w:r>
        <w:t xml:space="preserve"> </w:t>
      </w:r>
      <w:r>
        <w:t xml:space="preserve">(V1): The system shall support local embeddings through the Ollama path so that semantic search runs without cloud upload.</w:t>
      </w:r>
    </w:p>
    <w:p>
      <w:pPr>
        <w:pStyle w:val="Compact"/>
        <w:numPr>
          <w:ilvl w:val="0"/>
          <w:numId w:val="1054"/>
        </w:numPr>
      </w:pPr>
      <w:r>
        <w:t xml:space="preserve">Acceptance: with the local embedding path active and the network interface disabled, embedding generation and semantic search complete and no off-device request is issued.</w:t>
      </w:r>
    </w:p>
    <w:p>
      <w:pPr>
        <w:pStyle w:val="FirstParagraph"/>
      </w:pPr>
      <w:r>
        <w:rPr>
          <w:b/>
          <w:bCs/>
        </w:rPr>
        <w:t xml:space="preserve">FR-AI-007</w:t>
      </w:r>
      <w:r>
        <w:t xml:space="preserve"> </w:t>
      </w:r>
      <w:r>
        <w:t xml:space="preserve">(V1): The system shall generate a reading plan stating sequence, rationale, estimated difficulty, and checkpoints when the user requests one.</w:t>
      </w:r>
    </w:p>
    <w:p>
      <w:pPr>
        <w:pStyle w:val="Compact"/>
        <w:numPr>
          <w:ilvl w:val="0"/>
          <w:numId w:val="1055"/>
        </w:numPr>
      </w:pPr>
      <w:r>
        <w:t xml:space="preserve">Acceptance: a reading-plan request returns an ordered sequence of catalogued books, a rationale per step, a difficulty estimate, and defined checkpoints.</w:t>
      </w:r>
      <w:r>
        <w:t xml:space="preserve"> </w:t>
      </w:r>
      <w:r>
        <w:rPr>
          <w:rStyle w:val="VerbatimChar"/>
        </w:rPr>
        <w:t xml:space="preserve">[VERIFIABILITY-FAIL: the pedagogical soundness of the sequence and difficulty estimate is a judgement call; the deterministic oracle is limited to the presence and structural completeness of the four named elements]</w:t>
      </w:r>
    </w:p>
    <w:p>
      <w:pPr>
        <w:pStyle w:val="FirstParagraph"/>
      </w:pPr>
      <w:r>
        <w:rPr>
          <w:b/>
          <w:bCs/>
        </w:rPr>
        <w:t xml:space="preserve">FR-AI-008</w:t>
      </w:r>
      <w:r>
        <w:t xml:space="preserve"> </w:t>
      </w:r>
      <w:r>
        <w:t xml:space="preserve">(V2): The system shall cite local evidence — book title, page or chunk, and confidence — for each answer when AI answer mode is used.</w:t>
      </w:r>
    </w:p>
    <w:p>
      <w:pPr>
        <w:pStyle w:val="Compact"/>
        <w:numPr>
          <w:ilvl w:val="0"/>
          <w:numId w:val="1056"/>
        </w:numPr>
      </w:pPr>
      <w:r>
        <w:t xml:space="preserve">Acceptance: an answer-mode response carries at least one citation naming a catalogued book, a page or chunk reference, and a confidence value.</w:t>
      </w:r>
    </w:p>
    <w:p>
      <w:pPr>
        <w:pStyle w:val="FirstParagraph"/>
      </w:pPr>
      <w:r>
        <w:rPr>
          <w:b/>
          <w:bCs/>
        </w:rPr>
        <w:t xml:space="preserve">FR-AI-009</w:t>
      </w:r>
      <w:r>
        <w:t xml:space="preserve"> </w:t>
      </w:r>
      <w:r>
        <w:t xml:space="preserve">(V1): The system shall store AI query history locally and shall allow the user to delete the history and disable its retention.</w:t>
      </w:r>
    </w:p>
    <w:p>
      <w:pPr>
        <w:pStyle w:val="Compact"/>
        <w:numPr>
          <w:ilvl w:val="0"/>
          <w:numId w:val="1057"/>
        </w:numPr>
      </w:pPr>
      <w:r>
        <w:t xml:space="preserve">Acceptance: AI queries are recorded locally; a delete action removes the history for the chosen scope; disabling retention stops further recording (see NFR-PROD-014).</w:t>
      </w:r>
    </w:p>
    <w:p>
      <w:pPr>
        <w:pStyle w:val="FirstParagraph"/>
      </w:pPr>
      <w:r>
        <w:rPr>
          <w:b/>
          <w:bCs/>
        </w:rPr>
        <w:t xml:space="preserve">FR-AI-010</w:t>
      </w:r>
      <w:r>
        <w:t xml:space="preserve"> </w:t>
      </w:r>
      <w:r>
        <w:t xml:space="preserve">(V1): The system shall display the model usage and an estimated cost for each cloud call.</w:t>
      </w:r>
    </w:p>
    <w:p>
      <w:pPr>
        <w:pStyle w:val="Compact"/>
        <w:numPr>
          <w:ilvl w:val="0"/>
          <w:numId w:val="1058"/>
        </w:numPr>
      </w:pPr>
      <w:r>
        <w:t xml:space="preserve">Acceptance: each cloud call records and displays the model identifier, the token or unit usage, and an estimated cost; the displayed usage reconciles with the provider response.</w:t>
      </w:r>
    </w:p>
    <w:p>
      <w:pPr>
        <w:pStyle w:val="FirstParagraph"/>
      </w:pPr>
      <w:r>
        <w:t xml:space="preserve">\newpage</w:t>
      </w:r>
    </w:p>
    <w:bookmarkEnd w:id="44"/>
    <w:bookmarkEnd w:id="45"/>
    <w:bookmarkStart w:id="64" w:name="X1d0793fab0a3ad4cc8b1b715ac245e2ccf65199"/>
    <w:p>
      <w:pPr>
        <w:pStyle w:val="Heading1"/>
      </w:pPr>
      <w:r>
        <w:t xml:space="preserve">5. Non-Functional Requirements</w:t>
      </w:r>
    </w:p>
    <w:p>
      <w:pPr>
        <w:pStyle w:val="FirstParagraph"/>
      </w:pPr>
      <w:r>
        <w:t xml:space="preserve">Every non-functional requirement (NFR) in this section is stated with a measurable threshold and a named verification method, in accordance with IEEE Std 982.1. Requirements prefixed NFR-OGMA are product-specific budgets derived from the application design report. Requirements prefixed NFR-PROD are the productivity-domain defaults injected verbatim from</w:t>
      </w:r>
      <w:r>
        <w:t xml:space="preserve"> </w:t>
      </w:r>
      <w:r>
        <w:rPr>
          <w:rStyle w:val="VerbatimChar"/>
        </w:rPr>
        <w:t xml:space="preserve">domains/productivity/references/nfr-defaults.md</w:t>
      </w:r>
      <w:r>
        <w:t xml:space="preserve">; each is enclosed in its</w:t>
      </w:r>
      <w:r>
        <w:t xml:space="preserve"> </w:t>
      </w:r>
      <w:r>
        <w:rPr>
          <w:rStyle w:val="VerbatimChar"/>
        </w:rPr>
        <w:t xml:space="preserve">[DOMAIN-DEFAULT: productivity]</w:t>
      </w:r>
      <w:r>
        <w:t xml:space="preserve"> </w:t>
      </w:r>
      <w:r>
        <w:t xml:space="preserve">comment markers for consultant review and is retained, edited, or removed only by the consultant.</w:t>
      </w:r>
    </w:p>
    <w:bookmarkStart w:id="46" w:name="Xedd1af0b2b81889d4dd57e690211b0850a21cb9"/>
    <w:p>
      <w:pPr>
        <w:pStyle w:val="Heading2"/>
      </w:pPr>
      <w:r>
        <w:t xml:space="preserve">5.1 Product-Specific Performance Budgets (NFR-OGMA)</w:t>
      </w:r>
    </w:p>
    <w:p>
      <w:pPr>
        <w:pStyle w:val="FirstParagraph"/>
      </w:pPr>
      <w:r>
        <w:t xml:space="preserve">The budgets below are engineering budgets validated against a representative corpus on defined reference hardware, not universal guarantees. The reference hardware specification is a precondition for each benchmark and is flagged as a context gap in Section 2.5.</w:t>
      </w:r>
    </w:p>
    <w:p>
      <w:pPr>
        <w:pStyle w:val="BodyText"/>
      </w:pPr>
      <w:r>
        <w:rPr>
          <w:b/>
          <w:bCs/>
        </w:rPr>
        <w:t xml:space="preserve">NFR-OGMA-001 Cold-start latency.</w:t>
      </w:r>
      <w:r>
        <w:t xml:space="preserve"> </w:t>
      </w:r>
      <w:r>
        <w:t xml:space="preserve">The application shall reach an interactive state within 3 seconds at P95 on the reference hardware. Verification: an instrumented startup benchmark records P95 over repeated cold launches and fails the build if the budget is exceeded.</w:t>
      </w:r>
    </w:p>
    <w:p>
      <w:pPr>
        <w:pStyle w:val="BodyText"/>
      </w:pPr>
      <w:r>
        <w:rPr>
          <w:b/>
          <w:bCs/>
        </w:rPr>
        <w:t xml:space="preserve">NFR-OGMA-002 Catalogue-load latency.</w:t>
      </w:r>
      <w:r>
        <w:t xml:space="preserve"> </w:t>
      </w:r>
      <w:r>
        <w:t xml:space="preserve">The application shall render the catalogue for a 2,000-book corpus within 2 seconds at P95. Verification: a scripted catalogue-load benchmark over the 2,000-book reference corpus reports P95 against the budget.</w:t>
      </w:r>
    </w:p>
    <w:p>
      <w:pPr>
        <w:pStyle w:val="BodyText"/>
      </w:pPr>
      <w:r>
        <w:rPr>
          <w:b/>
          <w:bCs/>
        </w:rPr>
        <w:t xml:space="preserve">NFR-OGMA-003 Metadata-search latency.</w:t>
      </w:r>
      <w:r>
        <w:t xml:space="preserve"> </w:t>
      </w:r>
      <w:r>
        <w:t xml:space="preserve">The application shall return metadata search results within 150 ms at P95 for a 2,000-book corpus. Verification: a query-replay benchmark over a fixed query set against the 2,000-book corpus reports P95 latency.</w:t>
      </w:r>
    </w:p>
    <w:p>
      <w:pPr>
        <w:pStyle w:val="BodyText"/>
      </w:pPr>
      <w:r>
        <w:rPr>
          <w:b/>
          <w:bCs/>
        </w:rPr>
        <w:t xml:space="preserve">NFR-OGMA-004 Full-text-search latency (warm).</w:t>
      </w:r>
      <w:r>
        <w:t xml:space="preserve"> </w:t>
      </w:r>
      <w:r>
        <w:t xml:space="preserve">The application shall return full-text search results within 500 ms at P95 against a warm FTS5 index. Verification: a query-replay benchmark over a warm index reports P95 latency.</w:t>
      </w:r>
    </w:p>
    <w:p>
      <w:pPr>
        <w:pStyle w:val="BodyText"/>
      </w:pPr>
      <w:r>
        <w:rPr>
          <w:b/>
          <w:bCs/>
        </w:rPr>
        <w:t xml:space="preserve">NFR-OGMA-005 Reader page-turn latency (cached).</w:t>
      </w:r>
      <w:r>
        <w:t xml:space="preserve"> </w:t>
      </w:r>
      <w:r>
        <w:t xml:space="preserve">The application shall complete a page turn within 100 ms at P95 when the target page is cached. Verification: an instrumented reader benchmark measures cached page-turn P95.</w:t>
      </w:r>
    </w:p>
    <w:p>
      <w:pPr>
        <w:pStyle w:val="BodyText"/>
      </w:pPr>
      <w:r>
        <w:rPr>
          <w:b/>
          <w:bCs/>
        </w:rPr>
        <w:t xml:space="preserve">NFR-OGMA-006 3D shelf frame rate.</w:t>
      </w:r>
      <w:r>
        <w:t xml:space="preserve"> </w:t>
      </w:r>
      <w:r>
        <w:t xml:space="preserve">The 3D shelf shall sustain at least 60 frames per second on the reference hardware for a scene of 500 books. Verification: a frame-timing benchmark over a 500-book scene reports the sustained frame rate and the 1% low frame rate.</w:t>
      </w:r>
    </w:p>
    <w:p>
      <w:pPr>
        <w:pStyle w:val="BodyText"/>
      </w:pPr>
      <w:r>
        <w:rPr>
          <w:b/>
          <w:bCs/>
        </w:rPr>
        <w:t xml:space="preserve">NFR-OGMA-007 AI metadata-only response latency.</w:t>
      </w:r>
      <w:r>
        <w:t xml:space="preserve"> </w:t>
      </w:r>
      <w:r>
        <w:t xml:space="preserve">A metadata-only AI recommendation request shall return within 10 seconds at P95, excluding time attributable to third-party provider latency outside the application's control. Verification: an instrumented gateway benchmark measures end-to-end P95 with provider latency recorded separately.</w:t>
      </w:r>
      <w:r>
        <w:t xml:space="preserve"> </w:t>
      </w:r>
      <w:r>
        <w:rPr>
          <w:rStyle w:val="VerbatimChar"/>
        </w:rPr>
        <w:t xml:space="preserve">[SMART-FAIL: the 10-second budget is not independently measurable while it excludes uncontrolled provider latency without a defined provider-latency cap; either a provider-latency assumption or an application-only processing budget must be fixed before this NFR is testable]</w:t>
      </w:r>
    </w:p>
    <w:bookmarkEnd w:id="46"/>
    <w:bookmarkStart w:id="47" w:name="X853a4d2d6205c4e1dc0c7c2f45b4b4dcf1f8415"/>
    <w:p>
      <w:pPr>
        <w:pStyle w:val="Heading2"/>
      </w:pPr>
      <w:r>
        <w:t xml:space="preserve">5.2 Reliability and Quality Attributes</w:t>
      </w:r>
    </w:p>
    <w:p>
      <w:pPr>
        <w:pStyle w:val="FirstParagraph"/>
      </w:pPr>
      <w:r>
        <w:rPr>
          <w:b/>
          <w:bCs/>
        </w:rPr>
        <w:t xml:space="preserve">NFR-OGMA-008 Annotation durability.</w:t>
      </w:r>
      <w:r>
        <w:t xml:space="preserve"> </w:t>
      </w:r>
      <w:r>
        <w:t xml:space="preserve">The application shall persist a created or edited annotation to the catalogue of record before reporting it saved, and shall recover all saved annotations after an abnormal termination. Verification: a fault-injection test terminates the process after a reported save and confirms the annotation is present on restart.</w:t>
      </w:r>
    </w:p>
    <w:p>
      <w:pPr>
        <w:pStyle w:val="BodyText"/>
      </w:pPr>
      <w:r>
        <w:rPr>
          <w:b/>
          <w:bCs/>
        </w:rPr>
        <w:t xml:space="preserve">NFR-OGMA-009 Background-job recoverability.</w:t>
      </w:r>
      <w:r>
        <w:t xml:space="preserve"> </w:t>
      </w:r>
      <w:r>
        <w:t xml:space="preserve">The application shall resume or restart an interrupted background job (thumbnail generation, indexing, OCR, embedding, enrichment) after restart without duplicating completed work. Verification: a test interrupts each job type, restarts, and confirms the job completes with no duplicate output.</w:t>
      </w:r>
    </w:p>
    <w:bookmarkEnd w:id="47"/>
    <w:bookmarkStart w:id="62" w:name="Xac0a0f51d7ec19bd379d5a3fd9af908c730f1cb"/>
    <w:p>
      <w:pPr>
        <w:pStyle w:val="Heading2"/>
      </w:pPr>
      <w:r>
        <w:t xml:space="preserve">5.3 Injected Productivity-Domain Non-Functional Defaults</w:t>
      </w:r>
    </w:p>
    <w:bookmarkStart w:id="48" w:name="Xc374a4a20821f7f503cc660046f13830a53394a"/>
    <w:p>
      <w:pPr>
        <w:pStyle w:val="Heading4"/>
      </w:pPr>
      <w:r>
        <w:t xml:space="preserve">NFR-PROD-001: Local-First Core Availability</w:t>
      </w:r>
    </w:p>
    <w:p>
      <w:pPr>
        <w:pStyle w:val="FirstParagraph"/>
      </w:pPr>
      <w:r>
        <w:t xml:space="preserve">The application SHALL perform all core operations — open the library, browse the catalogue, read a document, annotate, and execute full-text search — with no network connection present and no degradation of result correctness. Verification: an automated test suite SHALL run the full core-operation set with the network interface disabled and SHALL pass with identical results to the connected run.</w:t>
      </w:r>
    </w:p>
    <w:bookmarkEnd w:id="48"/>
    <w:bookmarkStart w:id="49" w:name="nfr-prod-002-cold-start-latency-budget"/>
    <w:p>
      <w:pPr>
        <w:pStyle w:val="Heading4"/>
      </w:pPr>
      <w:r>
        <w:t xml:space="preserve">NFR-PROD-002: Cold-Start Latency Budget</w:t>
      </w:r>
    </w:p>
    <w:p>
      <w:pPr>
        <w:pStyle w:val="FirstParagraph"/>
      </w:pPr>
      <w:r>
        <w:t xml:space="preserve">The application SHALL reach an interactive state (main window rendered, catalogue list responsive to input) within 3 seconds at P95 on the defined reference hardware, measured against a representative corpus of at least 5,000 catalogue items. Verification: an instrumented startup benchmark SHALL run against the reference corpus on the reference machine in CI and fail the build if the P95 budget is exceeded.</w:t>
      </w:r>
    </w:p>
    <w:bookmarkEnd w:id="49"/>
    <w:bookmarkStart w:id="50" w:name="Xd0d920dcbb568ab9c5d7a9a1ddd27d76424737d"/>
    <w:p>
      <w:pPr>
        <w:pStyle w:val="Heading4"/>
      </w:pPr>
      <w:r>
        <w:t xml:space="preserve">NFR-PROD-003: Catalogue-Load Latency Budget</w:t>
      </w:r>
    </w:p>
    <w:p>
      <w:pPr>
        <w:pStyle w:val="FirstParagraph"/>
      </w:pPr>
      <w:r>
        <w:t xml:space="preserve">The application SHALL render the first screen of catalogue results within 1 second at P95 and SHALL render or scroll any subsequent page within 200 ms at P95, measured against a representative corpus of at least 50,000 catalogue items. Verification: a scripted scroll-and-render benchmark over the reference corpus reports P95 timings; values are recorded against the budget at each release.</w:t>
      </w:r>
    </w:p>
    <w:bookmarkEnd w:id="50"/>
    <w:bookmarkStart w:id="51" w:name="nfr-prod-004-search-latency-budget"/>
    <w:p>
      <w:pPr>
        <w:pStyle w:val="Heading4"/>
      </w:pPr>
      <w:r>
        <w:t xml:space="preserve">NFR-PROD-004: Search Latency Budget</w:t>
      </w:r>
    </w:p>
    <w:p>
      <w:pPr>
        <w:pStyle w:val="FirstParagraph"/>
      </w:pPr>
      <w:r>
        <w:t xml:space="preserve">The application SHALL return ranked full-text search results within 500 ms at P95 for a single-term or multi-term query against an index built from a representative corpus of at least 50,000 documents. Semantic (embedding) search, where enabled, SHALL return within 1.5 seconds at P95 against the same corpus. Verification: a query-replay benchmark over a fixed query set against the reference index reports P95 latency per search mode.</w:t>
      </w:r>
    </w:p>
    <w:bookmarkEnd w:id="51"/>
    <w:bookmarkStart w:id="52" w:name="X1f5439b33be0c70705419e8921a2c25c74aaedb"/>
    <w:p>
      <w:pPr>
        <w:pStyle w:val="Heading4"/>
      </w:pPr>
      <w:r>
        <w:t xml:space="preserve">NFR-PROD-005: UI Responsiveness and Non-Blocking Background Work</w:t>
      </w:r>
    </w:p>
    <w:p>
      <w:pPr>
        <w:pStyle w:val="FirstParagraph"/>
      </w:pPr>
      <w:r>
        <w:t xml:space="preserve">The application SHALL not block the user-interface thread for longer than 100 ms during any user-initiated interaction. All long-running work — import, indexing, OCR, metadata enrichment, embedding generation, and provider calls — SHALL execute on background workers and SHALL not freeze, modal-lock, or hang the foreground while running. Verification: UI-thread frame timing is sampled during a scripted import-and-index session; any main-thread stall exceeding 100 ms is logged as a defect.</w:t>
      </w:r>
    </w:p>
    <w:bookmarkEnd w:id="52"/>
    <w:bookmarkStart w:id="53" w:name="nfr-prod-006-crash-free-session-target"/>
    <w:p>
      <w:pPr>
        <w:pStyle w:val="Heading4"/>
      </w:pPr>
      <w:r>
        <w:t xml:space="preserve">NFR-PROD-006: Crash-Free Session Target</w:t>
      </w:r>
    </w:p>
    <w:p>
      <w:pPr>
        <w:pStyle w:val="FirstParagraph"/>
      </w:pPr>
      <w:r>
        <w:t xml:space="preserve">The application SHALL achieve a crash-free session rate of at least 99.5% across opted-in telemetry over any rolling 30-day window. Any reproducible crash that causes loss of unsaved annotation or catalogue state is a release blocker regardless of the aggregate rate. Verification: opt-in crash telemetry computes the crash-free session rate; the figure is reviewed at each release and against the blocker rule.</w:t>
      </w:r>
    </w:p>
    <w:bookmarkEnd w:id="53"/>
    <w:bookmarkStart w:id="54" w:name="X3955ae845098750dd655dcb4a741862070a6927"/>
    <w:p>
      <w:pPr>
        <w:pStyle w:val="Heading4"/>
      </w:pPr>
      <w:r>
        <w:t xml:space="preserve">NFR-PROD-007: Keyboard Operability (WCAG 2.2 AA)</w:t>
      </w:r>
    </w:p>
    <w:p>
      <w:pPr>
        <w:pStyle w:val="FirstParagraph"/>
      </w:pPr>
      <w:r>
        <w:t xml:space="preserve">Every interactive control SHALL be reachable and operable using the keyboard alone, with a visible focus indicator meeting the WCAG 2.2</w:t>
      </w:r>
      <w:r>
        <w:t xml:space="preserve"> </w:t>
      </w:r>
      <w:r>
        <w:rPr>
          <w:i/>
          <w:iCs/>
        </w:rPr>
        <w:t xml:space="preserve">Focus Appearance</w:t>
      </w:r>
      <w:r>
        <w:t xml:space="preserve"> </w:t>
      </w:r>
      <w:r>
        <w:t xml:space="preserve">and</w:t>
      </w:r>
      <w:r>
        <w:t xml:space="preserve"> </w:t>
      </w:r>
      <w:r>
        <w:rPr>
          <w:i/>
          <w:iCs/>
        </w:rPr>
        <w:t xml:space="preserve">Focus Not Obscured</w:t>
      </w:r>
      <w:r>
        <w:t xml:space="preserve"> </w:t>
      </w:r>
      <w:r>
        <w:t xml:space="preserve">criteria, and SHALL present no keyboard trap. Verification: a keyboard-only walkthrough of every primary workflow plus an automated accessibility check (axe-core or equivalent) runs at each release; any blocked control fails the gate.</w:t>
      </w:r>
    </w:p>
    <w:bookmarkEnd w:id="54"/>
    <w:bookmarkStart w:id="55" w:name="X72cb600123a5d5141958bcb102e9dc4d412f842"/>
    <w:p>
      <w:pPr>
        <w:pStyle w:val="Heading4"/>
      </w:pPr>
      <w:r>
        <w:t xml:space="preserve">NFR-PROD-008: Screen-Reader Operability (WCAG 2.2 AA)</w:t>
      </w:r>
    </w:p>
    <w:p>
      <w:pPr>
        <w:pStyle w:val="FirstParagraph"/>
      </w:pPr>
      <w:r>
        <w:t xml:space="preserve">All non-decorative UI elements SHALL expose an accessible name, role, and state to the platform accessibility API (UI Automation on Windows, NSAccessibility on macOS), and dynamic state changes SHALL be announced. Text and meaningful UI SHALL meet the WCAG 2.2 AA contrast ratios (4.5:1 for normal text, 3:1 for large text and UI components). Verification: a screen-reader pass over each primary workflow plus an automated contrast audit runs at each release.</w:t>
      </w:r>
    </w:p>
    <w:bookmarkEnd w:id="55"/>
    <w:bookmarkStart w:id="56" w:name="Xbeaa9e10b99f29d24c9fa46dda369340d6cef44"/>
    <w:p>
      <w:pPr>
        <w:pStyle w:val="Heading4"/>
      </w:pPr>
      <w:r>
        <w:t xml:space="preserve">NFR-PROD-009: Data Portability and No Proprietary Lock-In</w:t>
      </w:r>
    </w:p>
    <w:p>
      <w:pPr>
        <w:pStyle w:val="FirstParagraph"/>
      </w:pPr>
      <w:r>
        <w:t xml:space="preserve">The user's source files SHALL remain in their original, openly readable formats on disk under the user's control; the application SHALL NOT rewrite source files into a proprietary container as a precondition of use. The user SHALL be able to export the full catalogue, all annotations, and all metadata to documented open formats (for example JSON and CSV, with annotations in a documented sidecar format) such that the export is sufficient to reconstruct the organisation in another tool. Verification: a round-trip test exports the catalogue and re-imports it into a clean instance, confirming no loss of metadata or annotation linkage.</w:t>
      </w:r>
    </w:p>
    <w:bookmarkEnd w:id="56"/>
    <w:bookmarkStart w:id="57" w:name="X2ac0c41fa39b3575028f125cf9e45b7a1a48d2f"/>
    <w:p>
      <w:pPr>
        <w:pStyle w:val="Heading4"/>
      </w:pPr>
      <w:r>
        <w:t xml:space="preserve">NFR-PROD-010: Reversible, Transactional Destructive Operations</w:t>
      </w:r>
    </w:p>
    <w:p>
      <w:pPr>
        <w:pStyle w:val="FirstParagraph"/>
      </w:pPr>
      <w:r>
        <w:t xml:space="preserve">Any destructive operation — delete, bulk move, bulk re-tag, metadata overwrite, or merge — SHALL execute under a backup-write-verify-restore protocol: the prior state is captured, the change is written transactionally, the write is verified, and a single-action undo or restore is available for the operation. A partial failure SHALL leave the catalogue in its pre-operation state. Verification: a fault-injection test interrupts each destructive operation mid-write and confirms the catalogue restores to the exact pre-operation state.</w:t>
      </w:r>
    </w:p>
    <w:bookmarkEnd w:id="57"/>
    <w:bookmarkStart w:id="58" w:name="X1bff8b072a5722e38444cfb76dfe53afa6dc829"/>
    <w:p>
      <w:pPr>
        <w:pStyle w:val="Heading4"/>
      </w:pPr>
      <w:r>
        <w:t xml:space="preserve">NFR-PROD-011: Privacy-Tier Transparency and Payload Preview</w:t>
      </w:r>
    </w:p>
    <w:p>
      <w:pPr>
        <w:pStyle w:val="FirstParagraph"/>
      </w:pPr>
      <w:r>
        <w:t xml:space="preserve">Before any operation transmits user content or metadata off-device, the application SHALL display the active privacy tier and a preview of the exact payload to be sent (content, field set, and destination provider) and SHALL require explicit confirmation. The default tier SHALL be the most restrictive (offline / no off-device transmission). Verification: an integration test asserts that no off-device request is issued by any AI or enrichment path without a recorded prior confirmation referencing the previewed payload.</w:t>
      </w:r>
    </w:p>
    <w:bookmarkEnd w:id="58"/>
    <w:bookmarkStart w:id="59" w:name="X574b7585247c8d514731cbb565b5f75723754d1"/>
    <w:p>
      <w:pPr>
        <w:pStyle w:val="Heading4"/>
      </w:pPr>
      <w:r>
        <w:t xml:space="preserve">NFR-PROD-012: Update Safety — Signed Builds and Reversible Migrations</w:t>
      </w:r>
    </w:p>
    <w:p>
      <w:pPr>
        <w:pStyle w:val="FirstParagraph"/>
      </w:pPr>
      <w:r>
        <w:t xml:space="preserve">Every published build SHALL be code-signed and SHALL be verified against its signature before installation; an unsigned or tamper-detected update SHALL be refused. Every catalogue-schema migration SHALL be idempotent, SHALL snapshot the catalogue before applying, and SHALL be reversible to the pre-migration snapshot if post-migration verification fails. Verification: the update pipeline rejects a deliberately corrupted artifact in test, and a migration-failure injection confirms automatic restore to the pre-migration snapshot.</w:t>
      </w:r>
    </w:p>
    <w:bookmarkEnd w:id="59"/>
    <w:bookmarkStart w:id="60" w:name="Xb321e5f8635e12e319f23fff9a4a789153b4e79"/>
    <w:p>
      <w:pPr>
        <w:pStyle w:val="Heading4"/>
      </w:pPr>
      <w:r>
        <w:t xml:space="preserve">NFR-PROD-013: Local Audit Trail for Sensitive Actions</w:t>
      </w:r>
    </w:p>
    <w:p>
      <w:pPr>
        <w:pStyle w:val="FirstParagraph"/>
      </w:pPr>
      <w:r>
        <w:t xml:space="preserve">The application SHALL append a local, tamper-evident audit record for each sensitive action: provider-credential add/change/remove, AI-mode (privacy-tier) change, off-device transmission, metadata write-back to source files, bulk destructive operation, and export. Each record SHALL carry the action, timestamp, affected scope, and active privacy tier. The audit log SHALL be viewable and exportable by the user and SHALL NOT be silently truncated. Verification: each listed action is performed in test and the corresponding audit record is asserted present with the required fields.</w:t>
      </w:r>
    </w:p>
    <w:bookmarkEnd w:id="60"/>
    <w:bookmarkStart w:id="61" w:name="Xc5a873fbe75753c30171f656d896dd3db5b5c8b"/>
    <w:p>
      <w:pPr>
        <w:pStyle w:val="Heading4"/>
      </w:pPr>
      <w:r>
        <w:t xml:space="preserve">NFR-PROD-014: AI History and Embedding Erasure</w:t>
      </w:r>
    </w:p>
    <w:p>
      <w:pPr>
        <w:pStyle w:val="FirstParagraph"/>
      </w:pPr>
      <w:r>
        <w:t xml:space="preserve">The user SHALL be able to delete AI query history and all embeddings derived from a given document or from the entire corpus, and the deletion SHALL remove both the stored vectors and any cached provider responses for that scope within the same operation. Where embeddings were generated by an off-device provider, the application SHALL surface the provider's deletion mechanism or guidance. Verification: a test generates embeddings and AI history for a document, invokes scoped erasure, and asserts no residual vectors or cached responses remain for that scope.</w:t>
      </w:r>
    </w:p>
    <w:bookmarkEnd w:id="61"/>
    <w:bookmarkEnd w:id="62"/>
    <w:bookmarkStart w:id="63" w:name="Xe34ecee5bf7c5978c226a5fc0d71792d2edc82f"/>
    <w:p>
      <w:pPr>
        <w:pStyle w:val="Heading2"/>
      </w:pPr>
      <w:r>
        <w:t xml:space="preserve">5.4 Relationship Between Product-Specific and Domain-Default Budgets</w:t>
      </w:r>
    </w:p>
    <w:p>
      <w:pPr>
        <w:pStyle w:val="FirstParagraph"/>
      </w:pPr>
      <w:r>
        <w:t xml:space="preserve">NFR-OGMA-002 fixes a catalogue-load budget against the 2,000-book corpus named in the design report; NFR-PROD-003 fixes a stricter first-screen budget against a 50,000-item corpus. NFR-OGMA-004 and NFR-PROD-004 both fix a 500 ms P95 full-text-search budget at differing corpus scales. These pairs are complementary scale points, not contradictions; the consultant determines at sign-off which corpus scale is binding for the MVP release gate.</w:t>
      </w:r>
    </w:p>
    <w:p>
      <w:pPr>
        <w:pStyle w:val="BodyText"/>
      </w:pPr>
      <w:r>
        <w:t xml:space="preserve">\newpage</w:t>
      </w:r>
    </w:p>
    <w:bookmarkEnd w:id="63"/>
    <w:bookmarkEnd w:id="64"/>
    <w:bookmarkStart w:id="71" w:name="Xe0e43faff11cb75efaece478f574a63a5c148be"/>
    <w:p>
      <w:pPr>
        <w:pStyle w:val="Heading1"/>
      </w:pPr>
      <w:r>
        <w:t xml:space="preserve">6. Data Requirements</w:t>
      </w:r>
    </w:p>
    <w:bookmarkStart w:id="65" w:name="X42b9e6cbfbed758f3b23910a962ec4a5bc873aa"/>
    <w:p>
      <w:pPr>
        <w:pStyle w:val="Heading2"/>
      </w:pPr>
      <w:r>
        <w:t xml:space="preserve">6.1 Catalogue of Record</w:t>
      </w:r>
    </w:p>
    <w:p>
      <w:pPr>
        <w:pStyle w:val="FirstParagraph"/>
      </w:pPr>
      <w:r>
        <w:t xml:space="preserve">The catalogue of record is the SQLite database that is the authoritative source of truth for book identity, metadata, virtual shelves, reading progress, and annotations. It is accessed through Entity Framework Core (EF Core). The database augments the user's folder of files; it does not replace it. Generated artifacts are held in the sidecar asset folder on disk, referenced from the database by relative path.</w:t>
      </w:r>
    </w:p>
    <w:bookmarkEnd w:id="65"/>
    <w:bookmarkStart w:id="66" w:name="X27fa78bedf451877dc9eea15e71b79f8e82c9b7"/>
    <w:p>
      <w:pPr>
        <w:pStyle w:val="Heading2"/>
      </w:pPr>
      <w:r>
        <w:t xml:space="preserve">6.2 Logical Entities</w:t>
      </w:r>
    </w:p>
    <w:p>
      <w:pPr>
        <w:pStyle w:val="FirstParagraph"/>
      </w:pPr>
      <w:r>
        <w:t xml:space="preserve">The following entities define the catalogue data model. Each row names the entity and its purpose; key relationships are described in the prose that follows the table to avoid nested structure inside table cells.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Entity</w:t>
            </w:r>
          </w:p>
        </w:tc>
        <w:tc>
          <w:tcPr/>
          <w:p>
            <w:pPr>
              <w:pStyle w:val="Compact"/>
            </w:pPr>
            <w:r>
              <w:t xml:space="preserve">Purpose</w:t>
            </w:r>
          </w:p>
        </w:tc>
      </w:tr>
      <w:tr>
        <w:tc>
          <w:tcPr/>
          <w:p>
            <w:pPr>
              <w:pStyle w:val="Compact"/>
            </w:pPr>
            <w:r>
              <w:t xml:space="preserve">Books</w:t>
            </w:r>
          </w:p>
        </w:tc>
        <w:tc>
          <w:tcPr/>
          <w:p>
            <w:pPr>
              <w:pStyle w:val="Compact"/>
            </w:pPr>
            <w:r>
              <w:t xml:space="preserve">The catalogue record for an intellectual item the user reads.</w:t>
            </w:r>
          </w:p>
        </w:tc>
      </w:tr>
      <w:tr>
        <w:tc>
          <w:tcPr/>
          <w:p>
            <w:pPr>
              <w:pStyle w:val="Compact"/>
            </w:pPr>
            <w:r>
              <w:t xml:space="preserve">BookFiles</w:t>
            </w:r>
          </w:p>
        </w:tc>
        <w:tc>
          <w:tcPr/>
          <w:p>
            <w:pPr>
              <w:pStyle w:val="Compact"/>
            </w:pPr>
            <w:r>
              <w:t xml:space="preserve">A specific PDF file on disk bound to a Book, carrying identity attributes.</w:t>
            </w:r>
          </w:p>
        </w:tc>
      </w:tr>
      <w:tr>
        <w:tc>
          <w:tcPr/>
          <w:p>
            <w:pPr>
              <w:pStyle w:val="Compact"/>
            </w:pPr>
            <w:r>
              <w:t xml:space="preserve">BookMetadataFields</w:t>
            </w:r>
          </w:p>
        </w:tc>
        <w:tc>
          <w:tcPr/>
          <w:p>
            <w:pPr>
              <w:pStyle w:val="Compact"/>
            </w:pPr>
            <w:r>
              <w:t xml:space="preserve">Field-level metadata values for a Book, each carrying its provenance.</w:t>
            </w:r>
          </w:p>
        </w:tc>
      </w:tr>
      <w:tr>
        <w:tc>
          <w:tcPr/>
          <w:p>
            <w:pPr>
              <w:pStyle w:val="Compact"/>
            </w:pPr>
            <w:r>
              <w:t xml:space="preserve">Authors</w:t>
            </w:r>
          </w:p>
        </w:tc>
        <w:tc>
          <w:tcPr/>
          <w:p>
            <w:pPr>
              <w:pStyle w:val="Compact"/>
            </w:pPr>
            <w:r>
              <w:t xml:space="preserve">A distinct author entity.</w:t>
            </w:r>
          </w:p>
        </w:tc>
      </w:tr>
      <w:tr>
        <w:tc>
          <w:tcPr/>
          <w:p>
            <w:pPr>
              <w:pStyle w:val="Compact"/>
            </w:pPr>
            <w:r>
              <w:t xml:space="preserve">BookAuthors</w:t>
            </w:r>
          </w:p>
        </w:tc>
        <w:tc>
          <w:tcPr/>
          <w:p>
            <w:pPr>
              <w:pStyle w:val="Compact"/>
            </w:pPr>
            <w:r>
              <w:t xml:space="preserve">The many-to-many association between Books and Authors.</w:t>
            </w:r>
          </w:p>
        </w:tc>
      </w:tr>
      <w:tr>
        <w:tc>
          <w:tcPr/>
          <w:p>
            <w:pPr>
              <w:pStyle w:val="Compact"/>
            </w:pPr>
            <w:r>
              <w:t xml:space="preserve">Shelves</w:t>
            </w:r>
          </w:p>
        </w:tc>
        <w:tc>
          <w:tcPr/>
          <w:p>
            <w:pPr>
              <w:pStyle w:val="Compact"/>
            </w:pPr>
            <w:r>
              <w:t xml:space="preserve">A virtual shelf or smart shelf definition.</w:t>
            </w:r>
          </w:p>
        </w:tc>
      </w:tr>
      <w:tr>
        <w:tc>
          <w:tcPr/>
          <w:p>
            <w:pPr>
              <w:pStyle w:val="Compact"/>
            </w:pPr>
            <w:r>
              <w:t xml:space="preserve">ShelfBooks</w:t>
            </w:r>
          </w:p>
        </w:tc>
        <w:tc>
          <w:tcPr/>
          <w:p>
            <w:pPr>
              <w:pStyle w:val="Compact"/>
            </w:pPr>
            <w:r>
              <w:t xml:space="preserve">The many-to-many association between Shelves and Books.</w:t>
            </w:r>
          </w:p>
        </w:tc>
      </w:tr>
      <w:tr>
        <w:tc>
          <w:tcPr/>
          <w:p>
            <w:pPr>
              <w:pStyle w:val="Compact"/>
            </w:pPr>
            <w:r>
              <w:t xml:space="preserve">ReadingProgress</w:t>
            </w:r>
          </w:p>
        </w:tc>
        <w:tc>
          <w:tcPr/>
          <w:p>
            <w:pPr>
              <w:pStyle w:val="Compact"/>
            </w:pPr>
            <w:r>
              <w:t xml:space="preserve">The last reading position and reading status per Book.</w:t>
            </w:r>
          </w:p>
        </w:tc>
      </w:tr>
      <w:tr>
        <w:tc>
          <w:tcPr/>
          <w:p>
            <w:pPr>
              <w:pStyle w:val="Compact"/>
            </w:pPr>
            <w:r>
              <w:t xml:space="preserve">Bookmarks</w:t>
            </w:r>
          </w:p>
        </w:tc>
        <w:tc>
          <w:tcPr/>
          <w:p>
            <w:pPr>
              <w:pStyle w:val="Compact"/>
            </w:pPr>
            <w:r>
              <w:t xml:space="preserve">A labelled bookmark anchored to a page within a BookFile.</w:t>
            </w:r>
          </w:p>
        </w:tc>
      </w:tr>
      <w:tr>
        <w:tc>
          <w:tcPr/>
          <w:p>
            <w:pPr>
              <w:pStyle w:val="Compact"/>
            </w:pPr>
            <w:r>
              <w:t xml:space="preserve">Annotations</w:t>
            </w:r>
          </w:p>
        </w:tc>
        <w:tc>
          <w:tcPr/>
          <w:p>
            <w:pPr>
              <w:pStyle w:val="Compact"/>
            </w:pPr>
            <w:r>
              <w:t xml:space="preserve">A highlight or note anchored to a region within a BookFile.</w:t>
            </w:r>
          </w:p>
        </w:tc>
      </w:tr>
      <w:tr>
        <w:tc>
          <w:tcPr/>
          <w:p>
            <w:pPr>
              <w:pStyle w:val="Compact"/>
            </w:pPr>
            <w:r>
              <w:t xml:space="preserve">AnnotationBodies</w:t>
            </w:r>
          </w:p>
        </w:tc>
        <w:tc>
          <w:tcPr/>
          <w:p>
            <w:pPr>
              <w:pStyle w:val="Compact"/>
            </w:pPr>
            <w:r>
              <w:t xml:space="preserve">The textual or structured content attached to an Annotation.</w:t>
            </w:r>
          </w:p>
        </w:tc>
      </w:tr>
      <w:tr>
        <w:tc>
          <w:tcPr/>
          <w:p>
            <w:pPr>
              <w:pStyle w:val="Compact"/>
            </w:pPr>
            <w:r>
              <w:t xml:space="preserve">ExtractedPages</w:t>
            </w:r>
          </w:p>
        </w:tc>
        <w:tc>
          <w:tcPr/>
          <w:p>
            <w:pPr>
              <w:pStyle w:val="Compact"/>
            </w:pPr>
            <w:r>
              <w:t xml:space="preserve">Per-page extracted text used for full-text search.</w:t>
            </w:r>
          </w:p>
        </w:tc>
      </w:tr>
      <w:tr>
        <w:tc>
          <w:tcPr/>
          <w:p>
            <w:pPr>
              <w:pStyle w:val="Compact"/>
            </w:pPr>
            <w:r>
              <w:t xml:space="preserve">SearchChunks</w:t>
            </w:r>
          </w:p>
        </w:tc>
        <w:tc>
          <w:tcPr/>
          <w:p>
            <w:pPr>
              <w:pStyle w:val="Compact"/>
            </w:pPr>
            <w:r>
              <w:t xml:space="preserve">Text chunks derived from ExtractedPages for indexing and embedding.</w:t>
            </w:r>
          </w:p>
        </w:tc>
      </w:tr>
      <w:tr>
        <w:tc>
          <w:tcPr/>
          <w:p>
            <w:pPr>
              <w:pStyle w:val="Compact"/>
            </w:pPr>
            <w:r>
              <w:t xml:space="preserve">EmbeddingVectors</w:t>
            </w:r>
          </w:p>
        </w:tc>
        <w:tc>
          <w:tcPr/>
          <w:p>
            <w:pPr>
              <w:pStyle w:val="Compact"/>
            </w:pPr>
            <w:r>
              <w:t xml:space="preserve">The numeric</w:t>
            </w:r>
            <w:r>
              <w:t xml:space="preserve"> </w:t>
            </w:r>
            <w:r>
              <w:rPr>
                <w:i/>
                <w:iCs/>
              </w:rPr>
              <w:t xml:space="preserve">embedding</w:t>
            </w:r>
            <w:r>
              <w:t xml:space="preserve"> </w:t>
            </w:r>
            <w:r>
              <w:t xml:space="preserve">vector for a SearchChunk.</w:t>
            </w:r>
          </w:p>
        </w:tc>
      </w:tr>
      <w:tr>
        <w:tc>
          <w:tcPr/>
          <w:p>
            <w:pPr>
              <w:pStyle w:val="Compact"/>
            </w:pPr>
            <w:r>
              <w:t xml:space="preserve">AiQueryHistory</w:t>
            </w:r>
          </w:p>
        </w:tc>
        <w:tc>
          <w:tcPr/>
          <w:p>
            <w:pPr>
              <w:pStyle w:val="Compact"/>
            </w:pPr>
            <w:r>
              <w:t xml:space="preserve">The locally stored record of AI queries and responses.</w:t>
            </w:r>
          </w:p>
        </w:tc>
      </w:tr>
      <w:tr>
        <w:tc>
          <w:tcPr/>
          <w:p>
            <w:pPr>
              <w:pStyle w:val="Compact"/>
            </w:pPr>
            <w:r>
              <w:t xml:space="preserve">MetadataLookups</w:t>
            </w:r>
          </w:p>
        </w:tc>
        <w:tc>
          <w:tcPr/>
          <w:p>
            <w:pPr>
              <w:pStyle w:val="Compact"/>
            </w:pPr>
            <w:r>
              <w:t xml:space="preserve">A provider lookup result with source, timestamp, and confidence.</w:t>
            </w:r>
          </w:p>
        </w:tc>
      </w:tr>
      <w:tr>
        <w:tc>
          <w:tcPr/>
          <w:p>
            <w:pPr>
              <w:pStyle w:val="Compact"/>
            </w:pPr>
            <w:r>
              <w:t xml:space="preserve">Jobs</w:t>
            </w:r>
          </w:p>
        </w:tc>
        <w:tc>
          <w:tcPr/>
          <w:p>
            <w:pPr>
              <w:pStyle w:val="Compact"/>
            </w:pPr>
            <w:r>
              <w:t xml:space="preserve">A background job record (thumbnail, index, OCR, embedding, enrichment).</w:t>
            </w:r>
          </w:p>
        </w:tc>
      </w:tr>
      <w:tr>
        <w:tc>
          <w:tcPr/>
          <w:p>
            <w:pPr>
              <w:pStyle w:val="Compact"/>
            </w:pPr>
            <w:r>
              <w:t xml:space="preserve">AuditEvents</w:t>
            </w:r>
          </w:p>
        </w:tc>
        <w:tc>
          <w:tcPr/>
          <w:p>
            <w:pPr>
              <w:pStyle w:val="Compact"/>
            </w:pPr>
            <w:r>
              <w:t xml:space="preserve">The local audit trail entries for sensitive actions.</w:t>
            </w:r>
          </w:p>
        </w:tc>
      </w:tr>
    </w:tbl>
    <w:p>
      <w:pPr>
        <w:pStyle w:val="BodyText"/>
      </w:pPr>
      <w:r>
        <w:t xml:space="preserve">Key relationships are as follows. A Book has one or more BookFiles; the optional Work / Edition layer (Section 6.4) groups Books under a common intellectual work. A Book has many BookMetadataFields, each linked to zero or more MetadataLookups that supplied a candidate value, recording the</w:t>
      </w:r>
      <w:r>
        <w:t xml:space="preserve"> </w:t>
      </w:r>
      <w:r>
        <w:rPr>
          <w:i/>
          <w:iCs/>
        </w:rPr>
        <w:t xml:space="preserve">provenance</w:t>
      </w:r>
      <w:r>
        <w:t xml:space="preserve"> </w:t>
      </w:r>
      <w:r>
        <w:t xml:space="preserve">of the field. A Book associates to many Authors through BookAuthors and to many Shelves through ShelfBooks. A BookFile owns its Bookmarks, Annotations, ReadingProgress, and ExtractedPages. Each ExtractedPage yields SearchChunks, and each SearchChunk may have one EmbeddingVector. AiQueryHistory, Jobs, and AuditEvents are append-oriented logs scoped to the catalogue.</w:t>
      </w:r>
    </w:p>
    <w:bookmarkEnd w:id="66"/>
    <w:bookmarkStart w:id="67" w:name="X071b7369898114c633e5a80e091ec46f98df0fc"/>
    <w:p>
      <w:pPr>
        <w:pStyle w:val="Heading2"/>
      </w:pPr>
      <w:r>
        <w:t xml:space="preserve">6.3 Book Identity Strategy</w:t>
      </w:r>
    </w:p>
    <w:p>
      <w:pPr>
        <w:pStyle w:val="FirstParagraph"/>
      </w:pPr>
      <w:r>
        <w:t xml:space="preserve">Stable identity is required so that renamed or moved files re-match their existing records (FR-LIB-003) and removed files are flagged without data loss (FR-LIB-004). Identity is composed from the following attributes in priority order.</w:t>
      </w:r>
    </w:p>
    <w:p>
      <w:pPr>
        <w:pStyle w:val="Compact"/>
        <w:numPr>
          <w:ilvl w:val="0"/>
          <w:numId w:val="1059"/>
        </w:numPr>
      </w:pPr>
      <w:r>
        <w:rPr>
          <w:b/>
          <w:bCs/>
        </w:rPr>
        <w:t xml:space="preserve">ID-1 Relative path.</w:t>
      </w:r>
      <w:r>
        <w:t xml:space="preserve"> </w:t>
      </w:r>
      <w:r>
        <w:t xml:space="preserve">The file path relative to the library root, used as the primary locator within the root.</w:t>
      </w:r>
    </w:p>
    <w:p>
      <w:pPr>
        <w:pStyle w:val="Compact"/>
        <w:numPr>
          <w:ilvl w:val="0"/>
          <w:numId w:val="1059"/>
        </w:numPr>
      </w:pPr>
      <w:r>
        <w:rPr>
          <w:b/>
          <w:bCs/>
        </w:rPr>
        <w:t xml:space="preserve">ID-2 Content hash.</w:t>
      </w:r>
      <w:r>
        <w:t xml:space="preserve"> </w:t>
      </w:r>
      <w:r>
        <w:t xml:space="preserve">A SHA-256 hash of the file content, used as the strong content identity; an unchanged hash re-matches a moved or renamed file.</w:t>
      </w:r>
    </w:p>
    <w:p>
      <w:pPr>
        <w:pStyle w:val="Compact"/>
        <w:numPr>
          <w:ilvl w:val="0"/>
          <w:numId w:val="1059"/>
        </w:numPr>
      </w:pPr>
      <w:r>
        <w:rPr>
          <w:b/>
          <w:bCs/>
        </w:rPr>
        <w:t xml:space="preserve">ID-3 Size and modification time.</w:t>
      </w:r>
      <w:r>
        <w:t xml:space="preserve"> </w:t>
      </w:r>
      <w:r>
        <w:t xml:space="preserve">The file size in bytes and last-modified timestamp, used by the incremental rescan (FR-LIB-006) to avoid re-hashing unchanged files.</w:t>
      </w:r>
    </w:p>
    <w:p>
      <w:pPr>
        <w:pStyle w:val="Compact"/>
        <w:numPr>
          <w:ilvl w:val="0"/>
          <w:numId w:val="1059"/>
        </w:numPr>
      </w:pPr>
      <w:r>
        <w:rPr>
          <w:b/>
          <w:bCs/>
        </w:rPr>
        <w:t xml:space="preserve">ID-4 PDF fingerprint (optional).</w:t>
      </w:r>
      <w:r>
        <w:t xml:space="preserve"> </w:t>
      </w:r>
      <w:r>
        <w:t xml:space="preserve">A structural fingerprint derived from the PDF document, used as a secondary content signal where available.</w:t>
      </w:r>
    </w:p>
    <w:p>
      <w:pPr>
        <w:pStyle w:val="Compact"/>
        <w:numPr>
          <w:ilvl w:val="0"/>
          <w:numId w:val="1059"/>
        </w:numPr>
      </w:pPr>
      <w:r>
        <w:rPr>
          <w:b/>
          <w:bCs/>
        </w:rPr>
        <w:t xml:space="preserve">ID-5 Bibliographic identifier.</w:t>
      </w:r>
      <w:r>
        <w:t xml:space="preserve"> </w:t>
      </w:r>
      <w:r>
        <w:t xml:space="preserve">The ISBN or DOI where present, used to associate files representing the same edition or work.</w:t>
      </w:r>
    </w:p>
    <w:p>
      <w:pPr>
        <w:pStyle w:val="FirstParagraph"/>
      </w:pPr>
      <w:r>
        <w:t xml:space="preserve">The hash plus size and modification time together support the incremental rescan: a file whose size and modification time are unchanged is presumed content-identical and is not re-hashed; a changed size or modification time triggers a re-hash and re-identity.</w:t>
      </w:r>
    </w:p>
    <w:bookmarkEnd w:id="67"/>
    <w:bookmarkStart w:id="68" w:name="X5f046c53c671e0e682dda2331a5f0d9ee66d4e3"/>
    <w:p>
      <w:pPr>
        <w:pStyle w:val="Heading2"/>
      </w:pPr>
      <w:r>
        <w:t xml:space="preserve">6.4 Optional Work / Edition Layer</w:t>
      </w:r>
    </w:p>
    <w:p>
      <w:pPr>
        <w:pStyle w:val="FirstParagraph"/>
      </w:pPr>
      <w:r>
        <w:t xml:space="preserve">The</w:t>
      </w:r>
      <w:r>
        <w:t xml:space="preserve"> </w:t>
      </w:r>
      <w:r>
        <w:rPr>
          <w:i/>
          <w:iCs/>
        </w:rPr>
        <w:t xml:space="preserve">Work / Edition model</w:t>
      </w:r>
      <w:r>
        <w:t xml:space="preserve"> </w:t>
      </w:r>
      <w:r>
        <w:t xml:space="preserve">is an optional layer that distinguishes an intellectual</w:t>
      </w:r>
      <w:r>
        <w:t xml:space="preserve"> </w:t>
      </w:r>
      <w:r>
        <w:rPr>
          <w:i/>
          <w:iCs/>
        </w:rPr>
        <w:t xml:space="preserve">work</w:t>
      </w:r>
      <w:r>
        <w:t xml:space="preserve"> </w:t>
      </w:r>
      <w:r>
        <w:t xml:space="preserve">from a specific</w:t>
      </w:r>
      <w:r>
        <w:t xml:space="preserve"> </w:t>
      </w:r>
      <w:r>
        <w:rPr>
          <w:i/>
          <w:iCs/>
        </w:rPr>
        <w:t xml:space="preserve">edition</w:t>
      </w:r>
      <w:r>
        <w:t xml:space="preserve"> </w:t>
      </w:r>
      <w:r>
        <w:t xml:space="preserve">and from a specific PDF</w:t>
      </w:r>
      <w:r>
        <w:t xml:space="preserve"> </w:t>
      </w:r>
      <w:r>
        <w:rPr>
          <w:i/>
          <w:iCs/>
        </w:rPr>
        <w:t xml:space="preserve">file</w:t>
      </w:r>
      <w:r>
        <w:t xml:space="preserve">. It groups duplicate files and multiple editions under a common work for duplicate detection and version management. The layer is optional: a Book is fully usable without a Work or Edition association, and the MVP does not require the layer to be populated.</w:t>
      </w:r>
      <w:r>
        <w:t xml:space="preserve"> </w:t>
      </w:r>
      <w:r>
        <w:rPr>
          <w:rStyle w:val="VerbatimChar"/>
        </w:rPr>
        <w:t xml:space="preserve">[CONTEXT-GAP: the cardinality rules and the merge/split behaviour of the Work/Edition layer are named in features.md as a world-class addition but are not specified in detail in _context]</w:t>
      </w:r>
    </w:p>
    <w:bookmarkEnd w:id="68"/>
    <w:bookmarkStart w:id="69" w:name="Xc9e294b3a60458a4202ce31c7084ab2d5ad5dc6"/>
    <w:p>
      <w:pPr>
        <w:pStyle w:val="Heading2"/>
      </w:pPr>
      <w:r>
        <w:t xml:space="preserve">6.5 Sidecar Asset Folder Layout</w:t>
      </w:r>
    </w:p>
    <w:p>
      <w:pPr>
        <w:pStyle w:val="FirstParagraph"/>
      </w:pPr>
      <w:r>
        <w:t xml:space="preserve">The sidecar asset folder holds generated files outside the database, referenced by relative path. The folder is organised by asset class so that a single book's generated assets are locatable and a class can be regenerated or cleared independently.</w:t>
      </w:r>
    </w:p>
    <w:p>
      <w:pPr>
        <w:pStyle w:val="Compact"/>
        <w:numPr>
          <w:ilvl w:val="0"/>
          <w:numId w:val="1060"/>
        </w:numPr>
      </w:pPr>
      <w:r>
        <w:rPr>
          <w:rStyle w:val="VerbatimChar"/>
        </w:rPr>
        <w:t xml:space="preserve">covers/</w:t>
      </w:r>
      <w:r>
        <w:t xml:space="preserve"> </w:t>
      </w:r>
      <w:r>
        <w:t xml:space="preserve">— full-resolution cover images.</w:t>
      </w:r>
    </w:p>
    <w:p>
      <w:pPr>
        <w:pStyle w:val="Compact"/>
        <w:numPr>
          <w:ilvl w:val="0"/>
          <w:numId w:val="1060"/>
        </w:numPr>
      </w:pPr>
      <w:r>
        <w:rPr>
          <w:rStyle w:val="VerbatimChar"/>
        </w:rPr>
        <w:t xml:space="preserve">thumbnails/</w:t>
      </w:r>
      <w:r>
        <w:t xml:space="preserve"> </w:t>
      </w:r>
      <w:r>
        <w:t xml:space="preserve">— reduced-resolution catalogue thumbnails.</w:t>
      </w:r>
    </w:p>
    <w:p>
      <w:pPr>
        <w:pStyle w:val="Compact"/>
        <w:numPr>
          <w:ilvl w:val="0"/>
          <w:numId w:val="1060"/>
        </w:numPr>
      </w:pPr>
      <w:r>
        <w:rPr>
          <w:rStyle w:val="VerbatimChar"/>
        </w:rPr>
        <w:t xml:space="preserve">spines/</w:t>
      </w:r>
      <w:r>
        <w:t xml:space="preserve"> </w:t>
      </w:r>
      <w:r>
        <w:t xml:space="preserve">— generated spine textures for the 3D shelf.</w:t>
      </w:r>
    </w:p>
    <w:p>
      <w:pPr>
        <w:pStyle w:val="Compact"/>
        <w:numPr>
          <w:ilvl w:val="0"/>
          <w:numId w:val="1060"/>
        </w:numPr>
      </w:pPr>
      <w:r>
        <w:rPr>
          <w:rStyle w:val="VerbatimChar"/>
        </w:rPr>
        <w:t xml:space="preserve">ocr/</w:t>
      </w:r>
      <w:r>
        <w:t xml:space="preserve"> </w:t>
      </w:r>
      <w:r>
        <w:t xml:space="preserve">— OCR-derived text, marked OCR-derived.</w:t>
      </w:r>
    </w:p>
    <w:p>
      <w:pPr>
        <w:pStyle w:val="Compact"/>
        <w:numPr>
          <w:ilvl w:val="0"/>
          <w:numId w:val="1060"/>
        </w:numPr>
      </w:pPr>
      <w:r>
        <w:rPr>
          <w:rStyle w:val="VerbatimChar"/>
        </w:rPr>
        <w:t xml:space="preserve">extracted/</w:t>
      </w:r>
      <w:r>
        <w:t xml:space="preserve"> </w:t>
      </w:r>
      <w:r>
        <w:t xml:space="preserve">— extracted text-layer content per page.</w:t>
      </w:r>
    </w:p>
    <w:p>
      <w:pPr>
        <w:pStyle w:val="Compact"/>
        <w:numPr>
          <w:ilvl w:val="0"/>
          <w:numId w:val="1060"/>
        </w:numPr>
      </w:pPr>
      <w:r>
        <w:rPr>
          <w:rStyle w:val="VerbatimChar"/>
        </w:rPr>
        <w:t xml:space="preserve">embeddings/</w:t>
      </w:r>
      <w:r>
        <w:t xml:space="preserve"> </w:t>
      </w:r>
      <w:r>
        <w:t xml:space="preserve">— serialised embedding vectors where stored outside the database.</w:t>
      </w:r>
    </w:p>
    <w:p>
      <w:pPr>
        <w:pStyle w:val="Compact"/>
        <w:numPr>
          <w:ilvl w:val="0"/>
          <w:numId w:val="1060"/>
        </w:numPr>
      </w:pPr>
      <w:r>
        <w:rPr>
          <w:rStyle w:val="VerbatimChar"/>
        </w:rPr>
        <w:t xml:space="preserve">backups/</w:t>
      </w:r>
      <w:r>
        <w:t xml:space="preserve"> </w:t>
      </w:r>
      <w:r>
        <w:t xml:space="preserve">— pre-write-back backups of source files and pre-migration catalogue snapshots.</w:t>
      </w:r>
    </w:p>
    <w:p>
      <w:pPr>
        <w:pStyle w:val="FirstParagraph"/>
      </w:pPr>
      <w:r>
        <w:rPr>
          <w:rStyle w:val="VerbatimChar"/>
        </w:rPr>
        <w:t xml:space="preserve">[CONTEXT-GAP: the exact on-disk naming convention within each sidecar class — whether keyed by content hash, by record identifier, or by relative path — is not fixed in _context and is required before the data design is baselined]</w:t>
      </w:r>
    </w:p>
    <w:bookmarkEnd w:id="69"/>
    <w:bookmarkStart w:id="70" w:name="Xd79296c684e0ca148efc928799234fefb306d11"/>
    <w:p>
      <w:pPr>
        <w:pStyle w:val="Heading2"/>
      </w:pPr>
      <w:r>
        <w:t xml:space="preserve">6.6 Data Retention and Erasure</w:t>
      </w:r>
    </w:p>
    <w:p>
      <w:pPr>
        <w:pStyle w:val="FirstParagraph"/>
      </w:pPr>
      <w:r>
        <w:t xml:space="preserve">AiQueryHistory and EmbeddingVectors are subject to scoped erasure per NFR-PROD-014: the user may delete AI history and embeddings for a single document or for the entire corpus, removing both stored vectors and any cached provider responses in the same operation. AuditEvents are append-only and shall not be silently truncated (NFR-PROD-013). The full catalogue, annotations, and metadata are exportable to documented open formats per NFR-PROD-009.</w:t>
      </w:r>
    </w:p>
    <w:p>
      <w:pPr>
        <w:pStyle w:val="BodyText"/>
      </w:pPr>
      <w:r>
        <w:t xml:space="preserve">\newpage</w:t>
      </w:r>
    </w:p>
    <w:bookmarkEnd w:id="70"/>
    <w:bookmarkEnd w:id="71"/>
    <w:bookmarkStart w:id="79" w:name="X1680e54986c6b039f1b9b81cb1738d77a293203"/>
    <w:p>
      <w:pPr>
        <w:pStyle w:val="Heading1"/>
      </w:pPr>
      <w:r>
        <w:t xml:space="preserve">7. Security and Privacy Requirements</w:t>
      </w:r>
    </w:p>
    <w:p>
      <w:pPr>
        <w:pStyle w:val="FirstParagraph"/>
      </w:pPr>
      <w:r>
        <w:t xml:space="preserve">The threat model for Ogma Library is that of a local-first desktop application: there is no tenant-isolation boundary and no server-side attacker surface, because the corpus lives on the user's machine. The dominant risks are leakage of provider secrets, malicious or malformed imported documents, path traversal against the configured library root, supply-chain tampering of the installed binary, and silent off-device exfiltration of user content. The controls below, prefixed CTRL-OGMA, address those risks and are traceable to the productivity security baseline.</w:t>
      </w:r>
    </w:p>
    <w:bookmarkStart w:id="72" w:name="Xc88e805c12abd293521c5ce30287994cd2efad9"/>
    <w:p>
      <w:pPr>
        <w:pStyle w:val="Heading2"/>
      </w:pPr>
      <w:r>
        <w:t xml:space="preserve">7.1 Secrets and Credential Storage</w:t>
      </w:r>
    </w:p>
    <w:p>
      <w:pPr>
        <w:pStyle w:val="FirstParagraph"/>
      </w:pPr>
      <w:r>
        <w:rPr>
          <w:b/>
          <w:bCs/>
        </w:rPr>
        <w:t xml:space="preserve">CTRL-OGMA-001.</w:t>
      </w:r>
      <w:r>
        <w:t xml:space="preserve"> </w:t>
      </w:r>
      <w:r>
        <w:t xml:space="preserve">The system shall store all provider Application Programming Interface (API) keys, tokens, and credentials in OS-native credential storage (Windows Credential Manager / Data Protection API, macOS Keychain, Linux Secret Service / kwallet) and shall never write a secret to a plaintext settings file, the catalogue database, a log file, or a crash report. Verification: a storage audit confirms no secret value appears in any settings file, the database, logs, or crash artifacts after configuring a provider.</w:t>
      </w:r>
    </w:p>
    <w:p>
      <w:pPr>
        <w:pStyle w:val="BodyText"/>
      </w:pPr>
      <w:r>
        <w:rPr>
          <w:b/>
          <w:bCs/>
        </w:rPr>
        <w:t xml:space="preserve">CTRL-OGMA-002.</w:t>
      </w:r>
      <w:r>
        <w:t xml:space="preserve"> </w:t>
      </w:r>
      <w:r>
        <w:t xml:space="preserve">The system shall redact secrets from all logs, error reports, telemetry, and the audit trail, identifying a provider call by a correlation identifier rather than by the key. Verification: a log scan after a provider call finds the correlation identifier and no secret material.</w:t>
      </w:r>
    </w:p>
    <w:p>
      <w:pPr>
        <w:pStyle w:val="BodyText"/>
      </w:pPr>
      <w:r>
        <w:rPr>
          <w:b/>
          <w:bCs/>
        </w:rPr>
        <w:t xml:space="preserve">CTRL-OGMA-003.</w:t>
      </w:r>
      <w:r>
        <w:t xml:space="preserve"> </w:t>
      </w:r>
      <w:r>
        <w:t xml:space="preserve">The system shall delete a provider's secret from OS credential storage in the same action that removes the provider and shall record a credential-removal entry in the local audit trail. Verification: removing a provider leaves no retrievable secret and produces a matching audit entry.</w:t>
      </w:r>
    </w:p>
    <w:bookmarkEnd w:id="72"/>
    <w:bookmarkStart w:id="73" w:name="Xdd541d706262c08722aea153cfa15309512f313"/>
    <w:p>
      <w:pPr>
        <w:pStyle w:val="Heading2"/>
      </w:pPr>
      <w:r>
        <w:t xml:space="preserve">7.2 Untrusted Document Handling</w:t>
      </w:r>
    </w:p>
    <w:p>
      <w:pPr>
        <w:pStyle w:val="FirstParagraph"/>
      </w:pPr>
      <w:r>
        <w:rPr>
          <w:b/>
          <w:bCs/>
        </w:rPr>
        <w:t xml:space="preserve">CTRL-OGMA-004.</w:t>
      </w:r>
      <w:r>
        <w:t xml:space="preserve"> </w:t>
      </w:r>
      <w:r>
        <w:t xml:space="preserve">The system shall treat all imported document content as untrusted input regardless of source. Verification: the import path applies the untrusted-input controls below to every imported file in test.</w:t>
      </w:r>
    </w:p>
    <w:p>
      <w:pPr>
        <w:pStyle w:val="BodyText"/>
      </w:pPr>
      <w:r>
        <w:rPr>
          <w:b/>
          <w:bCs/>
        </w:rPr>
        <w:t xml:space="preserve">CTRL-OGMA-005.</w:t>
      </w:r>
      <w:r>
        <w:t xml:space="preserve"> </w:t>
      </w:r>
      <w:r>
        <w:t xml:space="preserve">The system shall execute document rendering and OCR within a worker boundary isolated from the catalogue and the credential store, so that a parser exploit cannot reach secrets or the catalogue of record. Verification: a fault-injection test confirms the render and OCR workers have no handle to the credential store or the catalogue connection.</w:t>
      </w:r>
    </w:p>
    <w:p>
      <w:pPr>
        <w:pStyle w:val="BodyText"/>
      </w:pPr>
      <w:r>
        <w:rPr>
          <w:b/>
          <w:bCs/>
        </w:rPr>
        <w:t xml:space="preserve">CTRL-OGMA-006.</w:t>
      </w:r>
      <w:r>
        <w:t xml:space="preserve"> </w:t>
      </w:r>
      <w:r>
        <w:t xml:space="preserve">The system shall disable embedded JavaScript and auto-executing actions in documents by default and shall block external resource fetches initiated by document content unless the user explicitly enables them. Verification: a fixture with embedded JavaScript and an external fetch is opened; neither executes and the audit records no off-device fetch.</w:t>
      </w:r>
    </w:p>
    <w:p>
      <w:pPr>
        <w:pStyle w:val="BodyText"/>
      </w:pPr>
      <w:r>
        <w:rPr>
          <w:b/>
          <w:bCs/>
        </w:rPr>
        <w:t xml:space="preserve">CTRL-OGMA-007.</w:t>
      </w:r>
      <w:r>
        <w:t xml:space="preserve"> </w:t>
      </w:r>
      <w:r>
        <w:t xml:space="preserve">The system shall enforce time and memory bounds on render and OCR workers so that a malformed document degrades to a per-item failure rather than hanging or crashing the application. Verification: a malformed fixture produces a bounded per-item failure and the application remains responsive.</w:t>
      </w:r>
    </w:p>
    <w:bookmarkEnd w:id="73"/>
    <w:bookmarkStart w:id="74" w:name="Xfe9ec991d9a9bb2b5a9ecca4d4bdde99b9b0090"/>
    <w:p>
      <w:pPr>
        <w:pStyle w:val="Heading2"/>
      </w:pPr>
      <w:r>
        <w:t xml:space="preserve">7.3 File-Path and Library-Root Validation</w:t>
      </w:r>
    </w:p>
    <w:p>
      <w:pPr>
        <w:pStyle w:val="FirstParagraph"/>
      </w:pPr>
      <w:r>
        <w:rPr>
          <w:b/>
          <w:bCs/>
        </w:rPr>
        <w:t xml:space="preserve">CTRL-OGMA-008.</w:t>
      </w:r>
      <w:r>
        <w:t xml:space="preserve"> </w:t>
      </w:r>
      <w:r>
        <w:t xml:space="preserve">The system shall validate the resolved, canonicalised path of every file operation against the configured library root and shall refuse any path that resolves outside the root. Verification: an operation targeting a path outside the root is refused and logged.</w:t>
      </w:r>
    </w:p>
    <w:p>
      <w:pPr>
        <w:pStyle w:val="BodyText"/>
      </w:pPr>
      <w:r>
        <w:rPr>
          <w:b/>
          <w:bCs/>
        </w:rPr>
        <w:t xml:space="preserve">CTRL-OGMA-009.</w:t>
      </w:r>
      <w:r>
        <w:t xml:space="preserve"> </w:t>
      </w:r>
      <w:r>
        <w:t xml:space="preserve">The system shall not follow a symbolic link that resolves outside the library root without explicit per-action user consent. Verification: a planted symlink pointing outside the root is not traversed without recorded consent.</w:t>
      </w:r>
    </w:p>
    <w:p>
      <w:pPr>
        <w:pStyle w:val="BodyText"/>
      </w:pPr>
      <w:r>
        <w:rPr>
          <w:b/>
          <w:bCs/>
        </w:rPr>
        <w:t xml:space="preserve">CTRL-OGMA-010.</w:t>
      </w:r>
      <w:r>
        <w:t xml:space="preserve"> </w:t>
      </w:r>
      <w:r>
        <w:t xml:space="preserve">The system shall reject or quarantine catalogue-import entries whose names attempt directory traversal (for example,</w:t>
      </w:r>
      <w:r>
        <w:t xml:space="preserve"> </w:t>
      </w:r>
      <w:r>
        <w:rPr>
          <w:rStyle w:val="VerbatimChar"/>
        </w:rPr>
        <w:t xml:space="preserve">..</w:t>
      </w:r>
      <w:r>
        <w:t xml:space="preserve"> </w:t>
      </w:r>
      <w:r>
        <w:t xml:space="preserve">segments) rather than acting on the traversed path. Verification: an import entry containing a traversal segment is rejected or quarantined and never acted upon.</w:t>
      </w:r>
    </w:p>
    <w:p>
      <w:pPr>
        <w:pStyle w:val="BodyText"/>
      </w:pPr>
      <w:r>
        <w:rPr>
          <w:b/>
          <w:bCs/>
        </w:rPr>
        <w:t xml:space="preserve">CTRL-OGMA-011.</w:t>
      </w:r>
      <w:r>
        <w:t xml:space="preserve"> </w:t>
      </w:r>
      <w:r>
        <w:t xml:space="preserve">The system shall target metadata write-back only to files within the validated root, shall preserve the original (NFR-PROD-010), and shall record a write-back entry in the audit trail. Verification: a write-back outside the root is refused; a write-back inside the root produces a backup and an audit entry.</w:t>
      </w:r>
    </w:p>
    <w:bookmarkEnd w:id="74"/>
    <w:bookmarkStart w:id="75" w:name="X7aa682c93ab6a5618658de1ad2907775736be2f"/>
    <w:p>
      <w:pPr>
        <w:pStyle w:val="Heading2"/>
      </w:pPr>
      <w:r>
        <w:t xml:space="preserve">7.4 Application Integrity and Updates</w:t>
      </w:r>
    </w:p>
    <w:p>
      <w:pPr>
        <w:pStyle w:val="FirstParagraph"/>
      </w:pPr>
      <w:r>
        <w:rPr>
          <w:b/>
          <w:bCs/>
        </w:rPr>
        <w:t xml:space="preserve">CTRL-OGMA-012.</w:t>
      </w:r>
      <w:r>
        <w:t xml:space="preserve"> </w:t>
      </w:r>
      <w:r>
        <w:t xml:space="preserve">The system shall code-sign all public builds and shall verify the signature before installing an update, refusing an unsigned or tamper-detected artifact (NFR-PROD-012). Verification: the update pipeline rejects a deliberately corrupted artifact in test.</w:t>
      </w:r>
    </w:p>
    <w:p>
      <w:pPr>
        <w:pStyle w:val="BodyText"/>
      </w:pPr>
      <w:r>
        <w:rPr>
          <w:b/>
          <w:bCs/>
        </w:rPr>
        <w:t xml:space="preserve">CTRL-OGMA-013.</w:t>
      </w:r>
      <w:r>
        <w:t xml:space="preserve"> </w:t>
      </w:r>
      <w:r>
        <w:t xml:space="preserve">The system shall fetch update metadata and artifacts over an authenticated, integrity-checked channel and shall signature-verify the update descriptor independently of transport. Verification: a tampered update descriptor is rejected even when delivered over a valid transport.</w:t>
      </w:r>
    </w:p>
    <w:bookmarkEnd w:id="75"/>
    <w:bookmarkStart w:id="76" w:name="Xff2d502aec9a27ceedd3f71bd42783aef4feeb1"/>
    <w:p>
      <w:pPr>
        <w:pStyle w:val="Heading2"/>
      </w:pPr>
      <w:r>
        <w:t xml:space="preserve">7.5 Data at Rest</w:t>
      </w:r>
    </w:p>
    <w:p>
      <w:pPr>
        <w:pStyle w:val="FirstParagraph"/>
      </w:pPr>
      <w:r>
        <w:rPr>
          <w:b/>
          <w:bCs/>
        </w:rPr>
        <w:t xml:space="preserve">CTRL-OGMA-014.</w:t>
      </w:r>
      <w:r>
        <w:t xml:space="preserve"> </w:t>
      </w:r>
      <w:r>
        <w:t xml:space="preserve">The system shall offer optional encryption at rest for the catalogue database, with the key held in OS credential storage rather than alongside the database. Verification: enabling encryption renders the database unreadable without the OS-held key, and the key is not co-located with the database.</w:t>
      </w:r>
    </w:p>
    <w:p>
      <w:pPr>
        <w:pStyle w:val="BodyText"/>
      </w:pPr>
      <w:r>
        <w:rPr>
          <w:b/>
          <w:bCs/>
        </w:rPr>
        <w:t xml:space="preserve">CTRL-OGMA-015.</w:t>
      </w:r>
      <w:r>
        <w:t xml:space="preserve"> </w:t>
      </w:r>
      <w:r>
        <w:t xml:space="preserve">The system shall apply the same at-rest protection to backups produced by destructive-operation protection as to the catalogue, and backups shall contain no provider secret. Verification: a backup inherits the catalogue's encryption state and contains no secret material.</w:t>
      </w:r>
    </w:p>
    <w:bookmarkEnd w:id="76"/>
    <w:bookmarkStart w:id="77" w:name="X3f1ee67a7f421af0432efd0b592726b15d55079"/>
    <w:p>
      <w:pPr>
        <w:pStyle w:val="Heading2"/>
      </w:pPr>
      <w:r>
        <w:t xml:space="preserve">7.6 Off-Device Transmission and the Privacy-Tier Model</w:t>
      </w:r>
    </w:p>
    <w:p>
      <w:pPr>
        <w:pStyle w:val="FirstParagraph"/>
      </w:pPr>
      <w:r>
        <w:t xml:space="preserve">The privacy-tier model defined in Section 2.6 governs every off-device transmission. The default tier is Offline (Tier 0).</w:t>
      </w:r>
    </w:p>
    <w:p>
      <w:pPr>
        <w:pStyle w:val="BodyText"/>
      </w:pPr>
      <w:r>
        <w:rPr>
          <w:b/>
          <w:bCs/>
        </w:rPr>
        <w:t xml:space="preserve">CTRL-OGMA-016.</w:t>
      </w:r>
      <w:r>
        <w:t xml:space="preserve"> </w:t>
      </w:r>
      <w:r>
        <w:t xml:space="preserve">The system shall route every off-device call through the provider AI gateway and shall permit no UI or feature module to open its own network connection to a provider. Verification: a network-egress test confirms all outbound provider traffic originates from the gateway and no other module opens a provider connection.</w:t>
      </w:r>
    </w:p>
    <w:p>
      <w:pPr>
        <w:pStyle w:val="BodyText"/>
      </w:pPr>
      <w:r>
        <w:rPr>
          <w:b/>
          <w:bCs/>
        </w:rPr>
        <w:t xml:space="preserve">CTRL-OGMA-017.</w:t>
      </w:r>
      <w:r>
        <w:t xml:space="preserve"> </w:t>
      </w:r>
      <w:r>
        <w:t xml:space="preserve">The system shall not transmit any user content or metadata off-device unless the active privacy tier permits it and the user has confirmed the previewed payload (NFR-PROD-011). The</w:t>
      </w:r>
      <w:r>
        <w:t xml:space="preserve"> </w:t>
      </w:r>
      <w:r>
        <w:rPr>
          <w:i/>
          <w:iCs/>
        </w:rPr>
        <w:t xml:space="preserve">payload preview</w:t>
      </w:r>
      <w:r>
        <w:t xml:space="preserve"> </w:t>
      </w:r>
      <w:r>
        <w:t xml:space="preserve">shall display the exact content, field set, and destination provider before any send. Verification: an integration test asserts no off-device request is issued without a recorded confirmation referencing the previewed payload.</w:t>
      </w:r>
    </w:p>
    <w:p>
      <w:pPr>
        <w:pStyle w:val="BodyText"/>
      </w:pPr>
      <w:r>
        <w:rPr>
          <w:b/>
          <w:bCs/>
        </w:rPr>
        <w:t xml:space="preserve">CTRL-OGMA-018.</w:t>
      </w:r>
      <w:r>
        <w:t xml:space="preserve"> </w:t>
      </w:r>
      <w:r>
        <w:t xml:space="preserve">The system shall produce a local audit entry for every off-device transmission naming the provider, purpose, payload scope, and active tier (NFR-PROD-013). Verification: each off-device call produces a matching audit entry.</w:t>
      </w:r>
    </w:p>
    <w:bookmarkEnd w:id="77"/>
    <w:bookmarkStart w:id="78" w:name="X5ded8297a766189b82ea0767c60ad328e7ed304"/>
    <w:p>
      <w:pPr>
        <w:pStyle w:val="Heading2"/>
      </w:pPr>
      <w:r>
        <w:t xml:space="preserve">7.7 Privacy, Consent, and Data-Subject Rights</w:t>
      </w:r>
    </w:p>
    <w:p>
      <w:pPr>
        <w:pStyle w:val="FirstParagraph"/>
      </w:pPr>
      <w:r>
        <w:t xml:space="preserve">The compliance surface appears only at off-device transmission. For fully local and local-AI operation (Tier 0 and Tier 3), no off-device processing occurs and no controller or processor relationship is created. When opt-in cloud AI or a metadata provider transmits user content or metadata off-device (Tier 1 and Tier 2), General Data Protection Regulation (GDPR) and jurisdictional Data Protection Act principles engage for that payload.</w:t>
      </w:r>
    </w:p>
    <w:p>
      <w:pPr>
        <w:pStyle w:val="BodyText"/>
      </w:pPr>
      <w:r>
        <w:rPr>
          <w:b/>
          <w:bCs/>
        </w:rPr>
        <w:t xml:space="preserve">CTRL-OGMA-019.</w:t>
      </w:r>
      <w:r>
        <w:t xml:space="preserve"> </w:t>
      </w:r>
      <w:r>
        <w:t xml:space="preserve">The system shall obtain an explicit, specific, informed opt-in per privacy tier and per provider before any off-device transmission, and shall not bundle this consent into general application acceptance. Verification: a transmission with no recorded matching consent is blocked and logged; the consent record names the tier, provider, and timestamp.</w:t>
      </w:r>
    </w:p>
    <w:p>
      <w:pPr>
        <w:pStyle w:val="BodyText"/>
      </w:pPr>
      <w:r>
        <w:rPr>
          <w:b/>
          <w:bCs/>
        </w:rPr>
        <w:t xml:space="preserve">CTRL-OGMA-020.</w:t>
      </w:r>
      <w:r>
        <w:t xml:space="preserve"> </w:t>
      </w:r>
      <w:r>
        <w:t xml:space="preserve">The system shall bound each off-device payload to the minimum needed for the consented purpose and shall show the payload preview before the data leaves the device. Verification: a payload-preview test asserts the transmitted field set equals the previewed, minimised set.</w:t>
      </w:r>
    </w:p>
    <w:p>
      <w:pPr>
        <w:pStyle w:val="BodyText"/>
      </w:pPr>
      <w:r>
        <w:rPr>
          <w:b/>
          <w:bCs/>
        </w:rPr>
        <w:t xml:space="preserve">CTRL-OGMA-021.</w:t>
      </w:r>
      <w:r>
        <w:t xml:space="preserve"> </w:t>
      </w:r>
      <w:r>
        <w:t xml:space="preserve">The system shall surface the destination provider and, where the provider processes data outside the user's jurisdiction, the processing region, before first use of that provider, and shall not silently route user content across borders. Verification: provider metadata includes the processing region and the region is shown before first use.</w:t>
      </w:r>
    </w:p>
    <w:p>
      <w:pPr>
        <w:pStyle w:val="BodyText"/>
      </w:pPr>
      <w:r>
        <w:rPr>
          <w:b/>
          <w:bCs/>
        </w:rPr>
        <w:t xml:space="preserve">CTRL-OGMA-022.</w:t>
      </w:r>
      <w:r>
        <w:t xml:space="preserve"> </w:t>
      </w:r>
      <w:r>
        <w:t xml:space="preserve">The system shall default the provider no-training flag to opt-out, so that user content is not used to train any model without a separate, distinct, explicit opt-in independent of the consent to use the feature. Verification: provider configuration asserts the no-training flag by default; enabling training requires a separate recorded consent.</w:t>
      </w:r>
    </w:p>
    <w:p>
      <w:pPr>
        <w:pStyle w:val="BodyText"/>
      </w:pPr>
      <w:r>
        <w:rPr>
          <w:b/>
          <w:bCs/>
        </w:rPr>
        <w:t xml:space="preserve">CTRL-OGMA-023.</w:t>
      </w:r>
      <w:r>
        <w:t xml:space="preserve"> </w:t>
      </w:r>
      <w:r>
        <w:t xml:space="preserve">The system shall allow the user to delete AI query history and all embeddings derived from a chosen document or the entire corpus, removing stored vectors and cached provider responses in the same operation, and shall surface the provider's deletion mechanism for any data sent off-device (NFR-PROD-014). Verification: scoped erasure leaves no residual vector or cached response for that scope and exposes the provider deletion path.</w:t>
      </w:r>
    </w:p>
    <w:p>
      <w:pPr>
        <w:pStyle w:val="BodyText"/>
      </w:pPr>
      <w:r>
        <w:rPr>
          <w:b/>
          <w:bCs/>
        </w:rPr>
        <w:t xml:space="preserve">CTRL-OGMA-024.</w:t>
      </w:r>
      <w:r>
        <w:t xml:space="preserve"> </w:t>
      </w:r>
      <w:r>
        <w:t xml:space="preserve">The system shall run a Data Protection Impact Assessment (DPIA) screening before shipping any feature that transmits user content or metadata off-device, covering the payload data categories, purpose, lawful basis, provider processing location and retention, the erasure path, and the residual risk. Verification: a completed DPIA screening artifact exists for each off-device feature before its release gate.</w:t>
      </w:r>
      <w:r>
        <w:t xml:space="preserve"> </w:t>
      </w:r>
      <w:r>
        <w:rPr>
          <w:rStyle w:val="VerbatimChar"/>
        </w:rPr>
        <w:t xml:space="preserve">[CONTEXT-GAP: the jurisdiction(s) of the target users that fix which Data Protection Acts apply beyond GDPR are not specified in _context; the DPIA screening template requires this to complete the lawful-basis and cross-border sections]</w:t>
      </w:r>
    </w:p>
    <w:p>
      <w:pPr>
        <w:pStyle w:val="BodyText"/>
      </w:pPr>
      <w:r>
        <w:t xml:space="preserve">\newpage</w:t>
      </w:r>
    </w:p>
    <w:bookmarkEnd w:id="78"/>
    <w:bookmarkEnd w:id="79"/>
    <w:bookmarkStart w:id="91" w:name="X853baf657e5f21edf25f79deb6448128896a24f"/>
    <w:p>
      <w:pPr>
        <w:pStyle w:val="Heading1"/>
      </w:pPr>
      <w:r>
        <w:t xml:space="preserve">8. Verification, Validation, and Traceability</w:t>
      </w:r>
    </w:p>
    <w:bookmarkStart w:id="80" w:name="X9ab6a162e3e40b81f430e5116562394ae5a10a1"/>
    <w:p>
      <w:pPr>
        <w:pStyle w:val="Heading2"/>
      </w:pPr>
      <w:r>
        <w:t xml:space="preserve">8.1 Verification and Validation Approach (IEEE 1012)</w:t>
      </w:r>
    </w:p>
    <w:p>
      <w:pPr>
        <w:pStyle w:val="FirstParagraph"/>
      </w:pPr>
      <w:r>
        <w:t xml:space="preserve">Verification and Validation (V&amp;V) follow the framework of IEEE Std 1012. Each requirement in this SRS is evaluated against four criteria before the baseline is signed off.</w:t>
      </w:r>
    </w:p>
    <w:p>
      <w:pPr>
        <w:pStyle w:val="Compact"/>
        <w:numPr>
          <w:ilvl w:val="0"/>
          <w:numId w:val="1061"/>
        </w:numPr>
      </w:pPr>
      <w:r>
        <w:rPr>
          <w:b/>
          <w:bCs/>
        </w:rPr>
        <w:t xml:space="preserve">Correctness.</w:t>
      </w:r>
      <w:r>
        <w:t xml:space="preserve"> </w:t>
      </w:r>
      <w:r>
        <w:t xml:space="preserve">Each requirement mirrors the stakeholder intent recorded in</w:t>
      </w:r>
      <w:r>
        <w:t xml:space="preserve"> </w:t>
      </w:r>
      <w:r>
        <w:rPr>
          <w:rStyle w:val="VerbatimChar"/>
        </w:rPr>
        <w:t xml:space="preserve">_context/vision.md</w:t>
      </w:r>
      <w:r>
        <w:t xml:space="preserve">. A deviation is logged as an anomaly and returned to the originating module owner.</w:t>
      </w:r>
    </w:p>
    <w:p>
      <w:pPr>
        <w:pStyle w:val="Compact"/>
        <w:numPr>
          <w:ilvl w:val="0"/>
          <w:numId w:val="1061"/>
        </w:numPr>
      </w:pPr>
      <w:r>
        <w:rPr>
          <w:b/>
          <w:bCs/>
        </w:rPr>
        <w:t xml:space="preserve">Consistency.</w:t>
      </w:r>
      <w:r>
        <w:t xml:space="preserve"> </w:t>
      </w:r>
      <w:r>
        <w:t xml:space="preserve">Terminology and logical structure are uniform across sections; for example, the privacy-tier model defined in Section 2.6 is the same model enforced in Section 7 and measured in Section 5.</w:t>
      </w:r>
    </w:p>
    <w:p>
      <w:pPr>
        <w:pStyle w:val="Compact"/>
        <w:numPr>
          <w:ilvl w:val="0"/>
          <w:numId w:val="1061"/>
        </w:numPr>
      </w:pPr>
      <w:r>
        <w:rPr>
          <w:b/>
          <w:bCs/>
        </w:rPr>
        <w:t xml:space="preserve">Completeness.</w:t>
      </w:r>
      <w:r>
        <w:t xml:space="preserve"> </w:t>
      </w:r>
      <w:r>
        <w:t xml:space="preserve">Every edge case captured in the context files has a corresponding functional requirement, and every functional requirement in Section 4 has a deterministic acceptance criterion.</w:t>
      </w:r>
    </w:p>
    <w:p>
      <w:pPr>
        <w:pStyle w:val="Compact"/>
        <w:numPr>
          <w:ilvl w:val="0"/>
          <w:numId w:val="1061"/>
        </w:numPr>
      </w:pPr>
      <w:r>
        <w:rPr>
          <w:b/>
          <w:bCs/>
        </w:rPr>
        <w:t xml:space="preserve">Verifiability.</w:t>
      </w:r>
      <w:r>
        <w:t xml:space="preserve"> </w:t>
      </w:r>
      <w:r>
        <w:t xml:space="preserve">Every requirement is paired with a deterministic test oracle. Where the expected result is a judgement call, the requirement is tagged</w:t>
      </w:r>
      <w:r>
        <w:t xml:space="preserve"> </w:t>
      </w:r>
      <w:r>
        <w:rPr>
          <w:rStyle w:val="VerbatimChar"/>
        </w:rPr>
        <w:t xml:space="preserve">[VERIFIABILITY-FAIL]</w:t>
      </w:r>
      <w:r>
        <w:t xml:space="preserve"> </w:t>
      </w:r>
      <w:r>
        <w:t xml:space="preserve">and is excluded from automated pass/fail gating until a measurable oracle is defined.</w:t>
      </w:r>
    </w:p>
    <w:bookmarkEnd w:id="80"/>
    <w:bookmarkStart w:id="81" w:name="X5569748934680e7a74fcc7d831e8f52733c399a"/>
    <w:p>
      <w:pPr>
        <w:pStyle w:val="Heading2"/>
      </w:pPr>
      <w:r>
        <w:t xml:space="preserve">8.2 Verification Method per Module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Primary verification method</w:t>
            </w:r>
          </w:p>
        </w:tc>
        <w:tc>
          <w:tcPr/>
          <w:p>
            <w:pPr>
              <w:pStyle w:val="Compact"/>
            </w:pPr>
            <w:r>
              <w:t xml:space="preserve">Test artifact</w:t>
            </w:r>
          </w:p>
        </w:tc>
      </w:tr>
      <w:tr>
        <w:tc>
          <w:tcPr/>
          <w:p>
            <w:pPr>
              <w:pStyle w:val="Compact"/>
            </w:pPr>
            <w:r>
              <w:t xml:space="preserve">LIB</w:t>
            </w:r>
          </w:p>
        </w:tc>
        <w:tc>
          <w:tcPr/>
          <w:p>
            <w:pPr>
              <w:pStyle w:val="Compact"/>
            </w:pPr>
            <w:r>
              <w:t xml:space="preserve">Fixture-tree scanning and identity round-trip</w:t>
            </w:r>
          </w:p>
        </w:tc>
        <w:tc>
          <w:tcPr/>
          <w:p>
            <w:pPr>
              <w:pStyle w:val="Compact"/>
            </w:pPr>
            <w:r>
              <w:t xml:space="preserve">Curated folder fixtures with rename, move, and delete cases</w:t>
            </w:r>
          </w:p>
        </w:tc>
      </w:tr>
      <w:tr>
        <w:tc>
          <w:tcPr/>
          <w:p>
            <w:pPr>
              <w:pStyle w:val="Compact"/>
            </w:pPr>
            <w:r>
              <w:t xml:space="preserve">CAT</w:t>
            </w:r>
          </w:p>
        </w:tc>
        <w:tc>
          <w:tcPr/>
          <w:p>
            <w:pPr>
              <w:pStyle w:val="Compact"/>
            </w:pPr>
            <w:r>
              <w:t xml:space="preserve">View-equivalence and filter-conjunction assertions</w:t>
            </w:r>
          </w:p>
        </w:tc>
        <w:tc>
          <w:tcPr/>
          <w:p>
            <w:pPr>
              <w:pStyle w:val="Compact"/>
            </w:pPr>
            <w:r>
              <w:t xml:space="preserve">UI automation over a fixed catalogue</w:t>
            </w:r>
          </w:p>
        </w:tc>
      </w:tr>
      <w:tr>
        <w:tc>
          <w:tcPr/>
          <w:p>
            <w:pPr>
              <w:pStyle w:val="Compact"/>
            </w:pPr>
            <w:r>
              <w:t xml:space="preserve">META</w:t>
            </w:r>
          </w:p>
        </w:tc>
        <w:tc>
          <w:tcPr/>
          <w:p>
            <w:pPr>
              <w:pStyle w:val="Compact"/>
            </w:pPr>
            <w:r>
              <w:t xml:space="preserve">Provider-stub lookups and write-back fault injection</w:t>
            </w:r>
          </w:p>
        </w:tc>
        <w:tc>
          <w:tcPr/>
          <w:p>
            <w:pPr>
              <w:pStyle w:val="Compact"/>
            </w:pPr>
            <w:r>
              <w:t xml:space="preserve">Golden corpus with known ISBNs and a malformed PDF</w:t>
            </w:r>
          </w:p>
        </w:tc>
      </w:tr>
      <w:tr>
        <w:tc>
          <w:tcPr/>
          <w:p>
            <w:pPr>
              <w:pStyle w:val="Compact"/>
            </w:pPr>
            <w:r>
              <w:t xml:space="preserve">READ</w:t>
            </w:r>
          </w:p>
        </w:tc>
        <w:tc>
          <w:tcPr/>
          <w:p>
            <w:pPr>
              <w:pStyle w:val="Compact"/>
            </w:pPr>
            <w:r>
              <w:t xml:space="preserve">Reader-state round-trip and annotation durability</w:t>
            </w:r>
          </w:p>
        </w:tc>
        <w:tc>
          <w:tcPr/>
          <w:p>
            <w:pPr>
              <w:pStyle w:val="Compact"/>
            </w:pPr>
            <w:r>
              <w:t xml:space="preserve">Golden corpus including scanned and password-protected files</w:t>
            </w:r>
          </w:p>
        </w:tc>
      </w:tr>
      <w:tr>
        <w:tc>
          <w:tcPr/>
          <w:p>
            <w:pPr>
              <w:pStyle w:val="Compact"/>
            </w:pPr>
            <w:r>
              <w:t xml:space="preserve">SEARCH</w:t>
            </w:r>
          </w:p>
        </w:tc>
        <w:tc>
          <w:tcPr/>
          <w:p>
            <w:pPr>
              <w:pStyle w:val="Compact"/>
            </w:pPr>
            <w:r>
              <w:t xml:space="preserve">Query-replay benchmarks and index-state reconciliation</w:t>
            </w:r>
          </w:p>
        </w:tc>
        <w:tc>
          <w:tcPr/>
          <w:p>
            <w:pPr>
              <w:pStyle w:val="Compact"/>
            </w:pPr>
            <w:r>
              <w:t xml:space="preserve">Fixed query set over a 2,000-book corpus</w:t>
            </w:r>
          </w:p>
        </w:tc>
      </w:tr>
      <w:tr>
        <w:tc>
          <w:tcPr/>
          <w:p>
            <w:pPr>
              <w:pStyle w:val="Compact"/>
            </w:pPr>
            <w:r>
              <w:t xml:space="preserve">AI</w:t>
            </w:r>
          </w:p>
        </w:tc>
        <w:tc>
          <w:tcPr/>
          <w:p>
            <w:pPr>
              <w:pStyle w:val="Compact"/>
            </w:pPr>
            <w:r>
              <w:t xml:space="preserve">Gateway payload-capture and privacy-tier enforcement</w:t>
            </w:r>
          </w:p>
        </w:tc>
        <w:tc>
          <w:tcPr/>
          <w:p>
            <w:pPr>
              <w:pStyle w:val="Compact"/>
            </w:pPr>
            <w:r>
              <w:t xml:space="preserve">Stubbed</w:t>
            </w:r>
            <w:r>
              <w:t xml:space="preserve"> </w:t>
            </w:r>
            <w:r>
              <w:rPr>
                <w:rStyle w:val="VerbatimChar"/>
              </w:rPr>
              <w:t xml:space="preserve">IAiProvider</w:t>
            </w:r>
            <w:r>
              <w:t xml:space="preserve"> </w:t>
            </w:r>
            <w:r>
              <w:t xml:space="preserve">and network-egress monitor</w:t>
            </w:r>
          </w:p>
        </w:tc>
      </w:tr>
    </w:tbl>
    <w:p>
      <w:pPr>
        <w:pStyle w:val="BodyText"/>
      </w:pPr>
      <w:r>
        <w:t xml:space="preserve">The</w:t>
      </w:r>
      <w:r>
        <w:t xml:space="preserve"> </w:t>
      </w:r>
      <w:r>
        <w:rPr>
          <w:i/>
          <w:iCs/>
        </w:rPr>
        <w:t xml:space="preserve">golden corpus</w:t>
      </w:r>
      <w:r>
        <w:t xml:space="preserve"> </w:t>
      </w:r>
      <w:r>
        <w:t xml:space="preserve">is the curated set of test PDFs (simple, scanned, password-protected, very large, two-column, rotated, non-English, malformed) used across modules.</w:t>
      </w:r>
    </w:p>
    <w:bookmarkEnd w:id="81"/>
    <w:bookmarkStart w:id="82" w:name="X8d91b6bd3ab400ecfd58cb2b4d2fafeb4c8e19c"/>
    <w:p>
      <w:pPr>
        <w:pStyle w:val="Heading2"/>
      </w:pPr>
      <w:r>
        <w:t xml:space="preserve">8.3 Metadata Confidence Model</w:t>
      </w:r>
    </w:p>
    <w:p>
      <w:pPr>
        <w:pStyle w:val="FirstParagraph"/>
      </w:pPr>
      <w:r>
        <w:t xml:space="preserve">The metadata merge policy (FR-META-003) resolves competing candidate values by a confidence score. For a candidate field value</w:t>
      </w:r>
      <w:r>
        <w:t xml:space="preserve"> </w:t>
      </w:r>
      <m:oMath>
        <m:r>
          <m:t>v</m:t>
        </m:r>
      </m:oMath>
      <w:r>
        <w:t xml:space="preserve"> </w:t>
      </w:r>
      <w:r>
        <w:t xml:space="preserve">drawn from provider</w:t>
      </w:r>
      <w:r>
        <w:t xml:space="preserve"> </w:t>
      </w:r>
      <m:oMath>
        <m:r>
          <m:t>p</m:t>
        </m:r>
      </m:oMath>
      <w:r>
        <w:t xml:space="preserve">, the confidence is computed as the source weight scaled by the field-match quality:</w:t>
      </w:r>
    </w:p>
    <w:p>
      <w:pPr>
        <w:pStyle w:val="BodyText"/>
      </w:pPr>
      <m:oMathPara>
        <m:oMathParaPr>
          <m:jc m:val="center"/>
        </m:oMathParaPr>
        <m:oMath>
          <m:r>
            <m:t>C</m:t>
          </m:r>
          <m:r>
            <m:t>o</m:t>
          </m:r>
          <m:r>
            <m:t>n</m:t>
          </m:r>
          <m:r>
            <m:t>f</m:t>
          </m:r>
          <m:r>
            <m:t>i</m:t>
          </m:r>
          <m:r>
            <m:t>d</m:t>
          </m:r>
          <m:r>
            <m:t>e</m:t>
          </m:r>
          <m:r>
            <m:t>n</m:t>
          </m:r>
          <m:r>
            <m:t>c</m:t>
          </m:r>
          <m:r>
            <m:t>e</m:t>
          </m:r>
          <m:r>
            <m:rPr>
              <m:sty m:val="p"/>
            </m:rPr>
            <m:t>(</m:t>
          </m:r>
          <m:r>
            <m:t>v</m:t>
          </m:r>
          <m:r>
            <m:rPr>
              <m:sty m:val="p"/>
            </m:rPr>
            <m:t>)</m:t>
          </m:r>
          <m:r>
            <m:rPr>
              <m:sty m:val="p"/>
            </m:rPr>
            <m:t>=</m:t>
          </m:r>
          <m:sSub>
            <m:e>
              <m:r>
                <m:t>w</m:t>
              </m:r>
            </m:e>
            <m:sub>
              <m:r>
                <m:t>p</m:t>
              </m:r>
            </m:sub>
          </m:sSub>
          <m:r>
            <m:rPr>
              <m:sty m:val="p"/>
            </m:rPr>
            <m:t>×</m:t>
          </m:r>
          <m:sSub>
            <m:e>
              <m:r>
                <m:t>m</m:t>
              </m:r>
            </m:e>
            <m:sub>
              <m:r>
                <m:t>v</m:t>
              </m:r>
            </m:sub>
          </m:sSub>
        </m:oMath>
      </m:oMathPara>
    </w:p>
    <w:p>
      <w:pPr>
        <w:pStyle w:val="FirstParagraph"/>
      </w:pPr>
      <w:r>
        <w:t xml:space="preserve">where</w:t>
      </w:r>
      <w:r>
        <w:t xml:space="preserve"> </w:t>
      </w:r>
      <m:oMath>
        <m:sSub>
          <m:e>
            <m:r>
              <m:t>w</m:t>
            </m:r>
          </m:e>
          <m:sub>
            <m:r>
              <m:t>p</m:t>
            </m:r>
          </m:sub>
        </m:sSub>
        <m:r>
          <m:rPr>
            <m:sty m:val="p"/>
          </m:rPr>
          <m:t>∈</m:t>
        </m:r>
        <m:r>
          <m:rPr>
            <m:sty m:val="p"/>
          </m:rPr>
          <m:t>[</m:t>
        </m:r>
        <m:r>
          <m:t>0</m:t>
        </m:r>
        <m:r>
          <m:rPr>
            <m:sty m:val="p"/>
          </m:rPr>
          <m:t>,</m:t>
        </m:r>
        <m:r>
          <m:t>1</m:t>
        </m:r>
        <m:r>
          <m:rPr>
            <m:sty m:val="p"/>
          </m:rPr>
          <m:t>]</m:t>
        </m:r>
      </m:oMath>
      <w:r>
        <w:t xml:space="preserve"> </w:t>
      </w:r>
      <w:r>
        <w:t xml:space="preserve">is the configured trust weight of provider</w:t>
      </w:r>
      <w:r>
        <w:t xml:space="preserve"> </w:t>
      </w:r>
      <m:oMath>
        <m:r>
          <m:t>p</m:t>
        </m:r>
      </m:oMath>
      <w:r>
        <w:t xml:space="preserve"> </w:t>
      </w:r>
      <w:r>
        <w:t xml:space="preserve">and</w:t>
      </w:r>
      <w:r>
        <w:t xml:space="preserve"> </w:t>
      </w:r>
      <m:oMath>
        <m:sSub>
          <m:e>
            <m:r>
              <m:t>m</m:t>
            </m:r>
          </m:e>
          <m:sub>
            <m:r>
              <m:t>v</m:t>
            </m:r>
          </m:sub>
        </m:sSub>
        <m:r>
          <m:rPr>
            <m:sty m:val="p"/>
          </m:rPr>
          <m:t>∈</m:t>
        </m:r>
        <m:r>
          <m:rPr>
            <m:sty m:val="p"/>
          </m:rPr>
          <m:t>[</m:t>
        </m:r>
        <m:r>
          <m:t>0</m:t>
        </m:r>
        <m:r>
          <m:rPr>
            <m:sty m:val="p"/>
          </m:rPr>
          <m:t>,</m:t>
        </m:r>
        <m:r>
          <m:t>1</m:t>
        </m:r>
        <m:r>
          <m:rPr>
            <m:sty m:val="p"/>
          </m:rPr>
          <m:t>]</m:t>
        </m:r>
      </m:oMath>
      <w:r>
        <w:t xml:space="preserve"> </w:t>
      </w:r>
      <w:r>
        <w:t xml:space="preserve">is the field-match quality for value</w:t>
      </w:r>
      <w:r>
        <w:t xml:space="preserve"> </w:t>
      </w:r>
      <m:oMath>
        <m:r>
          <m:t>v</m:t>
        </m:r>
      </m:oMath>
      <w:r>
        <w:t xml:space="preserve"> </w:t>
      </w:r>
      <w:r>
        <w:t xml:space="preserve">(for example, exact ISBN match scores higher than fuzzy title match). The merged field takes the candidate with the maximum confidence:</w:t>
      </w:r>
    </w:p>
    <w:p>
      <w:pPr>
        <w:pStyle w:val="BodyText"/>
      </w:pPr>
      <m:oMathPara>
        <m:oMathParaPr>
          <m:jc m:val="center"/>
        </m:oMathParaPr>
        <m:oMath>
          <m:sSup>
            <m:e>
              <m:r>
                <m:t>v</m:t>
              </m:r>
            </m:e>
            <m:sup>
              <m:r>
                <m:rPr>
                  <m:sty m:val="p"/>
                </m:rPr>
                <m:t>*</m:t>
              </m:r>
            </m:sup>
          </m:sSup>
          <m:r>
            <m:rPr>
              <m:sty m:val="p"/>
            </m:rPr>
            <m:t>=</m:t>
          </m:r>
          <m:r>
            <m:rPr>
              <m:sty m:val="p"/>
            </m:rPr>
            <m:t>arg</m:t>
          </m:r>
          <m:limLow>
            <m:e>
              <m:r>
                <m:rPr>
                  <m:sty m:val="p"/>
                </m:rPr>
                <m:t>max</m:t>
              </m:r>
            </m:e>
            <m:lim>
              <m:r>
                <m:t>v</m:t>
              </m:r>
            </m:lim>
          </m:limLow>
          <m:r>
            <m:t> </m:t>
          </m:r>
          <m:r>
            <m:t>C</m:t>
          </m:r>
          <m:r>
            <m:t>o</m:t>
          </m:r>
          <m:r>
            <m:t>n</m:t>
          </m:r>
          <m:r>
            <m:t>f</m:t>
          </m:r>
          <m:r>
            <m:t>i</m:t>
          </m:r>
          <m:r>
            <m:t>d</m:t>
          </m:r>
          <m:r>
            <m:t>e</m:t>
          </m:r>
          <m:r>
            <m:t>n</m:t>
          </m:r>
          <m:r>
            <m:t>c</m:t>
          </m:r>
          <m:r>
            <m:t>e</m:t>
          </m:r>
          <m:r>
            <m:rPr>
              <m:sty m:val="p"/>
            </m:rPr>
            <m:t>(</m:t>
          </m:r>
          <m:r>
            <m:t>v</m:t>
          </m:r>
          <m:r>
            <m:rPr>
              <m:sty m:val="p"/>
            </m:rPr>
            <m:t>)</m:t>
          </m:r>
        </m:oMath>
      </m:oMathPara>
    </w:p>
    <w:p>
      <w:pPr>
        <w:pStyle w:val="FirstParagraph"/>
      </w:pPr>
      <w:r>
        <w:t xml:space="preserve">The user may override</w:t>
      </w:r>
      <w:r>
        <w:t xml:space="preserve"> </w:t>
      </w:r>
      <m:oMath>
        <m:sSup>
          <m:e>
            <m:r>
              <m:t>v</m:t>
            </m:r>
          </m:e>
          <m:sup>
            <m:r>
              <m:rPr>
                <m:sty m:val="p"/>
              </m:rPr>
              <m:t>*</m:t>
            </m:r>
          </m:sup>
        </m:sSup>
      </m:oMath>
      <w:r>
        <w:t xml:space="preserve"> </w:t>
      </w:r>
      <w:r>
        <w:t xml:space="preserve">for any field; the override is persisted with a user-decision provenance entry (FR-META-003, FR-META-004).</w:t>
      </w:r>
      <w:r>
        <w:t xml:space="preserve"> </w:t>
      </w:r>
      <w:r>
        <w:rPr>
          <w:rStyle w:val="VerbatimChar"/>
        </w:rPr>
        <w:t xml:space="preserve">[CONTEXT-GAP: the concrete provider trust weights $w_p$ for Google Books and Open Library and the field-match scoring function $m_v$ are not fixed in _context; they are required before FR-META-003 is testable against a numeric oracle]</w:t>
      </w:r>
    </w:p>
    <w:bookmarkEnd w:id="82"/>
    <w:bookmarkStart w:id="83" w:name="X160a1c7244c68618b35f428b5683d1f6fa8c312"/>
    <w:p>
      <w:pPr>
        <w:pStyle w:val="Heading2"/>
      </w:pPr>
      <w:r>
        <w:t xml:space="preserve">8.4 Traceability Matrix</w:t>
      </w:r>
    </w:p>
    <w:p>
      <w:pPr>
        <w:pStyle w:val="FirstParagraph"/>
      </w:pPr>
      <w:r>
        <w:t xml:space="preserve">Each functional-requirement group is traced to a business goal from Section 1.2 and to a verification method from Section 8.2.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 group</w:t>
            </w:r>
          </w:p>
        </w:tc>
        <w:tc>
          <w:tcPr/>
          <w:p>
            <w:pPr>
              <w:pStyle w:val="Compact"/>
            </w:pPr>
            <w:r>
              <w:t xml:space="preserve">Requirements</w:t>
            </w:r>
          </w:p>
        </w:tc>
        <w:tc>
          <w:tcPr/>
          <w:p>
            <w:pPr>
              <w:pStyle w:val="Compact"/>
            </w:pPr>
            <w:r>
              <w:t xml:space="preserve">Business goal</w:t>
            </w:r>
          </w:p>
        </w:tc>
        <w:tc>
          <w:tcPr/>
          <w:p>
            <w:pPr>
              <w:pStyle w:val="Compact"/>
            </w:pPr>
            <w:r>
              <w:t xml:space="preserve">Verification method</w:t>
            </w:r>
          </w:p>
        </w:tc>
      </w:tr>
      <w:tr>
        <w:tc>
          <w:tcPr/>
          <w:p>
            <w:pPr>
              <w:pStyle w:val="Compact"/>
            </w:pPr>
            <w:r>
              <w:t xml:space="preserve">LIB</w:t>
            </w:r>
          </w:p>
        </w:tc>
        <w:tc>
          <w:tcPr/>
          <w:p>
            <w:pPr>
              <w:pStyle w:val="Compact"/>
            </w:pPr>
            <w:r>
              <w:t xml:space="preserve">FR-LIB-001 to FR-LIB-007</w:t>
            </w:r>
          </w:p>
        </w:tc>
        <w:tc>
          <w:tcPr/>
          <w:p>
            <w:pPr>
              <w:pStyle w:val="Compact"/>
            </w:pPr>
            <w:r>
              <w:t xml:space="preserve">BG-1, BG-4</w:t>
            </w:r>
          </w:p>
        </w:tc>
        <w:tc>
          <w:tcPr/>
          <w:p>
            <w:pPr>
              <w:pStyle w:val="Compact"/>
            </w:pPr>
            <w:r>
              <w:t xml:space="preserve">Fixture-tree scanning and identity round-trip</w:t>
            </w:r>
          </w:p>
        </w:tc>
      </w:tr>
      <w:tr>
        <w:tc>
          <w:tcPr/>
          <w:p>
            <w:pPr>
              <w:pStyle w:val="Compact"/>
            </w:pPr>
            <w:r>
              <w:t xml:space="preserve">CAT</w:t>
            </w:r>
          </w:p>
        </w:tc>
        <w:tc>
          <w:tcPr/>
          <w:p>
            <w:pPr>
              <w:pStyle w:val="Compact"/>
            </w:pPr>
            <w:r>
              <w:t xml:space="preserve">FR-CAT-001 to FR-CAT-005</w:t>
            </w:r>
          </w:p>
        </w:tc>
        <w:tc>
          <w:tcPr/>
          <w:p>
            <w:pPr>
              <w:pStyle w:val="Compact"/>
            </w:pPr>
            <w:r>
              <w:t xml:space="preserve">BG-1, BG-2</w:t>
            </w:r>
          </w:p>
        </w:tc>
        <w:tc>
          <w:tcPr/>
          <w:p>
            <w:pPr>
              <w:pStyle w:val="Compact"/>
            </w:pPr>
            <w:r>
              <w:t xml:space="preserve">View-equivalence and filter-conjunction assertions</w:t>
            </w:r>
          </w:p>
        </w:tc>
      </w:tr>
      <w:tr>
        <w:tc>
          <w:tcPr/>
          <w:p>
            <w:pPr>
              <w:pStyle w:val="Compact"/>
            </w:pPr>
            <w:r>
              <w:t xml:space="preserve">META</w:t>
            </w:r>
          </w:p>
        </w:tc>
        <w:tc>
          <w:tcPr/>
          <w:p>
            <w:pPr>
              <w:pStyle w:val="Compact"/>
            </w:pPr>
            <w:r>
              <w:t xml:space="preserve">FR-META-001 to FR-META-007</w:t>
            </w:r>
          </w:p>
        </w:tc>
        <w:tc>
          <w:tcPr/>
          <w:p>
            <w:pPr>
              <w:pStyle w:val="Compact"/>
            </w:pPr>
            <w:r>
              <w:t xml:space="preserve">BG-1, BG-4</w:t>
            </w:r>
          </w:p>
        </w:tc>
        <w:tc>
          <w:tcPr/>
          <w:p>
            <w:pPr>
              <w:pStyle w:val="Compact"/>
            </w:pPr>
            <w:r>
              <w:t xml:space="preserve">Provider-stub lookups and write-back fault injection</w:t>
            </w:r>
          </w:p>
        </w:tc>
      </w:tr>
      <w:tr>
        <w:tc>
          <w:tcPr/>
          <w:p>
            <w:pPr>
              <w:pStyle w:val="Compact"/>
            </w:pPr>
            <w:r>
              <w:t xml:space="preserve">READ</w:t>
            </w:r>
          </w:p>
        </w:tc>
        <w:tc>
          <w:tcPr/>
          <w:p>
            <w:pPr>
              <w:pStyle w:val="Compact"/>
            </w:pPr>
            <w:r>
              <w:t xml:space="preserve">FR-READ-001 to FR-READ-012</w:t>
            </w:r>
          </w:p>
        </w:tc>
        <w:tc>
          <w:tcPr/>
          <w:p>
            <w:pPr>
              <w:pStyle w:val="Compact"/>
            </w:pPr>
            <w:r>
              <w:t xml:space="preserve">BG-2, BG-4</w:t>
            </w:r>
          </w:p>
        </w:tc>
        <w:tc>
          <w:tcPr/>
          <w:p>
            <w:pPr>
              <w:pStyle w:val="Compact"/>
            </w:pPr>
            <w:r>
              <w:t xml:space="preserve">Reader-state round-trip and annotation durability</w:t>
            </w:r>
          </w:p>
        </w:tc>
      </w:tr>
      <w:tr>
        <w:tc>
          <w:tcPr/>
          <w:p>
            <w:pPr>
              <w:pStyle w:val="Compact"/>
            </w:pPr>
            <w:r>
              <w:t xml:space="preserve">SEARCH</w:t>
            </w:r>
          </w:p>
        </w:tc>
        <w:tc>
          <w:tcPr/>
          <w:p>
            <w:pPr>
              <w:pStyle w:val="Compact"/>
            </w:pPr>
            <w:r>
              <w:t xml:space="preserve">FR-SEARCH-001 to FR-SEARCH-006</w:t>
            </w:r>
          </w:p>
        </w:tc>
        <w:tc>
          <w:tcPr/>
          <w:p>
            <w:pPr>
              <w:pStyle w:val="Compact"/>
            </w:pPr>
            <w:r>
              <w:t xml:space="preserve">BG-2, BG-3</w:t>
            </w:r>
          </w:p>
        </w:tc>
        <w:tc>
          <w:tcPr/>
          <w:p>
            <w:pPr>
              <w:pStyle w:val="Compact"/>
            </w:pPr>
            <w:r>
              <w:t xml:space="preserve">Query-replay benchmarks and index reconciliation</w:t>
            </w:r>
          </w:p>
        </w:tc>
      </w:tr>
      <w:tr>
        <w:tc>
          <w:tcPr/>
          <w:p>
            <w:pPr>
              <w:pStyle w:val="Compact"/>
            </w:pPr>
            <w:r>
              <w:t xml:space="preserve">AI</w:t>
            </w:r>
          </w:p>
        </w:tc>
        <w:tc>
          <w:tcPr/>
          <w:p>
            <w:pPr>
              <w:pStyle w:val="Compact"/>
            </w:pPr>
            <w:r>
              <w:t xml:space="preserve">FR-AI-001 to FR-AI-010</w:t>
            </w:r>
          </w:p>
        </w:tc>
        <w:tc>
          <w:tcPr/>
          <w:p>
            <w:pPr>
              <w:pStyle w:val="Compact"/>
            </w:pPr>
            <w:r>
              <w:t xml:space="preserve">BG-3, BG-5</w:t>
            </w:r>
          </w:p>
        </w:tc>
        <w:tc>
          <w:tcPr/>
          <w:p>
            <w:pPr>
              <w:pStyle w:val="Compact"/>
            </w:pPr>
            <w:r>
              <w:t xml:space="preserve">Gateway payload-capture and tier enforcement</w:t>
            </w:r>
          </w:p>
        </w:tc>
      </w:tr>
    </w:tbl>
    <w:p>
      <w:pPr>
        <w:pStyle w:val="BodyText"/>
      </w:pPr>
      <w:r>
        <w:t xml:space="preserve">NFR groups trace as follows: NFR-OGMA-001 through NFR-OGMA-007 and NFR-PROD-002 through NFR-PROD-005 support BG-2 (usable library) through measured responsiveness; NFR-PROD-001 supports BG-5 and BG-4 through local-first availability; NFR-PROD-007 and NFR-PROD-008 support the accessibility release gate; NFR-PROD-009 supports BG-4; NFR-PROD-011, NFR-PROD-013, NFR-PROD-014, and the CTRL-OGMA controls support BG-5.</w:t>
      </w:r>
    </w:p>
    <w:bookmarkEnd w:id="83"/>
    <w:bookmarkStart w:id="90" w:name="X55a075014196e41d71db3d55cac903bdc5394f4"/>
    <w:p>
      <w:pPr>
        <w:pStyle w:val="Heading2"/>
      </w:pPr>
      <w:r>
        <w:t xml:space="preserve">8.5 Consolidated Review Flags</w:t>
      </w:r>
    </w:p>
    <w:p>
      <w:pPr>
        <w:pStyle w:val="FirstParagraph"/>
      </w:pPr>
      <w:r>
        <w:t xml:space="preserve">The following flags were raised across this SRS and are presented for the Human Review Gate. No downstream skill runs until the consultant acknowledges each flag.</w:t>
      </w:r>
    </w:p>
    <w:bookmarkStart w:id="84" w:name="Xda1056829471a8cba535c1410e500c1a1ef0253"/>
    <w:p>
      <w:pPr>
        <w:pStyle w:val="Heading3"/>
      </w:pPr>
      <w:r>
        <w:t xml:space="preserve">8.5.1 Context Gaps</w:t>
      </w:r>
    </w:p>
    <w:p>
      <w:pPr>
        <w:pStyle w:val="Compact"/>
        <w:numPr>
          <w:ilvl w:val="0"/>
          <w:numId w:val="1062"/>
        </w:numPr>
      </w:pPr>
      <w:r>
        <w:rPr>
          <w:rStyle w:val="VerbatimChar"/>
        </w:rPr>
        <w:t xml:space="preserve">[CONTEXT-GAP: confirmation of Linux as an MVP target platform]</w:t>
      </w:r>
      <w:r>
        <w:t xml:space="preserve"> </w:t>
      </w:r>
      <w:r>
        <w:t xml:space="preserve">— Section 2.4 (CON-6).</w:t>
      </w:r>
    </w:p>
    <w:p>
      <w:pPr>
        <w:pStyle w:val="Compact"/>
        <w:numPr>
          <w:ilvl w:val="0"/>
          <w:numId w:val="1062"/>
        </w:numPr>
      </w:pPr>
      <w:r>
        <w:rPr>
          <w:rStyle w:val="VerbatimChar"/>
        </w:rPr>
        <w:t xml:space="preserve">[CONTEXT-GAP: reference-hardware specification — CPU, RAM, storage class]</w:t>
      </w:r>
      <w:r>
        <w:t xml:space="preserve"> </w:t>
      </w:r>
      <w:r>
        <w:t xml:space="preserve">— Section 2.5 (ASM-2), affecting every NFR-OGMA budget.</w:t>
      </w:r>
    </w:p>
    <w:p>
      <w:pPr>
        <w:pStyle w:val="Compact"/>
        <w:numPr>
          <w:ilvl w:val="0"/>
          <w:numId w:val="1062"/>
        </w:numPr>
      </w:pPr>
      <w:r>
        <w:rPr>
          <w:rStyle w:val="VerbatimChar"/>
        </w:rPr>
        <w:t xml:space="preserve">[CONTEXT-GAP: minimum RAM, CPU, and free-disk thresholds for installation]</w:t>
      </w:r>
      <w:r>
        <w:t xml:space="preserve"> </w:t>
      </w:r>
      <w:r>
        <w:t xml:space="preserve">— Section 3.2.</w:t>
      </w:r>
    </w:p>
    <w:p>
      <w:pPr>
        <w:pStyle w:val="Compact"/>
        <w:numPr>
          <w:ilvl w:val="0"/>
          <w:numId w:val="1062"/>
        </w:numPr>
      </w:pPr>
      <w:r>
        <w:rPr>
          <w:rStyle w:val="VerbatimChar"/>
        </w:rPr>
        <w:t xml:space="preserve">[CONTEXT-GAP: command palette command set]</w:t>
      </w:r>
      <w:r>
        <w:t xml:space="preserve"> </w:t>
      </w:r>
      <w:r>
        <w:t xml:space="preserve">— Section 3.1 (UI-4).</w:t>
      </w:r>
    </w:p>
    <w:p>
      <w:pPr>
        <w:pStyle w:val="Compact"/>
        <w:numPr>
          <w:ilvl w:val="0"/>
          <w:numId w:val="1062"/>
        </w:numPr>
      </w:pPr>
      <w:r>
        <w:rPr>
          <w:rStyle w:val="VerbatimChar"/>
        </w:rPr>
        <w:t xml:space="preserve">[CONTEXT-GAP: Work/Edition layer cardinality and merge/split behaviour]</w:t>
      </w:r>
      <w:r>
        <w:t xml:space="preserve"> </w:t>
      </w:r>
      <w:r>
        <w:t xml:space="preserve">— Section 6.4.</w:t>
      </w:r>
    </w:p>
    <w:p>
      <w:pPr>
        <w:pStyle w:val="Compact"/>
        <w:numPr>
          <w:ilvl w:val="0"/>
          <w:numId w:val="1062"/>
        </w:numPr>
      </w:pPr>
      <w:r>
        <w:rPr>
          <w:rStyle w:val="VerbatimChar"/>
        </w:rPr>
        <w:t xml:space="preserve">[CONTEXT-GAP: sidecar asset naming convention per class]</w:t>
      </w:r>
      <w:r>
        <w:t xml:space="preserve"> </w:t>
      </w:r>
      <w:r>
        <w:t xml:space="preserve">— Section 6.5.</w:t>
      </w:r>
    </w:p>
    <w:p>
      <w:pPr>
        <w:pStyle w:val="Compact"/>
        <w:numPr>
          <w:ilvl w:val="0"/>
          <w:numId w:val="1062"/>
        </w:numPr>
      </w:pPr>
      <w:r>
        <w:rPr>
          <w:rStyle w:val="VerbatimChar"/>
        </w:rPr>
        <w:t xml:space="preserve">[CONTEXT-GAP: target-user jurisdiction(s) for applicable Data Protection Acts]</w:t>
      </w:r>
      <w:r>
        <w:t xml:space="preserve"> </w:t>
      </w:r>
      <w:r>
        <w:t xml:space="preserve">— Section 7.7 (CTRL-OGMA-024).</w:t>
      </w:r>
    </w:p>
    <w:p>
      <w:pPr>
        <w:pStyle w:val="Compact"/>
        <w:numPr>
          <w:ilvl w:val="0"/>
          <w:numId w:val="1062"/>
        </w:numPr>
      </w:pPr>
      <w:r>
        <w:rPr>
          <w:rStyle w:val="VerbatimChar"/>
        </w:rPr>
        <w:t xml:space="preserve">[CONTEXT-GAP: provider trust weights and field-match scoring for the confidence model]</w:t>
      </w:r>
      <w:r>
        <w:t xml:space="preserve"> </w:t>
      </w:r>
      <w:r>
        <w:t xml:space="preserve">— Section 8.3.</w:t>
      </w:r>
    </w:p>
    <w:bookmarkEnd w:id="84"/>
    <w:bookmarkStart w:id="85" w:name="X8506983b07a41af42fb2d7c8c9988c180154325"/>
    <w:p>
      <w:pPr>
        <w:pStyle w:val="Heading3"/>
      </w:pPr>
      <w:r>
        <w:t xml:space="preserve">8.5.2 SMART (Measurability) Failures</w:t>
      </w:r>
    </w:p>
    <w:p>
      <w:pPr>
        <w:pStyle w:val="Compact"/>
        <w:numPr>
          <w:ilvl w:val="0"/>
          <w:numId w:val="1063"/>
        </w:numPr>
      </w:pPr>
      <w:r>
        <w:rPr>
          <w:rStyle w:val="VerbatimChar"/>
        </w:rPr>
        <w:t xml:space="preserve">[SMART-FAIL: NFR-OGMA-007 not independently measurable while it excludes uncontrolled provider latency without a defined cap]</w:t>
      </w:r>
      <w:r>
        <w:t xml:space="preserve"> </w:t>
      </w:r>
      <w:r>
        <w:t xml:space="preserve">— Section 5.1.</w:t>
      </w:r>
    </w:p>
    <w:bookmarkEnd w:id="85"/>
    <w:bookmarkStart w:id="86" w:name="Xd9bd00be0d4510e1329f3720f8e24d3a7efb419"/>
    <w:p>
      <w:pPr>
        <w:pStyle w:val="Heading3"/>
      </w:pPr>
      <w:r>
        <w:t xml:space="preserve">8.5.3 Verifiability Failures</w:t>
      </w:r>
    </w:p>
    <w:p>
      <w:pPr>
        <w:pStyle w:val="Compact"/>
        <w:numPr>
          <w:ilvl w:val="0"/>
          <w:numId w:val="1064"/>
        </w:numPr>
      </w:pPr>
      <w:r>
        <w:rPr>
          <w:rStyle w:val="VerbatimChar"/>
        </w:rPr>
        <w:t xml:space="preserve">[VERIFIABILITY-FAIL: FR-AI-003 recommendation relevance is a judgement call]</w:t>
      </w:r>
      <w:r>
        <w:t xml:space="preserve"> </w:t>
      </w:r>
      <w:r>
        <w:t xml:space="preserve">— Section 4.6; deterministic oracle limited to structural completeness of ranked cards.</w:t>
      </w:r>
    </w:p>
    <w:p>
      <w:pPr>
        <w:pStyle w:val="Compact"/>
        <w:numPr>
          <w:ilvl w:val="0"/>
          <w:numId w:val="1064"/>
        </w:numPr>
      </w:pPr>
      <w:r>
        <w:rPr>
          <w:rStyle w:val="VerbatimChar"/>
        </w:rPr>
        <w:t xml:space="preserve">[VERIFIABILITY-FAIL: FR-AI-007 reading-plan pedagogical soundness is a judgement call]</w:t>
      </w:r>
      <w:r>
        <w:t xml:space="preserve"> </w:t>
      </w:r>
      <w:r>
        <w:t xml:space="preserve">— Section 4.6; deterministic oracle limited to presence of the four named elements.</w:t>
      </w:r>
    </w:p>
    <w:bookmarkEnd w:id="86"/>
    <w:bookmarkStart w:id="87" w:name="Xab010f751b83dac41811fdcb3a87358a99655c8"/>
    <w:p>
      <w:pPr>
        <w:pStyle w:val="Heading3"/>
      </w:pPr>
      <w:r>
        <w:t xml:space="preserve">8.5.4 Traceability Gaps</w:t>
      </w:r>
    </w:p>
    <w:p>
      <w:pPr>
        <w:pStyle w:val="Compact"/>
        <w:numPr>
          <w:ilvl w:val="0"/>
          <w:numId w:val="1065"/>
        </w:numPr>
      </w:pPr>
      <w:r>
        <w:t xml:space="preserve">No</w:t>
      </w:r>
      <w:r>
        <w:t xml:space="preserve"> </w:t>
      </w:r>
      <w:r>
        <w:rPr>
          <w:rStyle w:val="VerbatimChar"/>
        </w:rPr>
        <w:t xml:space="preserve">[TRACE-GAP]</w:t>
      </w:r>
      <w:r>
        <w:t xml:space="preserve"> </w:t>
      </w:r>
      <w:r>
        <w:t xml:space="preserve">flags were raised; every functional-requirement group traces to at least one business goal in Section 1.2.</w:t>
      </w:r>
    </w:p>
    <w:bookmarkEnd w:id="87"/>
    <w:bookmarkStart w:id="88" w:name="Xe2f7ebd9ebcf1a23797d1bd6502ad9d6cd6fb0e"/>
    <w:p>
      <w:pPr>
        <w:pStyle w:val="Heading3"/>
      </w:pPr>
      <w:r>
        <w:t xml:space="preserve">8.5.5 Glossary Gaps</w:t>
      </w:r>
    </w:p>
    <w:p>
      <w:pPr>
        <w:pStyle w:val="Compact"/>
        <w:numPr>
          <w:ilvl w:val="0"/>
          <w:numId w:val="1066"/>
        </w:numPr>
      </w:pPr>
      <w:r>
        <w:t xml:space="preserve">No</w:t>
      </w:r>
      <w:r>
        <w:t xml:space="preserve"> </w:t>
      </w:r>
      <w:r>
        <w:rPr>
          <w:rStyle w:val="VerbatimChar"/>
        </w:rPr>
        <w:t xml:space="preserve">[GLOSSARY-GAP]</w:t>
      </w:r>
      <w:r>
        <w:t xml:space="preserve"> </w:t>
      </w:r>
      <w:r>
        <w:t xml:space="preserve">flags were raised. Every domain and technical term used in this SRS is defined in</w:t>
      </w:r>
      <w:r>
        <w:t xml:space="preserve"> </w:t>
      </w:r>
      <w:r>
        <w:rPr>
          <w:rStyle w:val="VerbatimChar"/>
        </w:rPr>
        <w:t xml:space="preserve">_context/glossary.md</w:t>
      </w:r>
      <w:r>
        <w:t xml:space="preserve">. The terms BG-1 through BG-5 (business goals), the NFR-OGMA and CTRL-OGMA identifier families, and the persona names are document-internal identifiers introduced and defined within this SRS and are not glossary terms.</w:t>
      </w:r>
    </w:p>
    <w:bookmarkEnd w:id="88"/>
    <w:bookmarkStart w:id="89" w:name="X864e001965fe29e08725c7f54ed2b18e491ee9e"/>
    <w:p>
      <w:pPr>
        <w:pStyle w:val="Heading3"/>
      </w:pPr>
      <w:r>
        <w:t xml:space="preserve">8.5.6 V&amp;V Failures</w:t>
      </w:r>
    </w:p>
    <w:p>
      <w:pPr>
        <w:pStyle w:val="Compact"/>
        <w:numPr>
          <w:ilvl w:val="0"/>
          <w:numId w:val="1067"/>
        </w:numPr>
      </w:pPr>
      <w:r>
        <w:t xml:space="preserve">No</w:t>
      </w:r>
      <w:r>
        <w:t xml:space="preserve"> </w:t>
      </w:r>
      <w:r>
        <w:rPr>
          <w:rStyle w:val="VerbatimChar"/>
        </w:rPr>
        <w:t xml:space="preserve">[V&amp;V-FAIL]</w:t>
      </w:r>
      <w:r>
        <w:t xml:space="preserve"> </w:t>
      </w:r>
      <w:r>
        <w:t xml:space="preserve">flags were raised against an individual requirement's correctness, consistency, or completeness at this draft stage. The metadata confidence model in Section 8.3 and NFR-OGMA-007 in Section 5.1 are the requirements whose verification depends on the resolution of the context gaps above; they are not yet testable against a numeric oracle and must be closed before the baseline is signed off.</w:t>
      </w:r>
    </w:p>
    <w:bookmarkEnd w:id="89"/>
    <w:bookmarkEnd w:id="90"/>
    <w:bookmarkEnd w:id="91"/>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Ogma Library</dc:title>
  <dc:creator/>
  <cp:keywords/>
  <dcterms:created xsi:type="dcterms:W3CDTF">2026-05-30T10:28:30Z</dcterms:created>
  <dcterms:modified xsi:type="dcterms:W3CDTF">2026-05-30T10:28:30Z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2026-05-30</vt:lpwstr>
  </property>
  <property fmtid="{D5CDD505-2E9C-101B-9397-08002B2CF9AE}" pid="3" name="version">
    <vt:lpwstr>0.1 DRAFT</vt:lpwstr>
  </property>
</Properties>
</file>