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Stakeholder Analysis</w:t>
      </w:r>
    </w:p>
    <w:p>
      <w:pPr>
        <w:pStyle w:val="Date"/>
      </w:pPr>
      <w:r>
        <w:t xml:space="preserve">2026-05-30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\newpage</w:t>
      </w:r>
    </w:p>
    <w:bookmarkStart w:id="37" w:name="stakeholder-analysis"/>
    <w:p>
      <w:pPr>
        <w:pStyle w:val="Heading1"/>
      </w:pPr>
      <w:r>
        <w:t xml:space="preserve">Stakeholder Analysis</w:t>
      </w:r>
    </w:p>
    <w:p>
      <w:pPr>
        <w:pStyle w:val="FirstParagraph"/>
      </w:pPr>
      <w:r>
        <w:rPr>
          <w:b/>
          <w:bCs/>
        </w:rPr>
        <w:t xml:space="preserve">Ogma Library</w:t>
      </w:r>
    </w:p>
    <w:p>
      <w:pPr>
        <w:pStyle w:val="BodyText"/>
      </w:pPr>
      <w:r>
        <w:rPr>
          <w:i/>
          <w:iCs/>
        </w:rPr>
        <w:t xml:space="preserve">A Local-First Personal Library Application by Chwezi Core Systems</w:t>
      </w:r>
    </w:p>
    <w:p>
      <w:r>
        <w:pict>
          <v:rect style="width:0;height:1.5pt" o:hralign="center" o:hrstd="t" o:hr="t"/>
        </w:pic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Details</w:t>
            </w:r>
          </w:p>
        </w:tc>
      </w:tr>
      <w:tr>
        <w:tc>
          <w:tcPr/>
          <w:p>
            <w:pPr>
              <w:pStyle w:val="Compact"/>
            </w:pPr>
            <w:r>
              <w:rPr>
                <w:b/>
                <w:bCs/>
              </w:rPr>
              <w:t xml:space="preserve">Product</w:t>
            </w:r>
          </w:p>
        </w:tc>
        <w:tc>
          <w:tcPr/>
          <w:p>
            <w:pPr>
              <w:pStyle w:val="Compact"/>
            </w:pPr>
            <w:r>
              <w:t xml:space="preserve">Ogma Library</w:t>
            </w:r>
          </w:p>
        </w:tc>
      </w:tr>
      <w:tr>
        <w:tc>
          <w:tcPr/>
          <w:p>
            <w:pPr>
              <w:pStyle w:val="Compact"/>
            </w:pPr>
            <w:r>
              <w:rPr>
                <w:b/>
                <w:bCs/>
              </w:rPr>
              <w:t xml:space="preserve">Company</w:t>
            </w:r>
          </w:p>
        </w:tc>
        <w:tc>
          <w:tcPr/>
          <w:p>
            <w:pPr>
              <w:pStyle w:val="Compact"/>
            </w:pPr>
            <w:r>
              <w:t xml:space="preserve">Chwezi Core Systems</w:t>
            </w:r>
          </w:p>
        </w:tc>
      </w:tr>
      <w:tr>
        <w:tc>
          <w:tcPr/>
          <w:p>
            <w:pPr>
              <w:pStyle w:val="Compact"/>
            </w:pPr>
            <w:r>
              <w:rPr>
                <w:b/>
                <w:bCs/>
              </w:rPr>
              <w:t xml:space="preserve">Website</w:t>
            </w:r>
          </w:p>
        </w:tc>
        <w:tc>
          <w:tcPr/>
          <w:p>
            <w:pPr>
              <w:pStyle w:val="Compact"/>
            </w:pPr>
            <w:r>
              <w:t xml:space="preserve">chwezicore.com</w:t>
            </w:r>
          </w:p>
        </w:tc>
      </w:tr>
      <w:tr>
        <w:tc>
          <w:tcPr/>
          <w:p>
            <w:pPr>
              <w:pStyle w:val="Compact"/>
            </w:pPr>
            <w:r>
              <w:rPr>
                <w:b/>
                <w:bCs/>
              </w:rPr>
              <w:t xml:space="preserve">Product Owner</w:t>
            </w:r>
          </w:p>
        </w:tc>
        <w:tc>
          <w:tcPr/>
          <w:p>
            <w:pPr>
              <w:pStyle w:val="Compact"/>
            </w:pPr>
            <w:r>
              <w:t xml:space="preserve">Peter Bamuhigire</w:t>
            </w:r>
          </w:p>
        </w:tc>
      </w:tr>
      <w:tr>
        <w:tc>
          <w:tcPr/>
          <w:p>
            <w:pPr>
              <w:pStyle w:val="Compact"/>
            </w:pPr>
            <w:r>
              <w:rPr>
                <w:b/>
                <w:bCs/>
              </w:rPr>
              <w:t xml:space="preserve">Document Version</w:t>
            </w:r>
          </w:p>
        </w:tc>
        <w:tc>
          <w:tcPr/>
          <w:p>
            <w:pPr>
              <w:pStyle w:val="Compact"/>
            </w:pPr>
            <w:r>
              <w:t xml:space="preserve">0.1 (DRAFT)</w:t>
            </w:r>
          </w:p>
        </w:tc>
      </w:tr>
      <w:tr>
        <w:tc>
          <w:tcPr/>
          <w:p>
            <w:pPr>
              <w:pStyle w:val="Compact"/>
            </w:pPr>
            <w:r>
              <w:rPr>
                <w:b/>
                <w:bCs/>
              </w:rPr>
              <w:t xml:space="preserve">Date</w:t>
            </w:r>
          </w:p>
        </w:tc>
        <w:tc>
          <w:tcPr/>
          <w:p>
            <w:pPr>
              <w:pStyle w:val="Compact"/>
            </w:pPr>
            <w:r>
              <w:t xml:space="preserve">2026-05-30</w:t>
            </w:r>
          </w:p>
        </w:tc>
      </w:tr>
      <w:tr>
        <w:tc>
          <w:tcPr/>
          <w:p>
            <w:pPr>
              <w:pStyle w:val="Compact"/>
            </w:pPr>
            <w:r>
              <w:rPr>
                <w:b/>
                <w:bCs/>
              </w:rPr>
              <w:t xml:space="preserve">Classification</w:t>
            </w:r>
          </w:p>
        </w:tc>
        <w:tc>
          <w:tcPr/>
          <w:p>
            <w:pPr>
              <w:pStyle w:val="Compact"/>
            </w:pPr>
            <w:r>
              <w:t xml:space="preserve">Confidential — Internal Use Only</w:t>
            </w:r>
          </w:p>
        </w:tc>
      </w:tr>
    </w:tbl>
    <w:p>
      <w:r>
        <w:pict>
          <v:rect style="width:0;height:1.5pt" o:hralign="center" o:hrstd="t" o:hr="t"/>
        </w:pict>
      </w:r>
    </w:p>
    <w:p>
      <w:pPr>
        <w:pStyle w:val="FirstParagraph"/>
      </w:pPr>
      <w:r>
        <w:rPr>
          <w:i/>
          <w:iCs/>
        </w:rPr>
        <w:t xml:space="preserve">Confidential — Internal Use Only. This document is the intellectual property of Chwezi Core Systems. No part may be reproduced or disclosed without written permission.</w:t>
      </w:r>
    </w:p>
    <w:p>
      <w:r>
        <w:pict>
          <v:rect style="width:0;height:1.5pt" o:hralign="center" o:hrstd="t" o:hr="t"/>
        </w:pict>
      </w:r>
    </w:p>
    <w:bookmarkStart w:id="21" w:name="stakeholder-register-for-ogma-library"/>
    <w:p>
      <w:pPr>
        <w:pStyle w:val="Heading2"/>
      </w:pPr>
      <w:r>
        <w:t xml:space="preserve">Stakeholder Register for Ogma Library</w:t>
      </w:r>
    </w:p>
    <w:p>
      <w:pPr>
        <w:pStyle w:val="FirstParagraph"/>
      </w:pPr>
      <w:r>
        <w:t xml:space="preserve">This register identifies the stakeholders whose needs the Ogma Library application shall address. It separates the internal delivery team — the 3-to-5 person cross-functional group that builds, verifies, and launches the product — from the 5 external user personas whose jobs define the product's acceptance criteria. Each entry records the stakeholder's role, primary interest in the product, level of influence over requirements and release decisions, and the single concern that most shapes their requirements.</w:t>
      </w:r>
    </w:p>
    <w:p>
      <w:pPr>
        <w:pStyle w:val="BodyText"/>
      </w:pPr>
      <w:r>
        <w:t xml:space="preserve">The product is owned by Chwezi Core Systems (</w:t>
      </w:r>
      <w:r>
        <w:rPr>
          <w:rStyle w:val="VerbatimChar"/>
        </w:rPr>
        <w:t xml:space="preserve">chwezicore.com</w:t>
      </w:r>
      <w:r>
        <w:t xml:space="preserve">); the product owner is Peter Bamuhigire. The team spans the 8 build phases of the design report (Phase 0 risk spikes through Phase 7 launch).</w:t>
      </w:r>
    </w:p>
    <w:bookmarkStart w:id="19" w:name="internal-delivery-team"/>
    <w:p>
      <w:pPr>
        <w:pStyle w:val="Heading3"/>
      </w:pPr>
      <w:r>
        <w:t xml:space="preserve">Internal Delivery Team</w:t>
      </w:r>
    </w:p>
    <w:p>
      <w:pPr>
        <w:pStyle w:val="FirstParagraph"/>
      </w:pPr>
      <w:r>
        <w:t xml:space="preserve">These stakeholders execute the engagement and hold decision authority over scope, architecture, quality, and release.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Stakeholder</w:t>
            </w:r>
          </w:p>
        </w:tc>
        <w:tc>
          <w:tcPr/>
          <w:p>
            <w:pPr>
              <w:pStyle w:val="Compact"/>
            </w:pPr>
            <w:r>
              <w:t xml:space="preserve">Role</w:t>
            </w:r>
          </w:p>
        </w:tc>
        <w:tc>
          <w:tcPr/>
          <w:p>
            <w:pPr>
              <w:pStyle w:val="Compact"/>
            </w:pPr>
            <w:r>
              <w:t xml:space="preserve">Interest</w:t>
            </w:r>
          </w:p>
        </w:tc>
        <w:tc>
          <w:tcPr/>
          <w:p>
            <w:pPr>
              <w:pStyle w:val="Compact"/>
            </w:pPr>
            <w:r>
              <w:t xml:space="preserve">Influence</w:t>
            </w:r>
          </w:p>
        </w:tc>
        <w:tc>
          <w:tcPr/>
          <w:p>
            <w:pPr>
              <w:pStyle w:val="Compact"/>
            </w:pPr>
            <w:r>
              <w:t xml:space="preserve">Primary Concern</w:t>
            </w:r>
          </w:p>
        </w:tc>
      </w:tr>
      <w:tr>
        <w:tc>
          <w:tcPr/>
          <w:p>
            <w:pPr>
              <w:pStyle w:val="Compact"/>
            </w:pPr>
            <w:r>
              <w:t xml:space="preserve">STK-01</w:t>
            </w:r>
          </w:p>
        </w:tc>
        <w:tc>
          <w:tcPr/>
          <w:p>
            <w:pPr>
              <w:pStyle w:val="Compact"/>
            </w:pPr>
            <w:r>
              <w:t xml:space="preserve">Peter Bamuhigire</w:t>
            </w:r>
          </w:p>
        </w:tc>
        <w:tc>
          <w:tcPr/>
          <w:p>
            <w:pPr>
              <w:pStyle w:val="Compact"/>
            </w:pPr>
            <w:r>
              <w:t xml:space="preserve">Product Owner</w:t>
            </w:r>
          </w:p>
        </w:tc>
        <w:tc>
          <w:tcPr/>
          <w:p>
            <w:pPr>
              <w:pStyle w:val="Compact"/>
            </w:pPr>
            <w:r>
              <w:t xml:space="preserve">Accountable for vision, scope, Software Requirements Specification (SRS) baseline sign-off, and phase-gate decisions</w:t>
            </w:r>
          </w:p>
        </w:tc>
        <w:tc>
          <w:tcPr/>
          <w:p>
            <w:pPr>
              <w:pStyle w:val="Compact"/>
            </w:pPr>
            <w:r>
              <w:t xml:space="preserve">High</w:t>
            </w:r>
          </w:p>
        </w:tc>
        <w:tc>
          <w:tcPr/>
          <w:p>
            <w:pPr>
              <w:pStyle w:val="Compact"/>
            </w:pPr>
            <w:r>
              <w:t xml:space="preserve">The product holds to the four acceptance criteria — privacy, durability, beauty, and command — at every gate</w:t>
            </w:r>
          </w:p>
        </w:tc>
      </w:tr>
      <w:tr>
        <w:tc>
          <w:tcPr/>
          <w:p>
            <w:pPr>
              <w:pStyle w:val="Compact"/>
            </w:pPr>
            <w:r>
              <w:t xml:space="preserve">STK-02</w:t>
            </w:r>
          </w:p>
        </w:tc>
        <w:tc>
          <w:tcPr/>
          <w:p>
            <w:pPr>
              <w:pStyle w:val="Compact"/>
            </w:pPr>
            <w:r>
              <w:t xml:space="preserve">Engineering Lead</w:t>
            </w:r>
          </w:p>
        </w:tc>
        <w:tc>
          <w:tcPr/>
          <w:p>
            <w:pPr>
              <w:pStyle w:val="Compact"/>
            </w:pPr>
            <w:r>
              <w:t xml:space="preserve">Runtime and Architecture Owner</w:t>
            </w:r>
          </w:p>
        </w:tc>
        <w:tc>
          <w:tcPr/>
          <w:p>
            <w:pPr>
              <w:pStyle w:val="Compact"/>
            </w:pPr>
            <w:r>
              <w:t xml:space="preserve">Responsible for the .NET runtime, architecture Decision Records (ADRs), and the Phase 0 risk spikes (WebView bridge, PDFium, Full-Text Search 5 [FTS5], Artificial Intelligence [AI] gateway)</w:t>
            </w:r>
          </w:p>
        </w:tc>
        <w:tc>
          <w:tcPr/>
          <w:p>
            <w:pPr>
              <w:pStyle w:val="Compact"/>
            </w:pPr>
            <w:r>
              <w:t xml:space="preserve">High</w:t>
            </w:r>
          </w:p>
        </w:tc>
        <w:tc>
          <w:tcPr/>
          <w:p>
            <w:pPr>
              <w:pStyle w:val="Compact"/>
            </w:pPr>
            <w:r>
              <w:t xml:space="preserve">Each Phase 0 spike retires its risk before the spike's architecture is baselined</w:t>
            </w:r>
          </w:p>
        </w:tc>
      </w:tr>
      <w:tr>
        <w:tc>
          <w:tcPr/>
          <w:p>
            <w:pPr>
              <w:pStyle w:val="Compact"/>
            </w:pPr>
            <w:r>
              <w:t xml:space="preserve">STK-03</w:t>
            </w:r>
          </w:p>
        </w:tc>
        <w:tc>
          <w:tcPr/>
          <w:p>
            <w:pPr>
              <w:pStyle w:val="Compact"/>
            </w:pPr>
            <w:r>
              <w:t xml:space="preserve">AI Engineer</w:t>
            </w:r>
          </w:p>
        </w:tc>
        <w:tc>
          <w:tcPr/>
          <w:p>
            <w:pPr>
              <w:pStyle w:val="Compact"/>
            </w:pPr>
            <w:r>
              <w:t xml:space="preserve">AI Gateway Owner</w:t>
            </w:r>
          </w:p>
        </w:tc>
        <w:tc>
          <w:tcPr/>
          <w:p>
            <w:pPr>
              <w:pStyle w:val="Compact"/>
            </w:pPr>
            <w:r>
              <w:t xml:space="preserve">Responsible for the provider-neutral AI gateway, privacy tiers, embeddings, and payload preview</w:t>
            </w:r>
          </w:p>
        </w:tc>
        <w:tc>
          <w:tcPr/>
          <w:p>
            <w:pPr>
              <w:pStyle w:val="Compact"/>
            </w:pPr>
            <w:r>
              <w:t xml:space="preserve">High</w:t>
            </w:r>
          </w:p>
        </w:tc>
        <w:tc>
          <w:tcPr/>
          <w:p>
            <w:pPr>
              <w:pStyle w:val="Compact"/>
            </w:pPr>
            <w:r>
              <w:t xml:space="preserve">No document content leaves the device unless the user explicitly opts in for that operation</w:t>
            </w:r>
          </w:p>
        </w:tc>
      </w:tr>
      <w:tr>
        <w:tc>
          <w:tcPr/>
          <w:p>
            <w:pPr>
              <w:pStyle w:val="Compact"/>
            </w:pPr>
            <w:r>
              <w:t xml:space="preserve">STK-04</w:t>
            </w:r>
          </w:p>
        </w:tc>
        <w:tc>
          <w:tcPr/>
          <w:p>
            <w:pPr>
              <w:pStyle w:val="Compact"/>
            </w:pPr>
            <w:r>
              <w:t xml:space="preserve">QA / Verification Engineer</w:t>
            </w:r>
          </w:p>
        </w:tc>
        <w:tc>
          <w:tcPr/>
          <w:p>
            <w:pPr>
              <w:pStyle w:val="Compact"/>
            </w:pPr>
            <w:r>
              <w:t xml:space="preserve">Quality and Release-Gate Owner</w:t>
            </w:r>
          </w:p>
        </w:tc>
        <w:tc>
          <w:tcPr/>
          <w:p>
            <w:pPr>
              <w:pStyle w:val="Compact"/>
            </w:pPr>
            <w:r>
              <w:t xml:space="preserve">Responsible for the golden corpus, the test layers, and the release gates</w:t>
            </w:r>
          </w:p>
        </w:tc>
        <w:tc>
          <w:tcPr/>
          <w:p>
            <w:pPr>
              <w:pStyle w:val="Compact"/>
            </w:pPr>
            <w:r>
              <w:t xml:space="preserve">High</w:t>
            </w:r>
          </w:p>
        </w:tc>
        <w:tc>
          <w:tcPr/>
          <w:p>
            <w:pPr>
              <w:pStyle w:val="Compact"/>
            </w:pPr>
            <w:r>
              <w:t xml:space="preserve">Every baselined functional requirement (FR) has a deterministic test case with a clear pass or fail criterion</w:t>
            </w:r>
          </w:p>
        </w:tc>
      </w:tr>
      <w:tr>
        <w:tc>
          <w:tcPr/>
          <w:p>
            <w:pPr>
              <w:pStyle w:val="Compact"/>
            </w:pPr>
            <w:r>
              <w:t xml:space="preserve">STK-05</w:t>
            </w:r>
          </w:p>
        </w:tc>
        <w:tc>
          <w:tcPr/>
          <w:p>
            <w:pPr>
              <w:pStyle w:val="Compact"/>
            </w:pPr>
            <w:r>
              <w:t xml:space="preserve">Design / UX Engineer</w:t>
            </w:r>
          </w:p>
        </w:tc>
        <w:tc>
          <w:tcPr/>
          <w:p>
            <w:pPr>
              <w:pStyle w:val="Compact"/>
            </w:pPr>
            <w:r>
              <w:t xml:space="preserve">Experience Owner</w:t>
            </w:r>
          </w:p>
        </w:tc>
        <w:tc>
          <w:tcPr/>
          <w:p>
            <w:pPr>
              <w:pStyle w:val="Compact"/>
            </w:pPr>
            <w:r>
              <w:t xml:space="preserve">Responsible for the calm-control user experience (UX), reader experience, 3D shelf, and accessibility</w:t>
            </w:r>
          </w:p>
        </w:tc>
        <w:tc>
          <w:tcPr/>
          <w:p>
            <w:pPr>
              <w:pStyle w:val="Compact"/>
            </w:pPr>
            <w:r>
              <w:t xml:space="preserve">High</w:t>
            </w:r>
          </w:p>
        </w:tc>
        <w:tc>
          <w:tcPr/>
          <w:p>
            <w:pPr>
              <w:pStyle w:val="Compact"/>
            </w:pPr>
            <w:r>
              <w:t xml:space="preserve">The interface meets Web Content Accessibility Guidelines (WCAG) 2.2 AA and stays calm under collections of 10,000 or more books</w:t>
            </w:r>
          </w:p>
        </w:tc>
      </w:tr>
    </w:tbl>
    <w:bookmarkEnd w:id="19"/>
    <w:bookmarkStart w:id="20" w:name="external-user-personas"/>
    <w:p>
      <w:pPr>
        <w:pStyle w:val="Heading3"/>
      </w:pPr>
      <w:r>
        <w:t xml:space="preserve">External User Personas</w:t>
      </w:r>
    </w:p>
    <w:p>
      <w:pPr>
        <w:pStyle w:val="FirstParagraph"/>
      </w:pPr>
      <w:r>
        <w:t xml:space="preserve">These stakeholders do not build the product but their stated jobs are the source of every functional requirement. They are external in the governance sense: they are consulted and informed, not accountable for delivery decisions.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Stakeholder</w:t>
            </w:r>
          </w:p>
        </w:tc>
        <w:tc>
          <w:tcPr/>
          <w:p>
            <w:pPr>
              <w:pStyle w:val="Compact"/>
            </w:pPr>
            <w:r>
              <w:t xml:space="preserve">Role</w:t>
            </w:r>
          </w:p>
        </w:tc>
        <w:tc>
          <w:tcPr/>
          <w:p>
            <w:pPr>
              <w:pStyle w:val="Compact"/>
            </w:pPr>
            <w:r>
              <w:t xml:space="preserve">Interest</w:t>
            </w:r>
          </w:p>
        </w:tc>
        <w:tc>
          <w:tcPr/>
          <w:p>
            <w:pPr>
              <w:pStyle w:val="Compact"/>
            </w:pPr>
            <w:r>
              <w:t xml:space="preserve">Influence</w:t>
            </w:r>
          </w:p>
        </w:tc>
        <w:tc>
          <w:tcPr/>
          <w:p>
            <w:pPr>
              <w:pStyle w:val="Compact"/>
            </w:pPr>
            <w:r>
              <w:t xml:space="preserve">Primary Concern</w:t>
            </w:r>
          </w:p>
        </w:tc>
      </w:tr>
      <w:tr>
        <w:tc>
          <w:tcPr/>
          <w:p>
            <w:pPr>
              <w:pStyle w:val="Compact"/>
            </w:pPr>
            <w:r>
              <w:t xml:space="preserve">STK-06</w:t>
            </w:r>
          </w:p>
        </w:tc>
        <w:tc>
          <w:tcPr/>
          <w:p>
            <w:pPr>
              <w:pStyle w:val="Compact"/>
            </w:pPr>
            <w:r>
              <w:t xml:space="preserve">Serious Reader</w:t>
            </w:r>
          </w:p>
        </w:tc>
        <w:tc>
          <w:tcPr/>
          <w:p>
            <w:pPr>
              <w:pStyle w:val="Compact"/>
            </w:pPr>
            <w:r>
              <w:t xml:space="preserve">Long-term Collection Owner</w:t>
            </w:r>
          </w:p>
        </w:tc>
        <w:tc>
          <w:tcPr/>
          <w:p>
            <w:pPr>
              <w:pStyle w:val="Compact"/>
            </w:pPr>
            <w:r>
              <w:t xml:space="preserve">Re-discover and continue books accumulated over years through the 3D shelf, grid view, reading progress, shelves, and reading statistics</w:t>
            </w:r>
          </w:p>
        </w:tc>
        <w:tc>
          <w:tcPr/>
          <w:p>
            <w:pPr>
              <w:pStyle w:val="Compact"/>
            </w:pPr>
            <w:r>
              <w:t xml:space="preserve">Low</w:t>
            </w:r>
          </w:p>
        </w:tc>
        <w:tc>
          <w:tcPr/>
          <w:p>
            <w:pPr>
              <w:pStyle w:val="Compact"/>
            </w:pPr>
            <w:r>
              <w:t xml:space="preserve">Can find, resume, and browse books without remembering file names</w:t>
            </w:r>
          </w:p>
        </w:tc>
      </w:tr>
      <w:tr>
        <w:tc>
          <w:tcPr/>
          <w:p>
            <w:pPr>
              <w:pStyle w:val="Compact"/>
            </w:pPr>
            <w:r>
              <w:t xml:space="preserve">STK-07</w:t>
            </w:r>
          </w:p>
        </w:tc>
        <w:tc>
          <w:tcPr/>
          <w:p>
            <w:pPr>
              <w:pStyle w:val="Compact"/>
            </w:pPr>
            <w:r>
              <w:t xml:space="preserve">Researcher</w:t>
            </w:r>
          </w:p>
        </w:tc>
        <w:tc>
          <w:tcPr/>
          <w:p>
            <w:pPr>
              <w:pStyle w:val="Compact"/>
            </w:pPr>
            <w:r>
              <w:t xml:space="preserve">Knowledge Worker</w:t>
            </w:r>
          </w:p>
        </w:tc>
        <w:tc>
          <w:tcPr/>
          <w:p>
            <w:pPr>
              <w:pStyle w:val="Compact"/>
            </w:pPr>
            <w:r>
              <w:t xml:space="preserve">Move from a topic or question to the right source in seconds through full-text search, semantic search, the AI advisor, annotations, and citations</w:t>
            </w:r>
          </w:p>
        </w:tc>
        <w:tc>
          <w:tcPr/>
          <w:p>
            <w:pPr>
              <w:pStyle w:val="Compact"/>
            </w:pPr>
            <w:r>
              <w:t xml:space="preserve">Low</w:t>
            </w:r>
          </w:p>
        </w:tc>
        <w:tc>
          <w:tcPr/>
          <w:p>
            <w:pPr>
              <w:pStyle w:val="Compact"/>
            </w:pPr>
            <w:r>
              <w:t xml:space="preserve">Time from search intent to a relevant source is measured in seconds, not minutes</w:t>
            </w:r>
          </w:p>
        </w:tc>
      </w:tr>
      <w:tr>
        <w:tc>
          <w:tcPr/>
          <w:p>
            <w:pPr>
              <w:pStyle w:val="Compact"/>
            </w:pPr>
            <w:r>
              <w:t xml:space="preserve">STK-08</w:t>
            </w:r>
          </w:p>
        </w:tc>
        <w:tc>
          <w:tcPr/>
          <w:p>
            <w:pPr>
              <w:pStyle w:val="Compact"/>
            </w:pPr>
            <w:r>
              <w:t xml:space="preserve">Collector</w:t>
            </w:r>
          </w:p>
        </w:tc>
        <w:tc>
          <w:tcPr/>
          <w:p>
            <w:pPr>
              <w:pStyle w:val="Compact"/>
            </w:pPr>
            <w:r>
              <w:t xml:space="preserve">Metadata Steward</w:t>
            </w:r>
          </w:p>
        </w:tc>
        <w:tc>
          <w:tcPr/>
          <w:p>
            <w:pPr>
              <w:pStyle w:val="Compact"/>
            </w:pPr>
            <w:r>
              <w:t xml:space="preserve">Repair, enrich, export, and write metadata safely through International Standard Book Number (ISBN) detection, Google Books and Open Library lookup, the metadata editor, and backups</w:t>
            </w:r>
          </w:p>
        </w:tc>
        <w:tc>
          <w:tcPr/>
          <w:p>
            <w:pPr>
              <w:pStyle w:val="Compact"/>
            </w:pPr>
            <w:r>
              <w:t xml:space="preserve">Low</w:t>
            </w:r>
          </w:p>
        </w:tc>
        <w:tc>
          <w:tcPr/>
          <w:p>
            <w:pPr>
              <w:pStyle w:val="Compact"/>
            </w:pPr>
            <w:r>
              <w:t xml:space="preserve">Metadata write-back is reversible — every write creates a backup and supports restore</w:t>
            </w:r>
          </w:p>
        </w:tc>
      </w:tr>
      <w:tr>
        <w:tc>
          <w:tcPr/>
          <w:p>
            <w:pPr>
              <w:pStyle w:val="Compact"/>
            </w:pPr>
            <w:r>
              <w:t xml:space="preserve">STK-09</w:t>
            </w:r>
          </w:p>
        </w:tc>
        <w:tc>
          <w:tcPr/>
          <w:p>
            <w:pPr>
              <w:pStyle w:val="Compact"/>
            </w:pPr>
            <w:r>
              <w:t xml:space="preserve">Power Librarian</w:t>
            </w:r>
          </w:p>
        </w:tc>
        <w:tc>
          <w:tcPr/>
          <w:p>
            <w:pPr>
              <w:pStyle w:val="Compact"/>
            </w:pPr>
            <w:r>
              <w:t xml:space="preserve">Large-Collection Maintainer</w:t>
            </w:r>
          </w:p>
        </w:tc>
        <w:tc>
          <w:tcPr/>
          <w:p>
            <w:pPr>
              <w:pStyle w:val="Compact"/>
            </w:pPr>
            <w:r>
              <w:t xml:space="preserve">Audit duplicates, missing metadata, unavailable files, and broken covers through the library health dashboard, duplicate detection, and batch jobs</w:t>
            </w:r>
          </w:p>
        </w:tc>
        <w:tc>
          <w:tcPr/>
          <w:p>
            <w:pPr>
              <w:pStyle w:val="Compact"/>
            </w:pPr>
            <w:r>
              <w:t xml:space="preserve">Low</w:t>
            </w:r>
          </w:p>
        </w:tc>
        <w:tc>
          <w:tcPr/>
          <w:p>
            <w:pPr>
              <w:pStyle w:val="Compact"/>
            </w:pPr>
            <w:r>
              <w:t xml:space="preserve">Library-wide audits and batch jobs complete without corrupting catalogue state</w:t>
            </w:r>
          </w:p>
        </w:tc>
      </w:tr>
      <w:tr>
        <w:tc>
          <w:tcPr/>
          <w:p>
            <w:pPr>
              <w:pStyle w:val="Compact"/>
            </w:pPr>
            <w:r>
              <w:t xml:space="preserve">STK-10</w:t>
            </w:r>
          </w:p>
        </w:tc>
        <w:tc>
          <w:tcPr/>
          <w:p>
            <w:pPr>
              <w:pStyle w:val="Compact"/>
            </w:pPr>
            <w:r>
              <w:t xml:space="preserve">Privacy-Sensitive User</w:t>
            </w:r>
          </w:p>
        </w:tc>
        <w:tc>
          <w:tcPr/>
          <w:p>
            <w:pPr>
              <w:pStyle w:val="Compact"/>
            </w:pPr>
            <w:r>
              <w:t xml:space="preserve">Privacy-First Reader</w:t>
            </w:r>
          </w:p>
        </w:tc>
        <w:tc>
          <w:tcPr/>
          <w:p>
            <w:pPr>
              <w:pStyle w:val="Compact"/>
            </w:pPr>
            <w:r>
              <w:t xml:space="preserve">Use AI without exposing documents unnecessarily through privacy labels, local embeddings, and explicit content-upload controls</w:t>
            </w:r>
          </w:p>
        </w:tc>
        <w:tc>
          <w:tcPr/>
          <w:p>
            <w:pPr>
              <w:pStyle w:val="Compact"/>
            </w:pPr>
            <w:r>
              <w:t xml:space="preserve">Low</w:t>
            </w:r>
          </w:p>
        </w:tc>
        <w:tc>
          <w:tcPr/>
          <w:p>
            <w:pPr>
              <w:pStyle w:val="Compact"/>
            </w:pPr>
            <w:r>
              <w:t xml:space="preserve">Can choose local-only or metadata-only AI modes and see exactly what any AI call would send</w:t>
            </w:r>
          </w:p>
        </w:tc>
      </w:tr>
    </w:tbl>
    <w:bookmarkEnd w:id="20"/>
    <w:bookmarkEnd w:id="21"/>
    <w:bookmarkStart w:id="24" w:name="X1dd927e75a7487a0e3288b1f78f8b33d43e7473"/>
    <w:p>
      <w:pPr>
        <w:pStyle w:val="Heading2"/>
      </w:pPr>
      <w:r>
        <w:t xml:space="preserve">Influence-Interest Matrix for Ogma Library</w:t>
      </w:r>
    </w:p>
    <w:p>
      <w:pPr>
        <w:pStyle w:val="FirstParagraph"/>
      </w:pPr>
      <w:r>
        <w:t xml:space="preserve">This matrix classifies each stakeholder across 4 engagement quadrants derived from the Power-Interest Grid (Mendelow, 1981).</w:t>
      </w:r>
      <w:r>
        <w:t xml:space="preserve"> </w:t>
      </w:r>
      <w:r>
        <w:rPr>
          <w:i/>
          <w:iCs/>
        </w:rPr>
        <w:t xml:space="preserve">Influence</w:t>
      </w:r>
      <w:r>
        <w:t xml:space="preserve"> </w:t>
      </w:r>
      <w:r>
        <w:t xml:space="preserve">measures a stakeholder's authority to shape requirements, scope, or release decisions.</w:t>
      </w:r>
      <w:r>
        <w:t xml:space="preserve"> </w:t>
      </w:r>
      <w:r>
        <w:rPr>
          <w:i/>
          <w:iCs/>
        </w:rPr>
        <w:t xml:space="preserve">Interest</w:t>
      </w:r>
      <w:r>
        <w:t xml:space="preserve"> </w:t>
      </w:r>
      <w:r>
        <w:t xml:space="preserve">measures the degree to which the product's output directly affects the stakeholder's daily work.</w:t>
      </w:r>
    </w:p>
    <w:p>
      <w:pPr>
        <w:pStyle w:val="BodyText"/>
      </w:pPr>
      <w:r>
        <w:t xml:space="preserve">For a single-vendor product with an internal delivery team and external end-user personas, the internal team concentrates in the high-influence band, and the personas concentrate in the high-interest band. This is expected: the personas define what the product must do, but they do not gate delivery decisions.</w:t>
      </w:r>
    </w:p>
    <w:bookmarkStart w:id="22" w:name="quadrant-definitions"/>
    <w:p>
      <w:pPr>
        <w:pStyle w:val="Heading3"/>
      </w:pPr>
      <w:r>
        <w:t xml:space="preserve">Quadrant Definitions</w:t>
      </w:r>
    </w:p>
    <w:p>
      <w:pPr>
        <w:pStyle w:val="Compact"/>
        <w:numPr>
          <w:ilvl w:val="0"/>
          <w:numId w:val="1001"/>
        </w:numPr>
      </w:pPr>
      <w:r>
        <w:rPr>
          <w:b/>
          <w:bCs/>
        </w:rPr>
        <w:t xml:space="preserve">Manage Closely</w:t>
      </w:r>
      <w:r>
        <w:t xml:space="preserve"> </w:t>
      </w:r>
      <w:r>
        <w:t xml:space="preserve">— High Influence and High Interest: primary engagement targets; every requirement must trace to their stated needs, and they participate in every relevant gate.</w:t>
      </w:r>
    </w:p>
    <w:p>
      <w:pPr>
        <w:pStyle w:val="Compact"/>
        <w:numPr>
          <w:ilvl w:val="0"/>
          <w:numId w:val="1001"/>
        </w:numPr>
      </w:pPr>
      <w:r>
        <w:rPr>
          <w:b/>
          <w:bCs/>
        </w:rPr>
        <w:t xml:space="preserve">Keep Satisfied</w:t>
      </w:r>
      <w:r>
        <w:t xml:space="preserve"> </w:t>
      </w:r>
      <w:r>
        <w:t xml:space="preserve">— High Influence and Low Interest: engaged at key milestones to prevent blocking decisions; not involved in day-to-day detail.</w:t>
      </w:r>
    </w:p>
    <w:p>
      <w:pPr>
        <w:pStyle w:val="Compact"/>
        <w:numPr>
          <w:ilvl w:val="0"/>
          <w:numId w:val="1001"/>
        </w:numPr>
      </w:pPr>
      <w:r>
        <w:rPr>
          <w:b/>
          <w:bCs/>
        </w:rPr>
        <w:t xml:space="preserve">Keep Informed</w:t>
      </w:r>
      <w:r>
        <w:t xml:space="preserve"> </w:t>
      </w:r>
      <w:r>
        <w:t xml:space="preserve">— Low Influence and High Interest: frequent communication ensures the product matches their jobs; their feedback is captured but does not unilaterally gate delivery.</w:t>
      </w:r>
    </w:p>
    <w:p>
      <w:pPr>
        <w:pStyle w:val="Compact"/>
        <w:numPr>
          <w:ilvl w:val="0"/>
          <w:numId w:val="1001"/>
        </w:numPr>
      </w:pPr>
      <w:r>
        <w:rPr>
          <w:b/>
          <w:bCs/>
        </w:rPr>
        <w:t xml:space="preserve">Monitor</w:t>
      </w:r>
      <w:r>
        <w:t xml:space="preserve"> </w:t>
      </w:r>
      <w:r>
        <w:t xml:space="preserve">— Low Influence and Low Interest: passive stakeholders; notified of outcomes that affect them.</w:t>
      </w:r>
    </w:p>
    <w:bookmarkEnd w:id="22"/>
    <w:bookmarkStart w:id="23" w:name="classification"/>
    <w:p>
      <w:pPr>
        <w:pStyle w:val="Heading3"/>
      </w:pPr>
      <w:r>
        <w:t xml:space="preserve">Classification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Stakeholder</w:t>
            </w:r>
          </w:p>
        </w:tc>
        <w:tc>
          <w:tcPr/>
          <w:p>
            <w:pPr>
              <w:pStyle w:val="Compact"/>
            </w:pPr>
            <w:r>
              <w:t xml:space="preserve">Influence</w:t>
            </w:r>
          </w:p>
        </w:tc>
        <w:tc>
          <w:tcPr/>
          <w:p>
            <w:pPr>
              <w:pStyle w:val="Compact"/>
            </w:pPr>
            <w:r>
              <w:t xml:space="preserve">Interest</w:t>
            </w:r>
          </w:p>
        </w:tc>
        <w:tc>
          <w:tcPr/>
          <w:p>
            <w:pPr>
              <w:pStyle w:val="Compact"/>
            </w:pPr>
            <w:r>
              <w:t xml:space="preserve">Quadrant</w:t>
            </w:r>
          </w:p>
        </w:tc>
        <w:tc>
          <w:tcPr/>
          <w:p>
            <w:pPr>
              <w:pStyle w:val="Compact"/>
            </w:pPr>
            <w:r>
              <w:t xml:space="preserve">Engagement Strategy</w:t>
            </w:r>
          </w:p>
        </w:tc>
      </w:tr>
      <w:tr>
        <w:tc>
          <w:tcPr/>
          <w:p>
            <w:pPr>
              <w:pStyle w:val="Compact"/>
            </w:pPr>
            <w:r>
              <w:t xml:space="preserve">STK-01</w:t>
            </w:r>
          </w:p>
        </w:tc>
        <w:tc>
          <w:tcPr/>
          <w:p>
            <w:pPr>
              <w:pStyle w:val="Compact"/>
            </w:pPr>
            <w:r>
              <w:t xml:space="preserve">Peter Bamuhigire (Product Owner)</w:t>
            </w:r>
          </w:p>
        </w:tc>
        <w:tc>
          <w:tcPr/>
          <w:p>
            <w:pPr>
              <w:pStyle w:val="Compact"/>
            </w:pPr>
            <w:r>
              <w:t xml:space="preserve">High</w:t>
            </w:r>
          </w:p>
        </w:tc>
        <w:tc>
          <w:tcPr/>
          <w:p>
            <w:pPr>
              <w:pStyle w:val="Compact"/>
            </w:pPr>
            <w:r>
              <w:t xml:space="preserve">High</w:t>
            </w:r>
          </w:p>
        </w:tc>
        <w:tc>
          <w:tcPr/>
          <w:p>
            <w:pPr>
              <w:pStyle w:val="Compact"/>
            </w:pPr>
            <w:r>
              <w:t xml:space="preserve">Manage Closely</w:t>
            </w:r>
          </w:p>
        </w:tc>
        <w:tc>
          <w:tcPr/>
          <w:p>
            <w:pPr>
              <w:pStyle w:val="Compact"/>
            </w:pPr>
            <w:r>
              <w:t xml:space="preserve">Holds sole accountability for the SRS baseline and every phase gate; reviews each phase-closure artefact before sign-off.</w:t>
            </w:r>
          </w:p>
        </w:tc>
      </w:tr>
      <w:tr>
        <w:tc>
          <w:tcPr/>
          <w:p>
            <w:pPr>
              <w:pStyle w:val="Compact"/>
            </w:pPr>
            <w:r>
              <w:t xml:space="preserve">STK-02</w:t>
            </w:r>
          </w:p>
        </w:tc>
        <w:tc>
          <w:tcPr/>
          <w:p>
            <w:pPr>
              <w:pStyle w:val="Compact"/>
            </w:pPr>
            <w:r>
              <w:t xml:space="preserve">Engineering Lead</w:t>
            </w:r>
          </w:p>
        </w:tc>
        <w:tc>
          <w:tcPr/>
          <w:p>
            <w:pPr>
              <w:pStyle w:val="Compact"/>
            </w:pPr>
            <w:r>
              <w:t xml:space="preserve">High</w:t>
            </w:r>
          </w:p>
        </w:tc>
        <w:tc>
          <w:tcPr/>
          <w:p>
            <w:pPr>
              <w:pStyle w:val="Compact"/>
            </w:pPr>
            <w:r>
              <w:t xml:space="preserve">High</w:t>
            </w:r>
          </w:p>
        </w:tc>
        <w:tc>
          <w:tcPr/>
          <w:p>
            <w:pPr>
              <w:pStyle w:val="Compact"/>
            </w:pPr>
            <w:r>
              <w:t xml:space="preserve">Manage Closely</w:t>
            </w:r>
          </w:p>
        </w:tc>
        <w:tc>
          <w:tcPr/>
          <w:p>
            <w:pPr>
              <w:pStyle w:val="Compact"/>
            </w:pPr>
            <w:r>
              <w:t xml:space="preserve">Authors and ratifies architecture ADRs; presents each Phase 0 spike outcome at the spike-closure gate.</w:t>
            </w:r>
          </w:p>
        </w:tc>
      </w:tr>
      <w:tr>
        <w:tc>
          <w:tcPr/>
          <w:p>
            <w:pPr>
              <w:pStyle w:val="Compact"/>
            </w:pPr>
            <w:r>
              <w:t xml:space="preserve">STK-03</w:t>
            </w:r>
          </w:p>
        </w:tc>
        <w:tc>
          <w:tcPr/>
          <w:p>
            <w:pPr>
              <w:pStyle w:val="Compact"/>
            </w:pPr>
            <w:r>
              <w:t xml:space="preserve">AI Engineer</w:t>
            </w:r>
          </w:p>
        </w:tc>
        <w:tc>
          <w:tcPr/>
          <w:p>
            <w:pPr>
              <w:pStyle w:val="Compact"/>
            </w:pPr>
            <w:r>
              <w:t xml:space="preserve">High</w:t>
            </w:r>
          </w:p>
        </w:tc>
        <w:tc>
          <w:tcPr/>
          <w:p>
            <w:pPr>
              <w:pStyle w:val="Compact"/>
            </w:pPr>
            <w:r>
              <w:t xml:space="preserve">High</w:t>
            </w:r>
          </w:p>
        </w:tc>
        <w:tc>
          <w:tcPr/>
          <w:p>
            <w:pPr>
              <w:pStyle w:val="Compact"/>
            </w:pPr>
            <w:r>
              <w:t xml:space="preserve">Manage Closely</w:t>
            </w:r>
          </w:p>
        </w:tc>
        <w:tc>
          <w:tcPr/>
          <w:p>
            <w:pPr>
              <w:pStyle w:val="Compact"/>
            </w:pPr>
            <w:r>
              <w:t xml:space="preserve">Owns the privacy-tier design and the payload-preview control; presents the AI gateway spike before any AI feature is baselined.</w:t>
            </w:r>
          </w:p>
        </w:tc>
      </w:tr>
      <w:tr>
        <w:tc>
          <w:tcPr/>
          <w:p>
            <w:pPr>
              <w:pStyle w:val="Compact"/>
            </w:pPr>
            <w:r>
              <w:t xml:space="preserve">STK-04</w:t>
            </w:r>
          </w:p>
        </w:tc>
        <w:tc>
          <w:tcPr/>
          <w:p>
            <w:pPr>
              <w:pStyle w:val="Compact"/>
            </w:pPr>
            <w:r>
              <w:t xml:space="preserve">QA / Verification Engineer</w:t>
            </w:r>
          </w:p>
        </w:tc>
        <w:tc>
          <w:tcPr/>
          <w:p>
            <w:pPr>
              <w:pStyle w:val="Compact"/>
            </w:pPr>
            <w:r>
              <w:t xml:space="preserve">High</w:t>
            </w:r>
          </w:p>
        </w:tc>
        <w:tc>
          <w:tcPr/>
          <w:p>
            <w:pPr>
              <w:pStyle w:val="Compact"/>
            </w:pPr>
            <w:r>
              <w:t xml:space="preserve">High</w:t>
            </w:r>
          </w:p>
        </w:tc>
        <w:tc>
          <w:tcPr/>
          <w:p>
            <w:pPr>
              <w:pStyle w:val="Compact"/>
            </w:pPr>
            <w:r>
              <w:t xml:space="preserve">Manage Closely</w:t>
            </w:r>
          </w:p>
        </w:tc>
        <w:tc>
          <w:tcPr/>
          <w:p>
            <w:pPr>
              <w:pStyle w:val="Compact"/>
            </w:pPr>
            <w:r>
              <w:t xml:space="preserve">Owns the golden-corpus coverage and the release-gate criteria; no release proceeds without a passing gate.</w:t>
            </w:r>
          </w:p>
        </w:tc>
      </w:tr>
      <w:tr>
        <w:tc>
          <w:tcPr/>
          <w:p>
            <w:pPr>
              <w:pStyle w:val="Compact"/>
            </w:pPr>
            <w:r>
              <w:t xml:space="preserve">STK-05</w:t>
            </w:r>
          </w:p>
        </w:tc>
        <w:tc>
          <w:tcPr/>
          <w:p>
            <w:pPr>
              <w:pStyle w:val="Compact"/>
            </w:pPr>
            <w:r>
              <w:t xml:space="preserve">Design / UX Engineer</w:t>
            </w:r>
          </w:p>
        </w:tc>
        <w:tc>
          <w:tcPr/>
          <w:p>
            <w:pPr>
              <w:pStyle w:val="Compact"/>
            </w:pPr>
            <w:r>
              <w:t xml:space="preserve">High</w:t>
            </w:r>
          </w:p>
        </w:tc>
        <w:tc>
          <w:tcPr/>
          <w:p>
            <w:pPr>
              <w:pStyle w:val="Compact"/>
            </w:pPr>
            <w:r>
              <w:t xml:space="preserve">High</w:t>
            </w:r>
          </w:p>
        </w:tc>
        <w:tc>
          <w:tcPr/>
          <w:p>
            <w:pPr>
              <w:pStyle w:val="Compact"/>
            </w:pPr>
            <w:r>
              <w:t xml:space="preserve">Manage Closely</w:t>
            </w:r>
          </w:p>
        </w:tc>
        <w:tc>
          <w:tcPr/>
          <w:p>
            <w:pPr>
              <w:pStyle w:val="Compact"/>
            </w:pPr>
            <w:r>
              <w:t xml:space="preserve">Owns the calm-control UX and WCAG 2.2 AA conformance; reviews every reader-facing flow before its phase gate.</w:t>
            </w:r>
          </w:p>
        </w:tc>
      </w:tr>
      <w:tr>
        <w:tc>
          <w:tcPr/>
          <w:p>
            <w:pPr>
              <w:pStyle w:val="Compact"/>
            </w:pPr>
            <w:r>
              <w:t xml:space="preserve">STK-06</w:t>
            </w:r>
          </w:p>
        </w:tc>
        <w:tc>
          <w:tcPr/>
          <w:p>
            <w:pPr>
              <w:pStyle w:val="Compact"/>
            </w:pPr>
            <w:r>
              <w:t xml:space="preserve">Serious Reader</w:t>
            </w:r>
          </w:p>
        </w:tc>
        <w:tc>
          <w:tcPr/>
          <w:p>
            <w:pPr>
              <w:pStyle w:val="Compact"/>
            </w:pPr>
            <w:r>
              <w:t xml:space="preserve">Low</w:t>
            </w:r>
          </w:p>
        </w:tc>
        <w:tc>
          <w:tcPr/>
          <w:p>
            <w:pPr>
              <w:pStyle w:val="Compact"/>
            </w:pPr>
            <w:r>
              <w:t xml:space="preserve">High</w:t>
            </w:r>
          </w:p>
        </w:tc>
        <w:tc>
          <w:tcPr/>
          <w:p>
            <w:pPr>
              <w:pStyle w:val="Compact"/>
            </w:pPr>
            <w:r>
              <w:t xml:space="preserve">Keep Informed</w:t>
            </w:r>
          </w:p>
        </w:tc>
        <w:tc>
          <w:tcPr/>
          <w:p>
            <w:pPr>
              <w:pStyle w:val="Compact"/>
            </w:pPr>
            <w:r>
              <w:t xml:space="preserve">Represented through usability testing on the 3D shelf, grid, list, and reading-progress flows; feedback is captured against the</w:t>
            </w:r>
            <w:r>
              <w:t xml:space="preserve"> </w:t>
            </w:r>
            <w:r>
              <w:rPr>
                <w:i/>
                <w:iCs/>
              </w:rPr>
              <w:t xml:space="preserve">visible</w:t>
            </w:r>
            <w:r>
              <w:t xml:space="preserve"> </w:t>
            </w:r>
            <w:r>
              <w:t xml:space="preserve">and</w:t>
            </w:r>
            <w:r>
              <w:t xml:space="preserve"> </w:t>
            </w:r>
            <w:r>
              <w:rPr>
                <w:i/>
                <w:iCs/>
              </w:rPr>
              <w:t xml:space="preserve">usable</w:t>
            </w:r>
            <w:r>
              <w:t xml:space="preserve"> </w:t>
            </w:r>
            <w:r>
              <w:t xml:space="preserve">promises.</w:t>
            </w:r>
          </w:p>
        </w:tc>
      </w:tr>
      <w:tr>
        <w:tc>
          <w:tcPr/>
          <w:p>
            <w:pPr>
              <w:pStyle w:val="Compact"/>
            </w:pPr>
            <w:r>
              <w:t xml:space="preserve">STK-07</w:t>
            </w:r>
          </w:p>
        </w:tc>
        <w:tc>
          <w:tcPr/>
          <w:p>
            <w:pPr>
              <w:pStyle w:val="Compact"/>
            </w:pPr>
            <w:r>
              <w:t xml:space="preserve">Researcher</w:t>
            </w:r>
          </w:p>
        </w:tc>
        <w:tc>
          <w:tcPr/>
          <w:p>
            <w:pPr>
              <w:pStyle w:val="Compact"/>
            </w:pPr>
            <w:r>
              <w:t xml:space="preserve">Low</w:t>
            </w:r>
          </w:p>
        </w:tc>
        <w:tc>
          <w:tcPr/>
          <w:p>
            <w:pPr>
              <w:pStyle w:val="Compact"/>
            </w:pPr>
            <w:r>
              <w:t xml:space="preserve">High</w:t>
            </w:r>
          </w:p>
        </w:tc>
        <w:tc>
          <w:tcPr/>
          <w:p>
            <w:pPr>
              <w:pStyle w:val="Compact"/>
            </w:pPr>
            <w:r>
              <w:t xml:space="preserve">Keep Informed</w:t>
            </w:r>
          </w:p>
        </w:tc>
        <w:tc>
          <w:tcPr/>
          <w:p>
            <w:pPr>
              <w:pStyle w:val="Compact"/>
            </w:pPr>
            <w:r>
              <w:t xml:space="preserve">Represented through search-relevance and AI-advisor evaluation against the golden corpus; feedback gates the</w:t>
            </w:r>
            <w:r>
              <w:t xml:space="preserve"> </w:t>
            </w:r>
            <w:r>
              <w:rPr>
                <w:i/>
                <w:iCs/>
              </w:rPr>
              <w:t xml:space="preserve">intelligent</w:t>
            </w:r>
            <w:r>
              <w:t xml:space="preserve"> </w:t>
            </w:r>
            <w:r>
              <w:t xml:space="preserve">promise but not the schedule.</w:t>
            </w:r>
          </w:p>
        </w:tc>
      </w:tr>
      <w:tr>
        <w:tc>
          <w:tcPr/>
          <w:p>
            <w:pPr>
              <w:pStyle w:val="Compact"/>
            </w:pPr>
            <w:r>
              <w:t xml:space="preserve">STK-08</w:t>
            </w:r>
          </w:p>
        </w:tc>
        <w:tc>
          <w:tcPr/>
          <w:p>
            <w:pPr>
              <w:pStyle w:val="Compact"/>
            </w:pPr>
            <w:r>
              <w:t xml:space="preserve">Collector</w:t>
            </w:r>
          </w:p>
        </w:tc>
        <w:tc>
          <w:tcPr/>
          <w:p>
            <w:pPr>
              <w:pStyle w:val="Compact"/>
            </w:pPr>
            <w:r>
              <w:t xml:space="preserve">Low</w:t>
            </w:r>
          </w:p>
        </w:tc>
        <w:tc>
          <w:tcPr/>
          <w:p>
            <w:pPr>
              <w:pStyle w:val="Compact"/>
            </w:pPr>
            <w:r>
              <w:t xml:space="preserve">High</w:t>
            </w:r>
          </w:p>
        </w:tc>
        <w:tc>
          <w:tcPr/>
          <w:p>
            <w:pPr>
              <w:pStyle w:val="Compact"/>
            </w:pPr>
            <w:r>
              <w:t xml:space="preserve">Keep Informed</w:t>
            </w:r>
          </w:p>
        </w:tc>
        <w:tc>
          <w:tcPr/>
          <w:p>
            <w:pPr>
              <w:pStyle w:val="Compact"/>
            </w:pPr>
            <w:r>
              <w:t xml:space="preserve">Represented through metadata-repair and write-back-reversibility testing; their concern gates the reversibility acceptance criterion.</w:t>
            </w:r>
          </w:p>
        </w:tc>
      </w:tr>
      <w:tr>
        <w:tc>
          <w:tcPr/>
          <w:p>
            <w:pPr>
              <w:pStyle w:val="Compact"/>
            </w:pPr>
            <w:r>
              <w:t xml:space="preserve">STK-09</w:t>
            </w:r>
          </w:p>
        </w:tc>
        <w:tc>
          <w:tcPr/>
          <w:p>
            <w:pPr>
              <w:pStyle w:val="Compact"/>
            </w:pPr>
            <w:r>
              <w:t xml:space="preserve">Power Librarian</w:t>
            </w:r>
          </w:p>
        </w:tc>
        <w:tc>
          <w:tcPr/>
          <w:p>
            <w:pPr>
              <w:pStyle w:val="Compact"/>
            </w:pPr>
            <w:r>
              <w:t xml:space="preserve">Low</w:t>
            </w:r>
          </w:p>
        </w:tc>
        <w:tc>
          <w:tcPr/>
          <w:p>
            <w:pPr>
              <w:pStyle w:val="Compact"/>
            </w:pPr>
            <w:r>
              <w:t xml:space="preserve">High</w:t>
            </w:r>
          </w:p>
        </w:tc>
        <w:tc>
          <w:tcPr/>
          <w:p>
            <w:pPr>
              <w:pStyle w:val="Compact"/>
            </w:pPr>
            <w:r>
              <w:t xml:space="preserve">Keep Informed</w:t>
            </w:r>
          </w:p>
        </w:tc>
        <w:tc>
          <w:tcPr/>
          <w:p>
            <w:pPr>
              <w:pStyle w:val="Compact"/>
            </w:pPr>
            <w:r>
              <w:t xml:space="preserve">Represented through large-collection and batch-job testing; their concern drives the library-health dashboard requirements.</w:t>
            </w:r>
          </w:p>
        </w:tc>
      </w:tr>
      <w:tr>
        <w:tc>
          <w:tcPr/>
          <w:p>
            <w:pPr>
              <w:pStyle w:val="Compact"/>
            </w:pPr>
            <w:r>
              <w:t xml:space="preserve">STK-10</w:t>
            </w:r>
          </w:p>
        </w:tc>
        <w:tc>
          <w:tcPr/>
          <w:p>
            <w:pPr>
              <w:pStyle w:val="Compact"/>
            </w:pPr>
            <w:r>
              <w:t xml:space="preserve">Privacy-Sensitive User</w:t>
            </w:r>
          </w:p>
        </w:tc>
        <w:tc>
          <w:tcPr/>
          <w:p>
            <w:pPr>
              <w:pStyle w:val="Compact"/>
            </w:pPr>
            <w:r>
              <w:t xml:space="preserve">Low</w:t>
            </w:r>
          </w:p>
        </w:tc>
        <w:tc>
          <w:tcPr/>
          <w:p>
            <w:pPr>
              <w:pStyle w:val="Compact"/>
            </w:pPr>
            <w:r>
              <w:t xml:space="preserve">High</w:t>
            </w:r>
          </w:p>
        </w:tc>
        <w:tc>
          <w:tcPr/>
          <w:p>
            <w:pPr>
              <w:pStyle w:val="Compact"/>
            </w:pPr>
            <w:r>
              <w:t xml:space="preserve">Keep Informed</w:t>
            </w:r>
          </w:p>
        </w:tc>
        <w:tc>
          <w:tcPr/>
          <w:p>
            <w:pPr>
              <w:pStyle w:val="Compact"/>
            </w:pPr>
            <w:r>
              <w:t xml:space="preserve">Represented through privacy-tier and payload-preview testing; their concern gates the local-only and metadata-only AI acceptance criteria.</w:t>
            </w:r>
          </w:p>
        </w:tc>
      </w:tr>
    </w:tbl>
    <w:p>
      <w:pPr>
        <w:pStyle w:val="BodyText"/>
      </w:pPr>
      <w:r>
        <w:rPr>
          <w:i/>
          <w:iCs/>
        </w:rPr>
        <w:t xml:space="preserve">All 5 user personas sit in Keep Informed rather than Manage Closely because none holds authority over scope, budget, or release. Their high interest is honoured by making their stated jobs the source of traceable requirements and by validating each release against their success signals.</w:t>
      </w:r>
    </w:p>
    <w:p>
      <w:pPr>
        <w:pStyle w:val="BodyText"/>
      </w:pPr>
      <w:r>
        <w:rPr>
          <w:i/>
          <w:iCs/>
        </w:rPr>
        <w:t xml:space="preserve">No stakeholder currently falls in the Keep Satisfied or Monitor quadrants. At present team size, the Product Owner and the Chwezi Core Systems executive function are the same individual, so there is no high-influence, low-interest sponsor to manage separately.</w:t>
      </w:r>
      <w:r>
        <w:rPr>
          <w:i/>
          <w:iCs/>
        </w:rPr>
        <w:t xml:space="preserve"> </w:t>
      </w:r>
      <w:r>
        <w:rPr>
          <w:rStyle w:val="VerbatimChar"/>
          <w:i/>
          <w:iCs/>
        </w:rPr>
        <w:t xml:space="preserve">[CONTEXT-GAP: external sponsor or investor]</w:t>
      </w:r>
      <w:r>
        <w:rPr>
          <w:i/>
          <w:iCs/>
        </w:rPr>
        <w:t xml:space="preserve"> </w:t>
      </w:r>
      <w:r>
        <w:rPr>
          <w:i/>
          <w:iCs/>
        </w:rPr>
        <w:t xml:space="preserve">— if an external sponsor, funder, or platform-distribution partner (for example, an application-store reviewer) is later identified, classify them in Keep Satisfied and add a corresponding communication entry.</w:t>
      </w:r>
    </w:p>
    <w:bookmarkEnd w:id="23"/>
    <w:bookmarkEnd w:id="24"/>
    <w:bookmarkStart w:id="28" w:name="communication-plan-for-ogma-library"/>
    <w:p>
      <w:pPr>
        <w:pStyle w:val="Heading2"/>
      </w:pPr>
      <w:r>
        <w:t xml:space="preserve">Communication Plan for Ogma Library</w:t>
      </w:r>
    </w:p>
    <w:p>
      <w:pPr>
        <w:pStyle w:val="FirstParagraph"/>
      </w:pPr>
      <w:r>
        <w:t xml:space="preserve">This plan defines, for each stakeholder group, the information that group will receive, the cadence of delivery, the channel, and the owner accountable for the communication. The internal team communicates through engagement artefacts and gate reviews; the external personas, who are not present in the engagement, are represented through validation activities and through the in-product surfaces that the team commits to deliver.</w:t>
      </w:r>
    </w:p>
    <w:bookmarkStart w:id="25" w:name="principles"/>
    <w:p>
      <w:pPr>
        <w:pStyle w:val="Heading3"/>
      </w:pPr>
      <w:r>
        <w:t xml:space="preserve">Principles</w:t>
      </w:r>
    </w:p>
    <w:p>
      <w:pPr>
        <w:pStyle w:val="Compact"/>
        <w:numPr>
          <w:ilvl w:val="0"/>
          <w:numId w:val="1002"/>
        </w:numPr>
      </w:pPr>
      <w:r>
        <w:t xml:space="preserve">Internal communication is artefact-driven. Each phase gate produces a sign-off ledger entry, a baseline snapshot, and, where applicable, an ADR or Change Impact Analysis record.</w:t>
      </w:r>
    </w:p>
    <w:p>
      <w:pPr>
        <w:pStyle w:val="Compact"/>
        <w:numPr>
          <w:ilvl w:val="0"/>
          <w:numId w:val="1002"/>
        </w:numPr>
      </w:pPr>
      <w:r>
        <w:t xml:space="preserve">External-persona "communication" is delivered as product behaviour and as validation evidence, not as direct correspondence. The personas are not engaged as live participants because no such individuals are contracted to this single-vendor engagement.</w:t>
      </w:r>
    </w:p>
    <w:p>
      <w:pPr>
        <w:pStyle w:val="Compact"/>
        <w:numPr>
          <w:ilvl w:val="0"/>
          <w:numId w:val="1002"/>
        </w:numPr>
      </w:pPr>
      <w:r>
        <w:t xml:space="preserve">Time-sensitive internal items (gate-blocking failures, spike outcomes that change scope) are raised immediately rather than held for a scheduled review.</w:t>
      </w:r>
    </w:p>
    <w:bookmarkEnd w:id="25"/>
    <w:bookmarkStart w:id="26" w:name="internal-team-communication"/>
    <w:p>
      <w:pPr>
        <w:pStyle w:val="Heading3"/>
      </w:pPr>
      <w:r>
        <w:t xml:space="preserve">Internal Team Communication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Stakeholder Group</w:t>
            </w:r>
          </w:p>
        </w:tc>
        <w:tc>
          <w:tcPr/>
          <w:p>
            <w:pPr>
              <w:pStyle w:val="Compact"/>
            </w:pPr>
            <w:r>
              <w:t xml:space="preserve">What</w:t>
            </w:r>
          </w:p>
        </w:tc>
        <w:tc>
          <w:tcPr/>
          <w:p>
            <w:pPr>
              <w:pStyle w:val="Compact"/>
            </w:pPr>
            <w:r>
              <w:t xml:space="preserve">Cadence</w:t>
            </w:r>
          </w:p>
        </w:tc>
        <w:tc>
          <w:tcPr/>
          <w:p>
            <w:pPr>
              <w:pStyle w:val="Compact"/>
            </w:pPr>
            <w:r>
              <w:t xml:space="preserve">Channel</w:t>
            </w:r>
          </w:p>
        </w:tc>
        <w:tc>
          <w:tcPr/>
          <w:p>
            <w:pPr>
              <w:pStyle w:val="Compact"/>
            </w:pPr>
            <w:r>
              <w:t xml:space="preserve">Owner</w:t>
            </w:r>
          </w:p>
        </w:tc>
      </w:tr>
      <w:tr>
        <w:tc>
          <w:tcPr/>
          <w:p>
            <w:pPr>
              <w:pStyle w:val="Compact"/>
            </w:pPr>
            <w:r>
              <w:t xml:space="preserve">Product Owner (STK-01)</w:t>
            </w:r>
          </w:p>
        </w:tc>
        <w:tc>
          <w:tcPr/>
          <w:p>
            <w:pPr>
              <w:pStyle w:val="Compact"/>
            </w:pPr>
            <w:r>
              <w:t xml:space="preserve">SRS baseline for review and sign-off</w:t>
            </w:r>
          </w:p>
        </w:tc>
        <w:tc>
          <w:tcPr/>
          <w:p>
            <w:pPr>
              <w:pStyle w:val="Compact"/>
            </w:pPr>
            <w:r>
              <w:t xml:space="preserve">Once, before development begins (hybrid sign-off gate)</w:t>
            </w:r>
          </w:p>
        </w:tc>
        <w:tc>
          <w:tcPr/>
          <w:p>
            <w:pPr>
              <w:pStyle w:val="Compact"/>
            </w:pPr>
            <w:r>
              <w:t xml:space="preserve">Document portal + sign-off ledger</w:t>
            </w:r>
          </w:p>
        </w:tc>
        <w:tc>
          <w:tcPr/>
          <w:p>
            <w:pPr>
              <w:pStyle w:val="Compact"/>
            </w:pPr>
            <w:r>
              <w:t xml:space="preserve">Engineering Lead</w:t>
            </w:r>
          </w:p>
        </w:tc>
      </w:tr>
      <w:tr>
        <w:tc>
          <w:tcPr/>
          <w:p>
            <w:pPr>
              <w:pStyle w:val="Compact"/>
            </w:pPr>
            <w:r>
              <w:t xml:space="preserve">Product Owner (STK-01)</w:t>
            </w:r>
          </w:p>
        </w:tc>
        <w:tc>
          <w:tcPr/>
          <w:p>
            <w:pPr>
              <w:pStyle w:val="Compact"/>
            </w:pPr>
            <w:r>
              <w:t xml:space="preserve">Phase-gate decision pack (snapshot, open gaps, sign-off request)</w:t>
            </w:r>
          </w:p>
        </w:tc>
        <w:tc>
          <w:tcPr/>
          <w:p>
            <w:pPr>
              <w:pStyle w:val="Compact"/>
            </w:pPr>
            <w:r>
              <w:t xml:space="preserve">Per phase gate (Phase 0 to Phase 7)</w:t>
            </w:r>
          </w:p>
        </w:tc>
        <w:tc>
          <w:tcPr/>
          <w:p>
            <w:pPr>
              <w:pStyle w:val="Compact"/>
            </w:pPr>
            <w:r>
              <w:t xml:space="preserve">Gate review + sign-off ledger</w:t>
            </w:r>
          </w:p>
        </w:tc>
        <w:tc>
          <w:tcPr/>
          <w:p>
            <w:pPr>
              <w:pStyle w:val="Compact"/>
            </w:pPr>
            <w:r>
              <w:t xml:space="preserve">QA / Verification Engineer</w:t>
            </w:r>
          </w:p>
        </w:tc>
      </w:tr>
      <w:tr>
        <w:tc>
          <w:tcPr/>
          <w:p>
            <w:pPr>
              <w:pStyle w:val="Compact"/>
            </w:pPr>
            <w:r>
              <w:t xml:space="preserve">Product Owner (STK-01)</w:t>
            </w:r>
          </w:p>
        </w:tc>
        <w:tc>
          <w:tcPr/>
          <w:p>
            <w:pPr>
              <w:pStyle w:val="Compact"/>
            </w:pPr>
            <w:r>
              <w:t xml:space="preserve">Change Impact Analysis for any baselined FR/NFR/CTRL change</w:t>
            </w:r>
          </w:p>
        </w:tc>
        <w:tc>
          <w:tcPr/>
          <w:p>
            <w:pPr>
              <w:pStyle w:val="Compact"/>
            </w:pPr>
            <w:r>
              <w:t xml:space="preserve">Per change request</w:t>
            </w:r>
          </w:p>
        </w:tc>
        <w:tc>
          <w:tcPr/>
          <w:p>
            <w:pPr>
              <w:pStyle w:val="Compact"/>
            </w:pPr>
            <w:r>
              <w:t xml:space="preserve">Change-impact registry</w:t>
            </w:r>
          </w:p>
        </w:tc>
        <w:tc>
          <w:tcPr/>
          <w:p>
            <w:pPr>
              <w:pStyle w:val="Compact"/>
            </w:pPr>
            <w:r>
              <w:t xml:space="preserve">Engineering Lead</w:t>
            </w:r>
          </w:p>
        </w:tc>
      </w:tr>
      <w:tr>
        <w:tc>
          <w:tcPr/>
          <w:p>
            <w:pPr>
              <w:pStyle w:val="Compact"/>
            </w:pPr>
            <w:r>
              <w:t xml:space="preserve">Engineering Lead (STK-02)</w:t>
            </w:r>
          </w:p>
        </w:tc>
        <w:tc>
          <w:tcPr/>
          <w:p>
            <w:pPr>
              <w:pStyle w:val="Compact"/>
            </w:pPr>
            <w:r>
              <w:t xml:space="preserve">Architecture ADRs for ratification</w:t>
            </w:r>
          </w:p>
        </w:tc>
        <w:tc>
          <w:tcPr/>
          <w:p>
            <w:pPr>
              <w:pStyle w:val="Compact"/>
            </w:pPr>
            <w:r>
              <w:t xml:space="preserve">Per significant architectural decision</w:t>
            </w:r>
          </w:p>
        </w:tc>
        <w:tc>
          <w:tcPr/>
          <w:p>
            <w:pPr>
              <w:pStyle w:val="Compact"/>
            </w:pPr>
            <w:r>
              <w:t xml:space="preserve">ADR catalog (</w:t>
            </w:r>
            <w:r>
              <w:rPr>
                <w:rStyle w:val="VerbatimChar"/>
              </w:rPr>
              <w:t xml:space="preserve">09-governance-compliance/05-adr/</w:t>
            </w:r>
            <w:r>
              <w:t xml:space="preserve">)</w:t>
            </w:r>
          </w:p>
        </w:tc>
        <w:tc>
          <w:tcPr/>
          <w:p>
            <w:pPr>
              <w:pStyle w:val="Compact"/>
            </w:pPr>
            <w:r>
              <w:t xml:space="preserve">Engineering Lead</w:t>
            </w:r>
          </w:p>
        </w:tc>
      </w:tr>
      <w:tr>
        <w:tc>
          <w:tcPr/>
          <w:p>
            <w:pPr>
              <w:pStyle w:val="Compact"/>
            </w:pPr>
            <w:r>
              <w:t xml:space="preserve">Engineering Lead (STK-02)</w:t>
            </w:r>
          </w:p>
        </w:tc>
        <w:tc>
          <w:tcPr/>
          <w:p>
            <w:pPr>
              <w:pStyle w:val="Compact"/>
            </w:pPr>
            <w:r>
              <w:t xml:space="preserve">Phase 0 spike outcomes (WebView bridge, PDFium, FTS5, AI gateway)</w:t>
            </w:r>
          </w:p>
        </w:tc>
        <w:tc>
          <w:tcPr/>
          <w:p>
            <w:pPr>
              <w:pStyle w:val="Compact"/>
            </w:pPr>
            <w:r>
              <w:t xml:space="preserve">Once per spike, at spike closure</w:t>
            </w:r>
          </w:p>
        </w:tc>
        <w:tc>
          <w:tcPr/>
          <w:p>
            <w:pPr>
              <w:pStyle w:val="Compact"/>
            </w:pPr>
            <w:r>
              <w:t xml:space="preserve">Spike-closure review</w:t>
            </w:r>
          </w:p>
        </w:tc>
        <w:tc>
          <w:tcPr/>
          <w:p>
            <w:pPr>
              <w:pStyle w:val="Compact"/>
            </w:pPr>
            <w:r>
              <w:t xml:space="preserve">Engineering Lead</w:t>
            </w:r>
          </w:p>
        </w:tc>
      </w:tr>
      <w:tr>
        <w:tc>
          <w:tcPr/>
          <w:p>
            <w:pPr>
              <w:pStyle w:val="Compact"/>
            </w:pPr>
            <w:r>
              <w:t xml:space="preserve">AI Engineer (STK-03)</w:t>
            </w:r>
          </w:p>
        </w:tc>
        <w:tc>
          <w:tcPr/>
          <w:p>
            <w:pPr>
              <w:pStyle w:val="Compact"/>
            </w:pPr>
            <w:r>
              <w:t xml:space="preserve">Privacy-tier design and payload-preview specification</w:t>
            </w:r>
          </w:p>
        </w:tc>
        <w:tc>
          <w:tcPr/>
          <w:p>
            <w:pPr>
              <w:pStyle w:val="Compact"/>
            </w:pPr>
            <w:r>
              <w:t xml:space="preserve">Once, before any AI feature is baselined</w:t>
            </w:r>
          </w:p>
        </w:tc>
        <w:tc>
          <w:tcPr/>
          <w:p>
            <w:pPr>
              <w:pStyle w:val="Compact"/>
            </w:pPr>
            <w:r>
              <w:t xml:space="preserve">Design review + ADR</w:t>
            </w:r>
          </w:p>
        </w:tc>
        <w:tc>
          <w:tcPr/>
          <w:p>
            <w:pPr>
              <w:pStyle w:val="Compact"/>
            </w:pPr>
            <w:r>
              <w:t xml:space="preserve">AI Engineer</w:t>
            </w:r>
          </w:p>
        </w:tc>
      </w:tr>
      <w:tr>
        <w:tc>
          <w:tcPr/>
          <w:p>
            <w:pPr>
              <w:pStyle w:val="Compact"/>
            </w:pPr>
            <w:r>
              <w:t xml:space="preserve">QA / Verification Engineer (STK-04)</w:t>
            </w:r>
          </w:p>
        </w:tc>
        <w:tc>
          <w:tcPr/>
          <w:p>
            <w:pPr>
              <w:pStyle w:val="Compact"/>
            </w:pPr>
            <w:r>
              <w:t xml:space="preserve">Golden-corpus coverage and release-gate criteria</w:t>
            </w:r>
          </w:p>
        </w:tc>
        <w:tc>
          <w:tcPr/>
          <w:p>
            <w:pPr>
              <w:pStyle w:val="Compact"/>
            </w:pPr>
            <w:r>
              <w:t xml:space="preserve">Per release gate</w:t>
            </w:r>
          </w:p>
        </w:tc>
        <w:tc>
          <w:tcPr/>
          <w:p>
            <w:pPr>
              <w:pStyle w:val="Compact"/>
            </w:pPr>
            <w:r>
              <w:t xml:space="preserve">Test-strategy review</w:t>
            </w:r>
          </w:p>
        </w:tc>
        <w:tc>
          <w:tcPr/>
          <w:p>
            <w:pPr>
              <w:pStyle w:val="Compact"/>
            </w:pPr>
            <w:r>
              <w:t xml:space="preserve">QA / Verification Engineer</w:t>
            </w:r>
          </w:p>
        </w:tc>
      </w:tr>
      <w:tr>
        <w:tc>
          <w:tcPr/>
          <w:p>
            <w:pPr>
              <w:pStyle w:val="Compact"/>
            </w:pPr>
            <w:r>
              <w:t xml:space="preserve">Design / UX Engineer (STK-05)</w:t>
            </w:r>
          </w:p>
        </w:tc>
        <w:tc>
          <w:tcPr/>
          <w:p>
            <w:pPr>
              <w:pStyle w:val="Compact"/>
            </w:pPr>
            <w:r>
              <w:t xml:space="preserve">Reader-flow and accessibility (WCAG 2.2 AA) review</w:t>
            </w:r>
          </w:p>
        </w:tc>
        <w:tc>
          <w:tcPr/>
          <w:p>
            <w:pPr>
              <w:pStyle w:val="Compact"/>
            </w:pPr>
            <w:r>
              <w:t xml:space="preserve">Per reader-facing phase gate</w:t>
            </w:r>
          </w:p>
        </w:tc>
        <w:tc>
          <w:tcPr/>
          <w:p>
            <w:pPr>
              <w:pStyle w:val="Compact"/>
            </w:pPr>
            <w:r>
              <w:t xml:space="preserve">UX review</w:t>
            </w:r>
          </w:p>
        </w:tc>
        <w:tc>
          <w:tcPr/>
          <w:p>
            <w:pPr>
              <w:pStyle w:val="Compact"/>
            </w:pPr>
            <w:r>
              <w:t xml:space="preserve">Design / UX Engineer</w:t>
            </w:r>
          </w:p>
        </w:tc>
      </w:tr>
    </w:tbl>
    <w:bookmarkEnd w:id="26"/>
    <w:bookmarkStart w:id="27" w:name="external-persona-representation"/>
    <w:p>
      <w:pPr>
        <w:pStyle w:val="Heading3"/>
      </w:pPr>
      <w:r>
        <w:t xml:space="preserve">External Persona Representation</w:t>
      </w:r>
    </w:p>
    <w:p>
      <w:pPr>
        <w:pStyle w:val="FirstParagraph"/>
      </w:pPr>
      <w:r>
        <w:t xml:space="preserve">These items are commitments the product surfaces to each persona once delivered. The owner is the internal role accountable for the surface. Cadence describes when the surface acts, not a scheduled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Stakeholder Group</w:t>
            </w:r>
          </w:p>
        </w:tc>
        <w:tc>
          <w:tcPr/>
          <w:p>
            <w:pPr>
              <w:pStyle w:val="Compact"/>
            </w:pPr>
            <w:r>
              <w:t xml:space="preserve">What</w:t>
            </w:r>
          </w:p>
        </w:tc>
        <w:tc>
          <w:tcPr/>
          <w:p>
            <w:pPr>
              <w:pStyle w:val="Compact"/>
            </w:pPr>
            <w:r>
              <w:t xml:space="preserve">Cadence</w:t>
            </w:r>
          </w:p>
        </w:tc>
        <w:tc>
          <w:tcPr/>
          <w:p>
            <w:pPr>
              <w:pStyle w:val="Compact"/>
            </w:pPr>
            <w:r>
              <w:t xml:space="preserve">Channel</w:t>
            </w:r>
          </w:p>
        </w:tc>
        <w:tc>
          <w:tcPr/>
          <w:p>
            <w:pPr>
              <w:pStyle w:val="Compact"/>
            </w:pPr>
            <w:r>
              <w:t xml:space="preserve">Owner</w:t>
            </w:r>
          </w:p>
        </w:tc>
      </w:tr>
      <w:tr>
        <w:tc>
          <w:tcPr/>
          <w:p>
            <w:pPr>
              <w:pStyle w:val="Compact"/>
            </w:pPr>
            <w:r>
              <w:t xml:space="preserve">Serious Reader (STK-06)</w:t>
            </w:r>
          </w:p>
        </w:tc>
        <w:tc>
          <w:tcPr/>
          <w:p>
            <w:pPr>
              <w:pStyle w:val="Compact"/>
            </w:pPr>
            <w:r>
              <w:t xml:space="preserve">Reading progress, shelves, and reading statistics</w:t>
            </w:r>
          </w:p>
        </w:tc>
        <w:tc>
          <w:tcPr/>
          <w:p>
            <w:pPr>
              <w:pStyle w:val="Compact"/>
            </w:pPr>
            <w:r>
              <w:t xml:space="preserve">Continuous, in product</w:t>
            </w:r>
          </w:p>
        </w:tc>
        <w:tc>
          <w:tcPr/>
          <w:p>
            <w:pPr>
              <w:pStyle w:val="Compact"/>
            </w:pPr>
            <w:r>
              <w:t xml:space="preserve">In-app library and reader views</w:t>
            </w:r>
          </w:p>
        </w:tc>
        <w:tc>
          <w:tcPr/>
          <w:p>
            <w:pPr>
              <w:pStyle w:val="Compact"/>
            </w:pPr>
            <w:r>
              <w:t xml:space="preserve">Design / UX Engineer</w:t>
            </w:r>
          </w:p>
        </w:tc>
      </w:tr>
      <w:tr>
        <w:tc>
          <w:tcPr/>
          <w:p>
            <w:pPr>
              <w:pStyle w:val="Compact"/>
            </w:pPr>
            <w:r>
              <w:t xml:space="preserve">Researcher (STK-07)</w:t>
            </w:r>
          </w:p>
        </w:tc>
        <w:tc>
          <w:tcPr/>
          <w:p>
            <w:pPr>
              <w:pStyle w:val="Compact"/>
            </w:pPr>
            <w:r>
              <w:t xml:space="preserve">Search results and AI-advisor recommendations with explanation and confidence</w:t>
            </w:r>
          </w:p>
        </w:tc>
        <w:tc>
          <w:tcPr/>
          <w:p>
            <w:pPr>
              <w:pStyle w:val="Compact"/>
            </w:pPr>
            <w:r>
              <w:t xml:space="preserve">On query, in product</w:t>
            </w:r>
          </w:p>
        </w:tc>
        <w:tc>
          <w:tcPr/>
          <w:p>
            <w:pPr>
              <w:pStyle w:val="Compact"/>
            </w:pPr>
            <w:r>
              <w:t xml:space="preserve">In-app search and advisor panels</w:t>
            </w:r>
          </w:p>
        </w:tc>
        <w:tc>
          <w:tcPr/>
          <w:p>
            <w:pPr>
              <w:pStyle w:val="Compact"/>
            </w:pPr>
            <w:r>
              <w:t xml:space="preserve">AI Engineer</w:t>
            </w:r>
          </w:p>
        </w:tc>
      </w:tr>
      <w:tr>
        <w:tc>
          <w:tcPr/>
          <w:p>
            <w:pPr>
              <w:pStyle w:val="Compact"/>
            </w:pPr>
            <w:r>
              <w:t xml:space="preserve">Collector (STK-08)</w:t>
            </w:r>
          </w:p>
        </w:tc>
        <w:tc>
          <w:tcPr/>
          <w:p>
            <w:pPr>
              <w:pStyle w:val="Compact"/>
            </w:pPr>
            <w:r>
              <w:t xml:space="preserve">Metadata write-back diff, backup confirmation, and restore option</w:t>
            </w:r>
          </w:p>
        </w:tc>
        <w:tc>
          <w:tcPr/>
          <w:p>
            <w:pPr>
              <w:pStyle w:val="Compact"/>
            </w:pPr>
            <w:r>
              <w:t xml:space="preserve">Per metadata write, in product</w:t>
            </w:r>
          </w:p>
        </w:tc>
        <w:tc>
          <w:tcPr/>
          <w:p>
            <w:pPr>
              <w:pStyle w:val="Compact"/>
            </w:pPr>
            <w:r>
              <w:t xml:space="preserve">In-app metadata editor</w:t>
            </w:r>
          </w:p>
        </w:tc>
        <w:tc>
          <w:tcPr/>
          <w:p>
            <w:pPr>
              <w:pStyle w:val="Compact"/>
            </w:pPr>
            <w:r>
              <w:t xml:space="preserve">Engineering Lead</w:t>
            </w:r>
          </w:p>
        </w:tc>
      </w:tr>
      <w:tr>
        <w:tc>
          <w:tcPr/>
          <w:p>
            <w:pPr>
              <w:pStyle w:val="Compact"/>
            </w:pPr>
            <w:r>
              <w:t xml:space="preserve">Power Librarian (STK-09)</w:t>
            </w:r>
          </w:p>
        </w:tc>
        <w:tc>
          <w:tcPr/>
          <w:p>
            <w:pPr>
              <w:pStyle w:val="Compact"/>
            </w:pPr>
            <w:r>
              <w:t xml:space="preserve">Library health dashboard (duplicates, missing metadata, unavailable files, broken covers)</w:t>
            </w:r>
          </w:p>
        </w:tc>
        <w:tc>
          <w:tcPr/>
          <w:p>
            <w:pPr>
              <w:pStyle w:val="Compact"/>
            </w:pPr>
            <w:r>
              <w:t xml:space="preserve">On open and after batch jobs</w:t>
            </w:r>
          </w:p>
        </w:tc>
        <w:tc>
          <w:tcPr/>
          <w:p>
            <w:pPr>
              <w:pStyle w:val="Compact"/>
            </w:pPr>
            <w:r>
              <w:t xml:space="preserve">In-app health dashboard</w:t>
            </w:r>
          </w:p>
        </w:tc>
        <w:tc>
          <w:tcPr/>
          <w:p>
            <w:pPr>
              <w:pStyle w:val="Compact"/>
            </w:pPr>
            <w:r>
              <w:t xml:space="preserve">Engineering Lead</w:t>
            </w:r>
          </w:p>
        </w:tc>
      </w:tr>
      <w:tr>
        <w:tc>
          <w:tcPr/>
          <w:p>
            <w:pPr>
              <w:pStyle w:val="Compact"/>
            </w:pPr>
            <w:r>
              <w:t xml:space="preserve">Privacy-Sensitive User (STK-10)</w:t>
            </w:r>
          </w:p>
        </w:tc>
        <w:tc>
          <w:tcPr/>
          <w:p>
            <w:pPr>
              <w:pStyle w:val="Compact"/>
            </w:pPr>
            <w:r>
              <w:t xml:space="preserve">Privacy labels and payload preview showing what an AI call would send</w:t>
            </w:r>
          </w:p>
        </w:tc>
        <w:tc>
          <w:tcPr/>
          <w:p>
            <w:pPr>
              <w:pStyle w:val="Compact"/>
            </w:pPr>
            <w:r>
              <w:t xml:space="preserve">Before each opt-in AI operation</w:t>
            </w:r>
          </w:p>
        </w:tc>
        <w:tc>
          <w:tcPr/>
          <w:p>
            <w:pPr>
              <w:pStyle w:val="Compact"/>
            </w:pPr>
            <w:r>
              <w:t xml:space="preserve">In-app privacy and payload-preview controls</w:t>
            </w:r>
          </w:p>
        </w:tc>
        <w:tc>
          <w:tcPr/>
          <w:p>
            <w:pPr>
              <w:pStyle w:val="Compact"/>
            </w:pPr>
            <w:r>
              <w:t xml:space="preserve">AI Engineer</w:t>
            </w:r>
          </w:p>
        </w:tc>
      </w:tr>
    </w:tbl>
    <w:p>
      <w:pPr>
        <w:pStyle w:val="BodyText"/>
      </w:pPr>
      <w:r>
        <w:rPr>
          <w:i/>
          <w:iCs/>
        </w:rPr>
        <w:t xml:space="preserve">The cadence values for external personas describe in-product behaviour rather than scheduled outbound messages, because Ogma Library is a local-first desktop application with no server-side notification channel in the MVP scope.</w:t>
      </w:r>
    </w:p>
    <w:bookmarkEnd w:id="27"/>
    <w:bookmarkEnd w:id="28"/>
    <w:bookmarkStart w:id="31" w:name="approval-matrix-for-ogma-library"/>
    <w:p>
      <w:pPr>
        <w:pStyle w:val="Heading2"/>
      </w:pPr>
      <w:r>
        <w:t xml:space="preserve">Approval Matrix for Ogma Library</w:t>
      </w:r>
    </w:p>
    <w:p>
      <w:pPr>
        <w:pStyle w:val="FirstParagraph"/>
      </w:pPr>
      <w:r>
        <w:t xml:space="preserve">This matrix records which role approves each engagement artefact and which gate the approval satisfies. It ties directly to the hybrid (Water-Scrum-Fall) governance model: a formal SRS baseline is signed off before development begins, then delivery proceeds across the 8 Agile build phases under release gates.</w:t>
      </w:r>
    </w:p>
    <w:p>
      <w:pPr>
        <w:pStyle w:val="BodyText"/>
      </w:pPr>
      <w:r>
        <w:t xml:space="preserve">Under the hybrid cross-cutting rule, the</w:t>
      </w:r>
      <w:r>
        <w:t xml:space="preserve"> </w:t>
      </w:r>
      <w:r>
        <w:rPr>
          <w:rStyle w:val="VerbatimChar"/>
        </w:rPr>
        <w:t xml:space="preserve">hybrid-synchronization</w:t>
      </w:r>
      <w:r>
        <w:t xml:space="preserve"> </w:t>
      </w:r>
      <w:r>
        <w:t xml:space="preserve">step runs after the Phase 02 Waterfall SRS is signed off and before any Phase 07 Agile artefact is generated; the kernel blocks Phase 07 outputs until</w:t>
      </w:r>
      <w:r>
        <w:t xml:space="preserve"> </w:t>
      </w:r>
      <w:r>
        <w:rPr>
          <w:rStyle w:val="VerbatimChar"/>
        </w:rPr>
        <w:t xml:space="preserve">python -m engine validate Ogma-Library</w:t>
      </w:r>
      <w:r>
        <w:t xml:space="preserve"> </w:t>
      </w:r>
      <w:r>
        <w:t xml:space="preserve">passes the hybrid gate.</w:t>
      </w:r>
    </w:p>
    <w:bookmarkStart w:id="29" w:name="approval-authority-by-artefact"/>
    <w:p>
      <w:pPr>
        <w:pStyle w:val="Heading3"/>
      </w:pPr>
      <w:r>
        <w:t xml:space="preserve">Approval Authority by Artefact</w:t>
      </w:r>
    </w:p>
    <w:p>
      <w:pPr>
        <w:pStyle w:val="FirstParagraph"/>
      </w:pPr>
      <w:r>
        <w:t xml:space="preserve">Each artefact has exactly one accountable approver. Other roles contribute as preparers or reviewers but do not hold sign-off authority.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Artefact</w:t>
            </w:r>
          </w:p>
        </w:tc>
        <w:tc>
          <w:tcPr/>
          <w:p>
            <w:pPr>
              <w:pStyle w:val="Compact"/>
            </w:pPr>
            <w:r>
              <w:t xml:space="preserve">Preparer</w:t>
            </w:r>
          </w:p>
        </w:tc>
        <w:tc>
          <w:tcPr/>
          <w:p>
            <w:pPr>
              <w:pStyle w:val="Compact"/>
            </w:pPr>
            <w:r>
              <w:t xml:space="preserve">Accountable Approver</w:t>
            </w:r>
          </w:p>
        </w:tc>
        <w:tc>
          <w:tcPr/>
          <w:p>
            <w:pPr>
              <w:pStyle w:val="Compact"/>
            </w:pPr>
            <w:r>
              <w:t xml:space="preserve">Gate</w:t>
            </w:r>
          </w:p>
        </w:tc>
      </w:tr>
      <w:tr>
        <w:tc>
          <w:tcPr/>
          <w:p>
            <w:pPr>
              <w:pStyle w:val="Compact"/>
            </w:pPr>
            <w:r>
              <w:t xml:space="preserve">Vision and Product Requirements Document (PRD)</w:t>
            </w:r>
          </w:p>
        </w:tc>
        <w:tc>
          <w:tcPr/>
          <w:p>
            <w:pPr>
              <w:pStyle w:val="Compact"/>
            </w:pPr>
            <w:r>
              <w:t xml:space="preserve">Product Owner</w:t>
            </w:r>
          </w:p>
        </w:tc>
        <w:tc>
          <w:tcPr/>
          <w:p>
            <w:pPr>
              <w:pStyle w:val="Compact"/>
            </w:pPr>
            <w:r>
              <w:t xml:space="preserve">Product Owner (STK-01)</w:t>
            </w:r>
          </w:p>
        </w:tc>
        <w:tc>
          <w:tcPr/>
          <w:p>
            <w:pPr>
              <w:pStyle w:val="Compact"/>
            </w:pPr>
            <w:r>
              <w:t xml:space="preserve">Phase 01 strategic-vision gate</w:t>
            </w:r>
          </w:p>
        </w:tc>
      </w:tr>
      <w:tr>
        <w:tc>
          <w:tcPr/>
          <w:p>
            <w:pPr>
              <w:pStyle w:val="Compact"/>
            </w:pPr>
            <w:r>
              <w:t xml:space="preserve">SRS baseline</w:t>
            </w:r>
          </w:p>
        </w:tc>
        <w:tc>
          <w:tcPr/>
          <w:p>
            <w:pPr>
              <w:pStyle w:val="Compact"/>
            </w:pPr>
            <w:r>
              <w:t xml:space="preserve">Engineering Lead with QA / Verification Engineer</w:t>
            </w:r>
          </w:p>
        </w:tc>
        <w:tc>
          <w:tcPr/>
          <w:p>
            <w:pPr>
              <w:pStyle w:val="Compact"/>
            </w:pPr>
            <w:r>
              <w:t xml:space="preserve">Product Owner (STK-01)</w:t>
            </w:r>
          </w:p>
        </w:tc>
        <w:tc>
          <w:tcPr/>
          <w:p>
            <w:pPr>
              <w:pStyle w:val="Compact"/>
            </w:pPr>
            <w:r>
              <w:t xml:space="preserve">Phase 02 SRS sign-off gate (hybrid baseline)</w:t>
            </w:r>
          </w:p>
        </w:tc>
      </w:tr>
      <w:tr>
        <w:tc>
          <w:tcPr/>
          <w:p>
            <w:pPr>
              <w:pStyle w:val="Compact"/>
            </w:pPr>
            <w:r>
              <w:t xml:space="preserve">Architecture ADRs</w:t>
            </w:r>
          </w:p>
        </w:tc>
        <w:tc>
          <w:tcPr/>
          <w:p>
            <w:pPr>
              <w:pStyle w:val="Compact"/>
            </w:pPr>
            <w:r>
              <w:t xml:space="preserve">Engineering Lead</w:t>
            </w:r>
          </w:p>
        </w:tc>
        <w:tc>
          <w:tcPr/>
          <w:p>
            <w:pPr>
              <w:pStyle w:val="Compact"/>
            </w:pPr>
            <w:r>
              <w:t xml:space="preserve">Product Owner (STK-01) ratifies; Engineering Lead (STK-02) authors</w:t>
            </w:r>
          </w:p>
        </w:tc>
        <w:tc>
          <w:tcPr/>
          <w:p>
            <w:pPr>
              <w:pStyle w:val="Compact"/>
            </w:pPr>
            <w:r>
              <w:t xml:space="preserve">Per-decision ADR ratification at the relevant phase gate</w:t>
            </w:r>
          </w:p>
        </w:tc>
      </w:tr>
      <w:tr>
        <w:tc>
          <w:tcPr/>
          <w:p>
            <w:pPr>
              <w:pStyle w:val="Compact"/>
            </w:pPr>
            <w:r>
              <w:t xml:space="preserve">AI gateway and privacy-tier specification</w:t>
            </w:r>
          </w:p>
        </w:tc>
        <w:tc>
          <w:tcPr/>
          <w:p>
            <w:pPr>
              <w:pStyle w:val="Compact"/>
            </w:pPr>
            <w:r>
              <w:t xml:space="preserve">AI Engineer</w:t>
            </w:r>
          </w:p>
        </w:tc>
        <w:tc>
          <w:tcPr/>
          <w:p>
            <w:pPr>
              <w:pStyle w:val="Compact"/>
            </w:pPr>
            <w:r>
              <w:t xml:space="preserve">Product Owner (STK-01) ratifies; AI Engineer (STK-03) authors</w:t>
            </w:r>
          </w:p>
        </w:tc>
        <w:tc>
          <w:tcPr/>
          <w:p>
            <w:pPr>
              <w:pStyle w:val="Compact"/>
            </w:pPr>
            <w:r>
              <w:t xml:space="preserve">Phase 0 AI-gateway spike-closure gate</w:t>
            </w:r>
          </w:p>
        </w:tc>
      </w:tr>
      <w:tr>
        <w:tc>
          <w:tcPr/>
          <w:p>
            <w:pPr>
              <w:pStyle w:val="Compact"/>
            </w:pPr>
            <w:r>
              <w:t xml:space="preserve">Phase 0 risk-spike outcomes (WebView bridge, PDFium, FTS5, AI gateway)</w:t>
            </w:r>
          </w:p>
        </w:tc>
        <w:tc>
          <w:tcPr/>
          <w:p>
            <w:pPr>
              <w:pStyle w:val="Compact"/>
            </w:pPr>
            <w:r>
              <w:t xml:space="preserve">Engineering Lead</w:t>
            </w:r>
          </w:p>
        </w:tc>
        <w:tc>
          <w:tcPr/>
          <w:p>
            <w:pPr>
              <w:pStyle w:val="Compact"/>
            </w:pPr>
            <w:r>
              <w:t xml:space="preserve">Product Owner (STK-01)</w:t>
            </w:r>
          </w:p>
        </w:tc>
        <w:tc>
          <w:tcPr/>
          <w:p>
            <w:pPr>
              <w:pStyle w:val="Compact"/>
            </w:pPr>
            <w:r>
              <w:t xml:space="preserve">Phase 0 spike-closure gate</w:t>
            </w:r>
          </w:p>
        </w:tc>
      </w:tr>
      <w:tr>
        <w:tc>
          <w:tcPr/>
          <w:p>
            <w:pPr>
              <w:pStyle w:val="Compact"/>
            </w:pPr>
            <w:r>
              <w:t xml:space="preserve">Test strategy and golden-corpus coverage</w:t>
            </w:r>
          </w:p>
        </w:tc>
        <w:tc>
          <w:tcPr/>
          <w:p>
            <w:pPr>
              <w:pStyle w:val="Compact"/>
            </w:pPr>
            <w:r>
              <w:t xml:space="preserve">QA / Verification Engineer</w:t>
            </w:r>
          </w:p>
        </w:tc>
        <w:tc>
          <w:tcPr/>
          <w:p>
            <w:pPr>
              <w:pStyle w:val="Compact"/>
            </w:pPr>
            <w:r>
              <w:t xml:space="preserve">QA / Verification Engineer (STK-04)</w:t>
            </w:r>
          </w:p>
        </w:tc>
        <w:tc>
          <w:tcPr/>
          <w:p>
            <w:pPr>
              <w:pStyle w:val="Compact"/>
            </w:pPr>
            <w:r>
              <w:t xml:space="preserve">Phase 02 to Phase 07 release gates</w:t>
            </w:r>
          </w:p>
        </w:tc>
      </w:tr>
      <w:tr>
        <w:tc>
          <w:tcPr/>
          <w:p>
            <w:pPr>
              <w:pStyle w:val="Compact"/>
            </w:pPr>
            <w:r>
              <w:t xml:space="preserve">Release readiness per phase</w:t>
            </w:r>
          </w:p>
        </w:tc>
        <w:tc>
          <w:tcPr/>
          <w:p>
            <w:pPr>
              <w:pStyle w:val="Compact"/>
            </w:pPr>
            <w:r>
              <w:t xml:space="preserve">QA / Verification Engineer</w:t>
            </w:r>
          </w:p>
        </w:tc>
        <w:tc>
          <w:tcPr/>
          <w:p>
            <w:pPr>
              <w:pStyle w:val="Compact"/>
            </w:pPr>
            <w:r>
              <w:t xml:space="preserve">Product Owner (STK-01)</w:t>
            </w:r>
          </w:p>
        </w:tc>
        <w:tc>
          <w:tcPr/>
          <w:p>
            <w:pPr>
              <w:pStyle w:val="Compact"/>
            </w:pPr>
            <w:r>
              <w:t xml:space="preserve">Per-phase release gate (Phase 0 to Phase 7)</w:t>
            </w:r>
          </w:p>
        </w:tc>
      </w:tr>
      <w:tr>
        <w:tc>
          <w:tcPr/>
          <w:p>
            <w:pPr>
              <w:pStyle w:val="Compact"/>
            </w:pPr>
            <w:r>
              <w:t xml:space="preserve">Hybrid synchronization closure</w:t>
            </w:r>
          </w:p>
        </w:tc>
        <w:tc>
          <w:tcPr/>
          <w:p>
            <w:pPr>
              <w:pStyle w:val="Compact"/>
            </w:pPr>
            <w:r>
              <w:t xml:space="preserve">Engineering Lead</w:t>
            </w:r>
          </w:p>
        </w:tc>
        <w:tc>
          <w:tcPr/>
          <w:p>
            <w:pPr>
              <w:pStyle w:val="Compact"/>
            </w:pPr>
            <w:r>
              <w:t xml:space="preserve">Product Owner (STK-01)</w:t>
            </w:r>
          </w:p>
        </w:tc>
        <w:tc>
          <w:tcPr/>
          <w:p>
            <w:pPr>
              <w:pStyle w:val="Compact"/>
            </w:pPr>
            <w:r>
              <w:t xml:space="preserve">Hybrid gate, between Phase 02 sign-off and Phase 07</w:t>
            </w:r>
          </w:p>
        </w:tc>
      </w:tr>
      <w:tr>
        <w:tc>
          <w:tcPr/>
          <w:p>
            <w:pPr>
              <w:pStyle w:val="Compact"/>
            </w:pPr>
            <w:r>
              <w:t xml:space="preserve">Change Impact Analysis for baselined FR/NFR/CTRL change</w:t>
            </w:r>
          </w:p>
        </w:tc>
        <w:tc>
          <w:tcPr/>
          <w:p>
            <w:pPr>
              <w:pStyle w:val="Compact"/>
            </w:pPr>
            <w:r>
              <w:t xml:space="preserve">Engineering Lead</w:t>
            </w:r>
          </w:p>
        </w:tc>
        <w:tc>
          <w:tcPr/>
          <w:p>
            <w:pPr>
              <w:pStyle w:val="Compact"/>
            </w:pPr>
            <w:r>
              <w:t xml:space="preserve">Product Owner (STK-01)</w:t>
            </w:r>
          </w:p>
        </w:tc>
        <w:tc>
          <w:tcPr/>
          <w:p>
            <w:pPr>
              <w:pStyle w:val="Compact"/>
            </w:pPr>
            <w:r>
              <w:t xml:space="preserve">Any gate where a baselined item changes</w:t>
            </w:r>
          </w:p>
        </w:tc>
      </w:tr>
      <w:tr>
        <w:tc>
          <w:tcPr/>
          <w:p>
            <w:pPr>
              <w:pStyle w:val="Compact"/>
            </w:pPr>
            <w:r>
              <w:t xml:space="preserve">Launch readiness</w:t>
            </w:r>
          </w:p>
        </w:tc>
        <w:tc>
          <w:tcPr/>
          <w:p>
            <w:pPr>
              <w:pStyle w:val="Compact"/>
            </w:pPr>
            <w:r>
              <w:t xml:space="preserve">QA / Verification Engineer with Design / UX Engineer</w:t>
            </w:r>
          </w:p>
        </w:tc>
        <w:tc>
          <w:tcPr/>
          <w:p>
            <w:pPr>
              <w:pStyle w:val="Compact"/>
            </w:pPr>
            <w:r>
              <w:t xml:space="preserve">Product Owner (STK-01)</w:t>
            </w:r>
          </w:p>
        </w:tc>
        <w:tc>
          <w:tcPr/>
          <w:p>
            <w:pPr>
              <w:pStyle w:val="Compact"/>
            </w:pPr>
            <w:r>
              <w:t xml:space="preserve">Phase 07 launch gate</w:t>
            </w:r>
          </w:p>
        </w:tc>
      </w:tr>
    </w:tbl>
    <w:bookmarkEnd w:id="29"/>
    <w:bookmarkStart w:id="30" w:name="approval-rules"/>
    <w:p>
      <w:pPr>
        <w:pStyle w:val="Heading3"/>
      </w:pPr>
      <w:r>
        <w:t xml:space="preserve">Approval Rules</w:t>
      </w:r>
    </w:p>
    <w:p>
      <w:pPr>
        <w:pStyle w:val="Compact"/>
        <w:numPr>
          <w:ilvl w:val="0"/>
          <w:numId w:val="1003"/>
        </w:numPr>
      </w:pPr>
      <w:r>
        <w:t xml:space="preserve">Exactly one role is accountable for each artefact. Where an artefact lists a separate author and ratifier (ADRs, AI specification), the author produces and owns the technical content and the Product Owner ratifies acceptance at the gate.</w:t>
      </w:r>
    </w:p>
    <w:p>
      <w:pPr>
        <w:pStyle w:val="Compact"/>
        <w:numPr>
          <w:ilvl w:val="0"/>
          <w:numId w:val="1003"/>
        </w:numPr>
      </w:pPr>
      <w:r>
        <w:t xml:space="preserve">No Phase 07 launch artefact may be generated until the hybrid gate passes, per the cross-cutting rule.</w:t>
      </w:r>
    </w:p>
    <w:p>
      <w:pPr>
        <w:pStyle w:val="Compact"/>
        <w:numPr>
          <w:ilvl w:val="0"/>
          <w:numId w:val="1003"/>
        </w:numPr>
      </w:pPr>
      <w:r>
        <w:t xml:space="preserve">Any change to a baselined FR, non-functional requirement (NFR), or control (CTRL) requires a Change Impact Analysis entry with a rollback plan before the change is accepted.</w:t>
      </w:r>
    </w:p>
    <w:p>
      <w:pPr>
        <w:pStyle w:val="Compact"/>
        <w:numPr>
          <w:ilvl w:val="0"/>
          <w:numId w:val="1003"/>
        </w:numPr>
      </w:pPr>
      <w:r>
        <w:t xml:space="preserve">Each gate sign-off is recorded in the sign-off ledger before the next phase begins, and each phase closure produces a baseline snapshot.</w:t>
      </w:r>
    </w:p>
    <w:p>
      <w:pPr>
        <w:pStyle w:val="FirstParagraph"/>
      </w:pPr>
      <w:r>
        <w:rPr>
          <w:i/>
          <w:iCs/>
        </w:rPr>
        <w:t xml:space="preserve">Because the Product Owner and the Chwezi Core Systems executive function are currently the same individual, the Product Owner is the terminal approver for every artefact.</w:t>
      </w:r>
      <w:r>
        <w:rPr>
          <w:i/>
          <w:iCs/>
        </w:rPr>
        <w:t xml:space="preserve"> </w:t>
      </w:r>
      <w:r>
        <w:rPr>
          <w:rStyle w:val="VerbatimChar"/>
          <w:i/>
          <w:iCs/>
        </w:rPr>
        <w:t xml:space="preserve">[CONTEXT-GAP: independent approver for SRS baseline]</w:t>
      </w:r>
      <w:r>
        <w:rPr>
          <w:i/>
          <w:iCs/>
        </w:rPr>
        <w:t xml:space="preserve"> </w:t>
      </w:r>
      <w:r>
        <w:rPr>
          <w:i/>
          <w:iCs/>
        </w:rPr>
        <w:t xml:space="preserve">— if independent sign-off is required (for example, a separate technical authority or an external reviewer), name that role here before the Phase 02 sign-off gate so a second accountable approver can be recorded.</w:t>
      </w:r>
    </w:p>
    <w:bookmarkEnd w:id="30"/>
    <w:bookmarkEnd w:id="31"/>
    <w:bookmarkStart w:id="36" w:name="raci-matrix-for-ogma-library"/>
    <w:p>
      <w:pPr>
        <w:pStyle w:val="Heading2"/>
      </w:pPr>
      <w:r>
        <w:t xml:space="preserve">RACI Matrix for Ogma Library</w:t>
      </w:r>
    </w:p>
    <w:p>
      <w:pPr>
        <w:pStyle w:val="FirstParagraph"/>
      </w:pPr>
      <w:r>
        <w:t xml:space="preserve">This matrix assigns Responsible, Accountable, Consulted, and Informed (RACI) roles across the 7 core engagement activities. Each cell holds a single RACI code; where a role has no involvement, the cell is left blank.</w:t>
      </w:r>
    </w:p>
    <w:bookmarkStart w:id="32" w:name="raci-definitions"/>
    <w:p>
      <w:pPr>
        <w:pStyle w:val="Heading3"/>
      </w:pPr>
      <w:r>
        <w:t xml:space="preserve">RACI Definitions</w:t>
      </w:r>
    </w:p>
    <w:p>
      <w:pPr>
        <w:pStyle w:val="FirstParagraph"/>
      </w:pPr>
      <w:r>
        <w:t xml:space="preserve">RACI definitions follow the organisational responsibility model of IEEE Std 610.12-1990.</w:t>
      </w:r>
    </w:p>
    <w:p>
      <w:pPr>
        <w:pStyle w:val="Compact"/>
        <w:numPr>
          <w:ilvl w:val="0"/>
          <w:numId w:val="1004"/>
        </w:numPr>
      </w:pPr>
      <w:r>
        <w:rPr>
          <w:b/>
          <w:bCs/>
        </w:rPr>
        <w:t xml:space="preserve">R</w:t>
      </w:r>
      <w:r>
        <w:t xml:space="preserve"> </w:t>
      </w:r>
      <w:r>
        <w:t xml:space="preserve">— Responsible: executes the activity or produces the artefact.</w:t>
      </w:r>
    </w:p>
    <w:p>
      <w:pPr>
        <w:pStyle w:val="Compact"/>
        <w:numPr>
          <w:ilvl w:val="0"/>
          <w:numId w:val="1004"/>
        </w:numPr>
      </w:pPr>
      <w:r>
        <w:rPr>
          <w:b/>
          <w:bCs/>
        </w:rPr>
        <w:t xml:space="preserve">A</w:t>
      </w:r>
      <w:r>
        <w:t xml:space="preserve"> </w:t>
      </w:r>
      <w:r>
        <w:t xml:space="preserve">— Accountable: owns the outcome and holds final sign-off authority. Exactly one</w:t>
      </w:r>
      <w:r>
        <w:t xml:space="preserve"> </w:t>
      </w:r>
      <w:r>
        <w:rPr>
          <w:i/>
          <w:iCs/>
        </w:rPr>
        <w:t xml:space="preserve">A</w:t>
      </w:r>
      <w:r>
        <w:t xml:space="preserve"> </w:t>
      </w:r>
      <w:r>
        <w:t xml:space="preserve">per row.</w:t>
      </w:r>
    </w:p>
    <w:p>
      <w:pPr>
        <w:pStyle w:val="Compact"/>
        <w:numPr>
          <w:ilvl w:val="0"/>
          <w:numId w:val="1004"/>
        </w:numPr>
      </w:pPr>
      <w:r>
        <w:rPr>
          <w:b/>
          <w:bCs/>
        </w:rPr>
        <w:t xml:space="preserve">C</w:t>
      </w:r>
      <w:r>
        <w:t xml:space="preserve"> </w:t>
      </w:r>
      <w:r>
        <w:t xml:space="preserve">— Consulted: provides input before the decision is made; two-way communication.</w:t>
      </w:r>
    </w:p>
    <w:p>
      <w:pPr>
        <w:pStyle w:val="Compact"/>
        <w:numPr>
          <w:ilvl w:val="0"/>
          <w:numId w:val="1004"/>
        </w:numPr>
      </w:pPr>
      <w:r>
        <w:rPr>
          <w:b/>
          <w:bCs/>
        </w:rPr>
        <w:t xml:space="preserve">I</w:t>
      </w:r>
      <w:r>
        <w:t xml:space="preserve"> </w:t>
      </w:r>
      <w:r>
        <w:t xml:space="preserve">— Informed: notified of the outcome; one-way communication.</w:t>
      </w:r>
    </w:p>
    <w:bookmarkEnd w:id="32"/>
    <w:bookmarkStart w:id="33" w:name="raci-roles"/>
    <w:p>
      <w:pPr>
        <w:pStyle w:val="Heading3"/>
      </w:pPr>
      <w:r>
        <w:t xml:space="preserve">RACI Roles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Role</w:t>
            </w:r>
          </w:p>
        </w:tc>
        <w:tc>
          <w:tcPr/>
          <w:p>
            <w:pPr>
              <w:pStyle w:val="Compact"/>
            </w:pPr>
            <w:r>
              <w:t xml:space="preserve">Holder</w:t>
            </w:r>
          </w:p>
        </w:tc>
      </w:tr>
      <w:tr>
        <w:tc>
          <w:tcPr/>
          <w:p>
            <w:pPr>
              <w:pStyle w:val="Compact"/>
            </w:pPr>
            <w:r>
              <w:t xml:space="preserve">PO</w:t>
            </w:r>
          </w:p>
        </w:tc>
        <w:tc>
          <w:tcPr/>
          <w:p>
            <w:pPr>
              <w:pStyle w:val="Compact"/>
            </w:pPr>
            <w:r>
              <w:t xml:space="preserve">Product Owner</w:t>
            </w:r>
          </w:p>
        </w:tc>
        <w:tc>
          <w:tcPr/>
          <w:p>
            <w:pPr>
              <w:pStyle w:val="Compact"/>
            </w:pPr>
            <w:r>
              <w:t xml:space="preserve">Peter Bamuhigire, Chwezi Core Systems</w:t>
            </w:r>
          </w:p>
        </w:tc>
      </w:tr>
      <w:tr>
        <w:tc>
          <w:tcPr/>
          <w:p>
            <w:pPr>
              <w:pStyle w:val="Compact"/>
            </w:pPr>
            <w:r>
              <w:t xml:space="preserve">EL</w:t>
            </w:r>
          </w:p>
        </w:tc>
        <w:tc>
          <w:tcPr/>
          <w:p>
            <w:pPr>
              <w:pStyle w:val="Compact"/>
            </w:pPr>
            <w:r>
              <w:t xml:space="preserve">Engineering Lead</w:t>
            </w:r>
          </w:p>
        </w:tc>
        <w:tc>
          <w:tcPr/>
          <w:p>
            <w:pPr>
              <w:pStyle w:val="Compact"/>
            </w:pPr>
            <w:r>
              <w:t xml:space="preserve">Internal delivery team</w:t>
            </w:r>
          </w:p>
        </w:tc>
      </w:tr>
      <w:tr>
        <w:tc>
          <w:tcPr/>
          <w:p>
            <w:pPr>
              <w:pStyle w:val="Compact"/>
            </w:pPr>
            <w:r>
              <w:t xml:space="preserve">AI</w:t>
            </w:r>
          </w:p>
        </w:tc>
        <w:tc>
          <w:tcPr/>
          <w:p>
            <w:pPr>
              <w:pStyle w:val="Compact"/>
            </w:pPr>
            <w:r>
              <w:t xml:space="preserve">AI Engineer</w:t>
            </w:r>
          </w:p>
        </w:tc>
        <w:tc>
          <w:tcPr/>
          <w:p>
            <w:pPr>
              <w:pStyle w:val="Compact"/>
            </w:pPr>
            <w:r>
              <w:t xml:space="preserve">Internal delivery team</w:t>
            </w:r>
          </w:p>
        </w:tc>
      </w:tr>
      <w:tr>
        <w:tc>
          <w:tcPr/>
          <w:p>
            <w:pPr>
              <w:pStyle w:val="Compact"/>
            </w:pPr>
            <w:r>
              <w:t xml:space="preserve">QA</w:t>
            </w:r>
          </w:p>
        </w:tc>
        <w:tc>
          <w:tcPr/>
          <w:p>
            <w:pPr>
              <w:pStyle w:val="Compact"/>
            </w:pPr>
            <w:r>
              <w:t xml:space="preserve">QA / Verification Engineer</w:t>
            </w:r>
          </w:p>
        </w:tc>
        <w:tc>
          <w:tcPr/>
          <w:p>
            <w:pPr>
              <w:pStyle w:val="Compact"/>
            </w:pPr>
            <w:r>
              <w:t xml:space="preserve">Internal delivery team</w:t>
            </w:r>
          </w:p>
        </w:tc>
      </w:tr>
      <w:tr>
        <w:tc>
          <w:tcPr/>
          <w:p>
            <w:pPr>
              <w:pStyle w:val="Compact"/>
            </w:pPr>
            <w:r>
              <w:t xml:space="preserve">UX</w:t>
            </w:r>
          </w:p>
        </w:tc>
        <w:tc>
          <w:tcPr/>
          <w:p>
            <w:pPr>
              <w:pStyle w:val="Compact"/>
            </w:pPr>
            <w:r>
              <w:t xml:space="preserve">Design / UX Engineer</w:t>
            </w:r>
          </w:p>
        </w:tc>
        <w:tc>
          <w:tcPr/>
          <w:p>
            <w:pPr>
              <w:pStyle w:val="Compact"/>
            </w:pPr>
            <w:r>
              <w:t xml:space="preserve">Internal delivery team</w:t>
            </w:r>
          </w:p>
        </w:tc>
      </w:tr>
    </w:tbl>
    <w:p>
      <w:pPr>
        <w:pStyle w:val="BodyText"/>
      </w:pPr>
      <w:r>
        <w:t xml:space="preserve">The 5 external user personas (Serious Reader, Researcher, Collector, Power Librarian, Privacy-Sensitive User) are</w:t>
      </w:r>
      <w:r>
        <w:t xml:space="preserve"> </w:t>
      </w:r>
      <w:r>
        <w:rPr>
          <w:i/>
          <w:iCs/>
        </w:rPr>
        <w:t xml:space="preserve">Informed</w:t>
      </w:r>
      <w:r>
        <w:t xml:space="preserve"> </w:t>
      </w:r>
      <w:r>
        <w:t xml:space="preserve">across all activities through validation evidence and in-product surfaces; they are omitted from the table columns to keep exactly one accountable role per row.</w:t>
      </w:r>
    </w:p>
    <w:bookmarkEnd w:id="33"/>
    <w:bookmarkStart w:id="34" w:name="raci-table"/>
    <w:p>
      <w:pPr>
        <w:pStyle w:val="Heading3"/>
      </w:pPr>
      <w:r>
        <w:t xml:space="preserve">RACI Table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Activity</w:t>
            </w:r>
          </w:p>
        </w:tc>
        <w:tc>
          <w:tcPr/>
          <w:p>
            <w:pPr>
              <w:pStyle w:val="Compact"/>
            </w:pPr>
            <w:r>
              <w:t xml:space="preserve">PO</w:t>
            </w:r>
          </w:p>
        </w:tc>
        <w:tc>
          <w:tcPr/>
          <w:p>
            <w:pPr>
              <w:pStyle w:val="Compact"/>
            </w:pPr>
            <w:r>
              <w:t xml:space="preserve">EL</w:t>
            </w:r>
          </w:p>
        </w:tc>
        <w:tc>
          <w:tcPr/>
          <w:p>
            <w:pPr>
              <w:pStyle w:val="Compact"/>
            </w:pPr>
            <w:r>
              <w:t xml:space="preserve">AI</w:t>
            </w:r>
          </w:p>
        </w:tc>
        <w:tc>
          <w:tcPr/>
          <w:p>
            <w:pPr>
              <w:pStyle w:val="Compact"/>
            </w:pPr>
            <w:r>
              <w:t xml:space="preserve">QA</w:t>
            </w:r>
          </w:p>
        </w:tc>
        <w:tc>
          <w:tcPr/>
          <w:p>
            <w:pPr>
              <w:pStyle w:val="Compact"/>
            </w:pPr>
            <w:r>
              <w:t xml:space="preserve">UX</w:t>
            </w:r>
          </w:p>
        </w:tc>
      </w:tr>
      <w:tr>
        <w:tc>
          <w:tcPr/>
          <w:p>
            <w:pPr>
              <w:pStyle w:val="Compact"/>
            </w:pPr>
            <w:r>
              <w:t xml:space="preserve">Vision and PRD</w:t>
            </w:r>
          </w:p>
        </w:tc>
        <w:tc>
          <w:tcPr/>
          <w:p>
            <w:pPr>
              <w:pStyle w:val="Compact"/>
            </w:pPr>
            <w:r>
              <w:rPr>
                <w:b/>
                <w:bCs/>
              </w:rPr>
              <w:t xml:space="preserve">A</w:t>
            </w:r>
          </w:p>
        </w:tc>
        <w:tc>
          <w:tcPr/>
          <w:p>
            <w:pPr>
              <w:pStyle w:val="Compact"/>
            </w:pPr>
            <w:r>
              <w:rPr>
                <w:b/>
                <w:bCs/>
              </w:rPr>
              <w:t xml:space="preserve">C</w:t>
            </w:r>
          </w:p>
        </w:tc>
        <w:tc>
          <w:tcPr/>
          <w:p>
            <w:pPr>
              <w:pStyle w:val="Compact"/>
            </w:pPr>
            <w:r>
              <w:rPr>
                <w:b/>
                <w:bCs/>
              </w:rPr>
              <w:t xml:space="preserve">C</w:t>
            </w:r>
          </w:p>
        </w:tc>
        <w:tc>
          <w:tcPr/>
          <w:p>
            <w:pPr>
              <w:pStyle w:val="Compact"/>
            </w:pPr>
            <w:r>
              <w:rPr>
                <w:b/>
                <w:bCs/>
              </w:rPr>
              <w:t xml:space="preserve">I</w:t>
            </w:r>
          </w:p>
        </w:tc>
        <w:tc>
          <w:tcPr/>
          <w:p>
            <w:pPr>
              <w:pStyle w:val="Compact"/>
            </w:pPr>
            <w:r>
              <w:rPr>
                <w:b/>
                <w:bCs/>
              </w:rPr>
              <w:t xml:space="preserve">C</w:t>
            </w:r>
          </w:p>
        </w:tc>
      </w:tr>
      <w:tr>
        <w:tc>
          <w:tcPr/>
          <w:p>
            <w:pPr>
              <w:pStyle w:val="Compact"/>
            </w:pPr>
            <w:r>
              <w:t xml:space="preserve">SRS baseline</w:t>
            </w:r>
          </w:p>
        </w:tc>
        <w:tc>
          <w:tcPr/>
          <w:p>
            <w:pPr>
              <w:pStyle w:val="Compact"/>
            </w:pPr>
            <w:r>
              <w:rPr>
                <w:b/>
                <w:bCs/>
              </w:rPr>
              <w:t xml:space="preserve">A</w:t>
            </w:r>
          </w:p>
        </w:tc>
        <w:tc>
          <w:tcPr/>
          <w:p>
            <w:pPr>
              <w:pStyle w:val="Compact"/>
            </w:pPr>
            <w:r>
              <w:rPr>
                <w:b/>
                <w:bCs/>
              </w:rPr>
              <w:t xml:space="preserve">R</w:t>
            </w:r>
          </w:p>
        </w:tc>
        <w:tc>
          <w:tcPr/>
          <w:p>
            <w:pPr>
              <w:pStyle w:val="Compact"/>
            </w:pPr>
            <w:r>
              <w:rPr>
                <w:b/>
                <w:bCs/>
              </w:rPr>
              <w:t xml:space="preserve">C</w:t>
            </w:r>
          </w:p>
        </w:tc>
        <w:tc>
          <w:tcPr/>
          <w:p>
            <w:pPr>
              <w:pStyle w:val="Compact"/>
            </w:pPr>
            <w:r>
              <w:rPr>
                <w:b/>
                <w:bCs/>
              </w:rPr>
              <w:t xml:space="preserve">R</w:t>
            </w:r>
          </w:p>
        </w:tc>
        <w:tc>
          <w:tcPr/>
          <w:p>
            <w:pPr>
              <w:pStyle w:val="Compact"/>
            </w:pPr>
            <w:r>
              <w:rPr>
                <w:b/>
                <w:bCs/>
              </w:rPr>
              <w:t xml:space="preserve">C</w:t>
            </w:r>
          </w:p>
        </w:tc>
      </w:tr>
      <w:tr>
        <w:tc>
          <w:tcPr/>
          <w:p>
            <w:pPr>
              <w:pStyle w:val="Compact"/>
            </w:pPr>
            <w:r>
              <w:t xml:space="preserve">Architecture ADRs</w:t>
            </w:r>
          </w:p>
        </w:tc>
        <w:tc>
          <w:tcPr/>
          <w:p>
            <w:pPr>
              <w:pStyle w:val="Compact"/>
            </w:pPr>
            <w:r>
              <w:rPr>
                <w:b/>
                <w:bCs/>
              </w:rPr>
              <w:t xml:space="preserve">A</w:t>
            </w:r>
          </w:p>
        </w:tc>
        <w:tc>
          <w:tcPr/>
          <w:p>
            <w:pPr>
              <w:pStyle w:val="Compact"/>
            </w:pPr>
            <w:r>
              <w:rPr>
                <w:b/>
                <w:bCs/>
              </w:rPr>
              <w:t xml:space="preserve">R</w:t>
            </w:r>
          </w:p>
        </w:tc>
        <w:tc>
          <w:tcPr/>
          <w:p>
            <w:pPr>
              <w:pStyle w:val="Compact"/>
            </w:pPr>
            <w:r>
              <w:rPr>
                <w:b/>
                <w:bCs/>
              </w:rPr>
              <w:t xml:space="preserve">C</w:t>
            </w:r>
          </w:p>
        </w:tc>
        <w:tc>
          <w:tcPr/>
          <w:p>
            <w:pPr>
              <w:pStyle w:val="Compact"/>
            </w:pPr>
            <w:r>
              <w:rPr>
                <w:b/>
                <w:bCs/>
              </w:rPr>
              <w:t xml:space="preserve">I</w:t>
            </w:r>
          </w:p>
        </w:tc>
        <w:tc>
          <w:tcPr/>
          <w:p>
            <w:pPr>
              <w:pStyle w:val="Compact"/>
            </w:pPr>
            <w:r>
              <w:rPr>
                <w:b/>
                <w:bCs/>
              </w:rPr>
              <w:t xml:space="preserve">C</w:t>
            </w:r>
          </w:p>
        </w:tc>
      </w:tr>
      <w:tr>
        <w:tc>
          <w:tcPr/>
          <w:p>
            <w:pPr>
              <w:pStyle w:val="Compact"/>
            </w:pPr>
            <w:r>
              <w:t xml:space="preserve">Phase 0 risk spikes</w:t>
            </w:r>
          </w:p>
        </w:tc>
        <w:tc>
          <w:tcPr/>
          <w:p>
            <w:pPr>
              <w:pStyle w:val="Compact"/>
            </w:pPr>
            <w:r>
              <w:rPr>
                <w:b/>
                <w:bCs/>
              </w:rPr>
              <w:t xml:space="preserve">A</w:t>
            </w:r>
          </w:p>
        </w:tc>
        <w:tc>
          <w:tcPr/>
          <w:p>
            <w:pPr>
              <w:pStyle w:val="Compact"/>
            </w:pPr>
            <w:r>
              <w:rPr>
                <w:b/>
                <w:bCs/>
              </w:rPr>
              <w:t xml:space="preserve">R</w:t>
            </w:r>
          </w:p>
        </w:tc>
        <w:tc>
          <w:tcPr/>
          <w:p>
            <w:pPr>
              <w:pStyle w:val="Compact"/>
            </w:pPr>
            <w:r>
              <w:rPr>
                <w:b/>
                <w:bCs/>
              </w:rPr>
              <w:t xml:space="preserve">R</w:t>
            </w:r>
          </w:p>
        </w:tc>
        <w:tc>
          <w:tcPr/>
          <w:p>
            <w:pPr>
              <w:pStyle w:val="Compact"/>
            </w:pPr>
            <w:r>
              <w:rPr>
                <w:b/>
                <w:bCs/>
              </w:rPr>
              <w:t xml:space="preserve">C</w:t>
            </w:r>
          </w:p>
        </w:tc>
        <w:tc>
          <w:tcPr/>
          <w:p>
            <w:pPr>
              <w:pStyle w:val="Compact"/>
            </w:pPr>
            <w:r>
              <w:rPr>
                <w:b/>
                <w:bCs/>
              </w:rPr>
              <w:t xml:space="preserve">I</w:t>
            </w:r>
          </w:p>
        </w:tc>
      </w:tr>
      <w:tr>
        <w:tc>
          <w:tcPr/>
          <w:p>
            <w:pPr>
              <w:pStyle w:val="Compact"/>
            </w:pPr>
            <w:r>
              <w:t xml:space="preserve">Test strategy</w:t>
            </w:r>
          </w:p>
        </w:tc>
        <w:tc>
          <w:tcPr/>
          <w:p>
            <w:pPr>
              <w:pStyle w:val="Compact"/>
            </w:pPr>
            <w:r>
              <w:rPr>
                <w:b/>
                <w:bCs/>
              </w:rPr>
              <w:t xml:space="preserve">C</w:t>
            </w:r>
          </w:p>
        </w:tc>
        <w:tc>
          <w:tcPr/>
          <w:p>
            <w:pPr>
              <w:pStyle w:val="Compact"/>
            </w:pPr>
            <w:r>
              <w:rPr>
                <w:b/>
                <w:bCs/>
              </w:rPr>
              <w:t xml:space="preserve">C</w:t>
            </w:r>
          </w:p>
        </w:tc>
        <w:tc>
          <w:tcPr/>
          <w:p>
            <w:pPr>
              <w:pStyle w:val="Compact"/>
            </w:pPr>
            <w:r>
              <w:rPr>
                <w:b/>
                <w:bCs/>
              </w:rPr>
              <w:t xml:space="preserve">C</w:t>
            </w:r>
          </w:p>
        </w:tc>
        <w:tc>
          <w:tcPr/>
          <w:p>
            <w:pPr>
              <w:pStyle w:val="Compact"/>
            </w:pPr>
            <w:r>
              <w:rPr>
                <w:b/>
                <w:bCs/>
              </w:rPr>
              <w:t xml:space="preserve">A</w:t>
            </w:r>
          </w:p>
        </w:tc>
        <w:tc>
          <w:tcPr/>
          <w:p>
            <w:pPr>
              <w:pStyle w:val="Compact"/>
            </w:pPr>
            <w:r>
              <w:rPr>
                <w:b/>
                <w:bCs/>
              </w:rPr>
              <w:t xml:space="preserve">I</w:t>
            </w:r>
          </w:p>
        </w:tc>
      </w:tr>
      <w:tr>
        <w:tc>
          <w:tcPr/>
          <w:p>
            <w:pPr>
              <w:pStyle w:val="Compact"/>
            </w:pPr>
            <w:r>
              <w:t xml:space="preserve">Release gates</w:t>
            </w:r>
          </w:p>
        </w:tc>
        <w:tc>
          <w:tcPr/>
          <w:p>
            <w:pPr>
              <w:pStyle w:val="Compact"/>
            </w:pPr>
            <w:r>
              <w:rPr>
                <w:b/>
                <w:bCs/>
              </w:rPr>
              <w:t xml:space="preserve">A</w:t>
            </w:r>
          </w:p>
        </w:tc>
        <w:tc>
          <w:tcPr/>
          <w:p>
            <w:pPr>
              <w:pStyle w:val="Compact"/>
            </w:pPr>
            <w:r>
              <w:rPr>
                <w:b/>
                <w:bCs/>
              </w:rPr>
              <w:t xml:space="preserve">C</w:t>
            </w:r>
          </w:p>
        </w:tc>
        <w:tc>
          <w:tcPr/>
          <w:p>
            <w:pPr>
              <w:pStyle w:val="Compact"/>
            </w:pPr>
            <w:r>
              <w:rPr>
                <w:b/>
                <w:bCs/>
              </w:rPr>
              <w:t xml:space="preserve">C</w:t>
            </w:r>
          </w:p>
        </w:tc>
        <w:tc>
          <w:tcPr/>
          <w:p>
            <w:pPr>
              <w:pStyle w:val="Compact"/>
            </w:pPr>
            <w:r>
              <w:rPr>
                <w:b/>
                <w:bCs/>
              </w:rPr>
              <w:t xml:space="preserve">R</w:t>
            </w:r>
          </w:p>
        </w:tc>
        <w:tc>
          <w:tcPr/>
          <w:p>
            <w:pPr>
              <w:pStyle w:val="Compact"/>
            </w:pPr>
            <w:r>
              <w:rPr>
                <w:b/>
                <w:bCs/>
              </w:rPr>
              <w:t xml:space="preserve">C</w:t>
            </w:r>
          </w:p>
        </w:tc>
      </w:tr>
      <w:tr>
        <w:tc>
          <w:tcPr/>
          <w:p>
            <w:pPr>
              <w:pStyle w:val="Compact"/>
            </w:pPr>
            <w:r>
              <w:t xml:space="preserve">Launch</w:t>
            </w:r>
          </w:p>
        </w:tc>
        <w:tc>
          <w:tcPr/>
          <w:p>
            <w:pPr>
              <w:pStyle w:val="Compact"/>
            </w:pPr>
            <w:r>
              <w:rPr>
                <w:b/>
                <w:bCs/>
              </w:rPr>
              <w:t xml:space="preserve">A</w:t>
            </w:r>
          </w:p>
        </w:tc>
        <w:tc>
          <w:tcPr/>
          <w:p>
            <w:pPr>
              <w:pStyle w:val="Compact"/>
            </w:pPr>
            <w:r>
              <w:rPr>
                <w:b/>
                <w:bCs/>
              </w:rPr>
              <w:t xml:space="preserve">R</w:t>
            </w:r>
          </w:p>
        </w:tc>
        <w:tc>
          <w:tcPr/>
          <w:p>
            <w:pPr>
              <w:pStyle w:val="Compact"/>
            </w:pPr>
            <w:r>
              <w:rPr>
                <w:b/>
                <w:bCs/>
              </w:rPr>
              <w:t xml:space="preserve">C</w:t>
            </w:r>
          </w:p>
        </w:tc>
        <w:tc>
          <w:tcPr/>
          <w:p>
            <w:pPr>
              <w:pStyle w:val="Compact"/>
            </w:pPr>
            <w:r>
              <w:rPr>
                <w:b/>
                <w:bCs/>
              </w:rPr>
              <w:t xml:space="preserve">R</w:t>
            </w:r>
          </w:p>
        </w:tc>
        <w:tc>
          <w:tcPr/>
          <w:p>
            <w:pPr>
              <w:pStyle w:val="Compact"/>
            </w:pPr>
            <w:r>
              <w:rPr>
                <w:b/>
                <w:bCs/>
              </w:rPr>
              <w:t xml:space="preserve">R</w:t>
            </w:r>
          </w:p>
        </w:tc>
      </w:tr>
    </w:tbl>
    <w:bookmarkEnd w:id="34"/>
    <w:bookmarkStart w:id="35" w:name="notes"/>
    <w:p>
      <w:pPr>
        <w:pStyle w:val="Heading3"/>
      </w:pPr>
      <w:r>
        <w:t xml:space="preserve">Notes</w:t>
      </w:r>
    </w:p>
    <w:p>
      <w:pPr>
        <w:numPr>
          <w:ilvl w:val="0"/>
          <w:numId w:val="1005"/>
        </w:numPr>
      </w:pPr>
      <w:r>
        <w:rPr>
          <w:b/>
          <w:bCs/>
        </w:rPr>
        <w:t xml:space="preserve">Vision and PRD:</w:t>
      </w:r>
      <w:r>
        <w:t xml:space="preserve"> </w:t>
      </w:r>
      <w:r>
        <w:t xml:space="preserve">The Product Owner is accountable and prepares the vision. The Engineering Lead, AI Engineer, and Design / UX Engineer are consulted to confirm technical and experience feasibility. The QA / Verification Engineer is informed so test planning can begin against the agreed scope.</w:t>
      </w:r>
    </w:p>
    <w:p>
      <w:pPr>
        <w:numPr>
          <w:ilvl w:val="0"/>
          <w:numId w:val="1005"/>
        </w:numPr>
      </w:pPr>
      <w:r>
        <w:rPr>
          <w:b/>
          <w:bCs/>
        </w:rPr>
        <w:t xml:space="preserve">SRS baseline:</w:t>
      </w:r>
      <w:r>
        <w:t xml:space="preserve"> </w:t>
      </w:r>
      <w:r>
        <w:t xml:space="preserve">The Engineering Lead and the QA / Verification Engineer are jointly responsible for producing a verifiable, testable specification. The Product Owner holds sole accountability for sign-off at the Phase 02 hybrid baseline gate. The AI Engineer and Design / UX Engineer are consulted on the AI and reader-experience sections.</w:t>
      </w:r>
    </w:p>
    <w:p>
      <w:pPr>
        <w:numPr>
          <w:ilvl w:val="0"/>
          <w:numId w:val="1005"/>
        </w:numPr>
      </w:pPr>
      <w:r>
        <w:rPr>
          <w:b/>
          <w:bCs/>
        </w:rPr>
        <w:t xml:space="preserve">Architecture ADRs:</w:t>
      </w:r>
      <w:r>
        <w:t xml:space="preserve"> </w:t>
      </w:r>
      <w:r>
        <w:t xml:space="preserve">The Engineering Lead is responsible for authoring each ADR. The Product Owner is accountable for ratification at the relevant phase gate. The AI Engineer is consulted on AI-gateway and privacy-tier decisions; the Design / UX Engineer is consulted where a decision constrains the reader experience.</w:t>
      </w:r>
    </w:p>
    <w:p>
      <w:pPr>
        <w:numPr>
          <w:ilvl w:val="0"/>
          <w:numId w:val="1005"/>
        </w:numPr>
      </w:pPr>
      <w:r>
        <w:rPr>
          <w:b/>
          <w:bCs/>
        </w:rPr>
        <w:t xml:space="preserve">Phase 0 risk spikes:</w:t>
      </w:r>
      <w:r>
        <w:t xml:space="preserve"> </w:t>
      </w:r>
      <w:r>
        <w:t xml:space="preserve">The Engineering Lead and the AI Engineer are responsible for executing the spikes — the Engineering Lead for the WebView bridge, PDFium, and FTS5 spikes, and the AI Engineer for the AI-gateway spike. The Product Owner is accountable for accepting that each spike has retired its risk. The QA / Verification Engineer is consulted on the evidence each spike must produce.</w:t>
      </w:r>
    </w:p>
    <w:p>
      <w:pPr>
        <w:numPr>
          <w:ilvl w:val="0"/>
          <w:numId w:val="1005"/>
        </w:numPr>
      </w:pPr>
      <w:r>
        <w:rPr>
          <w:b/>
          <w:bCs/>
        </w:rPr>
        <w:t xml:space="preserve">Test strategy:</w:t>
      </w:r>
      <w:r>
        <w:t xml:space="preserve"> </w:t>
      </w:r>
      <w:r>
        <w:t xml:space="preserve">The QA / Verification Engineer is accountable for the test strategy, the golden corpus, and the release-gate criteria. The Product Owner, Engineering Lead, and AI Engineer are consulted to confirm coverage of scope, architecture, and AI behaviour respectively.</w:t>
      </w:r>
    </w:p>
    <w:p>
      <w:pPr>
        <w:numPr>
          <w:ilvl w:val="0"/>
          <w:numId w:val="1005"/>
        </w:numPr>
      </w:pPr>
      <w:r>
        <w:rPr>
          <w:b/>
          <w:bCs/>
        </w:rPr>
        <w:t xml:space="preserve">Release gates:</w:t>
      </w:r>
      <w:r>
        <w:t xml:space="preserve"> </w:t>
      </w:r>
      <w:r>
        <w:t xml:space="preserve">The QA / Verification Engineer is responsible for executing each gate against its pass-or-fail criteria. The Product Owner is accountable for the release decision at each gate. The Engineering Lead, AI Engineer, and Design / UX Engineer are consulted on any failure that requires remediation before the gate passes.</w:t>
      </w:r>
    </w:p>
    <w:p>
      <w:pPr>
        <w:numPr>
          <w:ilvl w:val="0"/>
          <w:numId w:val="1005"/>
        </w:numPr>
      </w:pPr>
      <w:r>
        <w:rPr>
          <w:b/>
          <w:bCs/>
        </w:rPr>
        <w:t xml:space="preserve">Launch:</w:t>
      </w:r>
      <w:r>
        <w:t xml:space="preserve"> </w:t>
      </w:r>
      <w:r>
        <w:t xml:space="preserve">The Engineering Lead, QA / Verification Engineer, and Design / UX Engineer are jointly responsible for delivering a launch-ready build, verified release, and accessible experience. The Product Owner is accountable for the Phase 07 launch decision. No launch artefact is generated until the hybrid gate passes, per the cross-cutting rule recorded in the approval matrix.</w:t>
      </w:r>
    </w:p>
    <w:bookmarkEnd w:id="35"/>
    <w:bookmarkEnd w:id="36"/>
    <w:bookmarkEnd w:id="37"/>
    <w:sectPr w:rsidR="00FC693F" w:rsidRPr="0006063C" w:rsidSect="00034616">
      <w:footerReference r:id="rId9" w:type="default"/>
      <w:headerReference r:id="rId10" w:type="default"/>
      <w:pgSz w:h="16838" w:w="11906"/>
      <w:pgMar w:bottom="1134" w:footer="720" w:gutter="0" w:header="720" w:left="1440" w:right="1440" w:top="144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Calibri" w:hAnsi="Calibri"/>
        <w:color w:val="595959"/>
        <w:sz w:val="18"/>
      </w:rPr>
      <w:fldChar w:fldCharType="begin"/>
      <w:instrText xml:space="preserve"> PAGE </w:instrText>
      <w:fldChar w:fldCharType="separate"/>
      <w:fldChar w:fldCharType="end"/>
    </w:r>
    <w:r>
      <w:rPr>
        <w:rFonts w:ascii="Calibri" w:hAnsi="Calibri"/>
        <w:color w:val="595959"/>
        <w:sz w:val="18"/>
      </w:rPr>
      <w:t xml:space="preserve"> of </w:t>
    </w:r>
    <w:r>
      <w:rPr>
        <w:rFonts w:ascii="Calibri" w:hAnsi="Calibri"/>
        <w:color w:val="595959"/>
        <w:sz w:val="18"/>
      </w:rPr>
      <w:fldChar w:fldCharType="begin"/>
      <w:instrText xml:space="preserve"> NUMPAGES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4" w:color="CCCCCC"/>
      </w:pBdr>
    </w:pPr>
    <w:r>
      <w:rPr>
        <w:rFonts w:ascii="Calibri" w:hAnsi="Calibri"/>
        <w:color w:val="595959"/>
        <w:sz w:val="18"/>
      </w:rPr>
      <w:fldChar w:fldCharType="begin"/>
      <w:instrText xml:space="preserve"> TITLE </w:instrText>
      <w:fldChar w:fldCharType="separate"/>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Lines/>
      <w:widowControl/>
      <w:spacing w:after="120" w:before="0" w:line="276" w:lineRule="auto"/>
    </w:pPr>
    <w:rPr>
      <w:rFonts w:ascii="Calibri" w:hAnsi="Calibri"/>
      <w:color w:val="262626"/>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120" w:before="400"/>
      <w:outlineLvl w:val="0"/>
      <w:pBdr>
        <w:left w:color="1F3864" w:space="8" w:sz="18" w:val="single"/>
      </w:pBdr>
    </w:pPr>
    <w:rPr>
      <w:rFonts w:ascii="Calibri Light" w:asciiTheme="majorHAnsi" w:cstheme="majorBidi" w:eastAsiaTheme="majorEastAsia" w:hAnsi="Calibri Light"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80" w:before="280"/>
      <w:outlineLvl w:val="1"/>
    </w:pPr>
    <w:rPr>
      <w:rFonts w:ascii="Calibri Light" w:asciiTheme="majorHAnsi" w:cstheme="majorBidi" w:eastAsiaTheme="majorEastAsia" w:hAnsi="Calibri Light" w:hAnsiTheme="majorHAnsi"/>
      <w:b/>
      <w:bCs/>
      <w:color w:val="2E5D8A"/>
      <w:sz w:val="26"/>
      <w:szCs w:val="26"/>
    </w:rPr>
  </w:style>
  <w:style w:styleId="Heading3" w:type="paragraph">
    <w:name w:val="heading 3"/>
    <w:basedOn w:val="Normal"/>
    <w:next w:val="Normal"/>
    <w:link w:val="Heading3Char"/>
    <w:uiPriority w:val="9"/>
    <w:unhideWhenUsed/>
    <w:qFormat/>
    <w:rsid w:val="00FC693F"/>
    <w:pPr>
      <w:keepNext/>
      <w:keepLines/>
      <w:spacing w:after="60" w:before="200"/>
      <w:outlineLvl w:val="2"/>
    </w:pPr>
    <w:rPr>
      <w:rFonts w:ascii="Calibri" w:asciiTheme="majorHAnsi" w:cstheme="majorBidi" w:eastAsiaTheme="majorEastAsia" w:hAnsi="Calibri" w:hAnsiTheme="majorHAnsi"/>
      <w:b/>
      <w:bCs/>
      <w:i w:val="0"/>
      <w:color w:val="4472C4"/>
      <w:sz w:val="22"/>
    </w:rPr>
  </w:style>
  <w:style w:styleId="Heading4" w:type="paragraph">
    <w:name w:val="heading 4"/>
    <w:basedOn w:val="Normal"/>
    <w:next w:val="Normal"/>
    <w:link w:val="Heading4Char"/>
    <w:uiPriority w:val="9"/>
    <w:semiHidden/>
    <w:unhideWhenUsed/>
    <w:qFormat/>
    <w:rsid w:val="00FC693F"/>
    <w:pPr>
      <w:keepNext/>
      <w:keepLines/>
      <w:spacing w:after="40" w:before="160"/>
      <w:outlineLvl w:val="3"/>
    </w:pPr>
    <w:rPr>
      <w:rFonts w:ascii="Calibri" w:asciiTheme="majorHAnsi" w:cstheme="majorBidi" w:eastAsiaTheme="majorEastAsia" w:hAnsi="Calibri" w:hAnsiTheme="majorHAnsi"/>
      <w:b/>
      <w:bCs/>
      <w:i/>
      <w:iCs/>
      <w:color w:val="262626"/>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40" w:lineRule="auto"/>
      <w:contextualSpacing/>
      <w:jc w:val="left"/>
    </w:pPr>
    <w:rPr>
      <w:rFonts w:ascii="Calibri Light" w:asciiTheme="majorHAnsi" w:cstheme="majorBidi" w:eastAsiaTheme="majorEastAsia" w:hAnsi="Calibri Light" w:hAnsiTheme="majorHAnsi"/>
      <w:b/>
      <w:color w:val="1F3864"/>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480" w:before="0"/>
    </w:pPr>
    <w:rPr>
      <w:rFonts w:ascii="Calibri" w:asciiTheme="majorHAnsi" w:cstheme="majorBidi" w:eastAsiaTheme="majorEastAsia" w:hAnsi="Calibri" w:hAnsiTheme="majorHAnsi"/>
      <w:i/>
      <w:iCs/>
      <w:color w:val="595959"/>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60" w:before="0"/>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40" w:line="240" w:lineRule="auto"/>
      <w:jc w:val="center"/>
    </w:pPr>
    <w:rPr>
      <w:rFonts w:ascii="Calibri" w:hAnsi="Calibri"/>
      <w:b/>
      <w:bCs/>
      <w:i/>
      <w:color w:val="595959"/>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Normal"/>
    <w:pPr>
      <w:ind w:firstLine="0"/>
    </w:pPr>
  </w:style>
  <w:style w:customStyle="1" w:styleId="VerbatimChar" w:type="character">
    <w:name w:val="Verbatim Char"/>
    <w:rPr>
      <w:rFonts w:ascii="Consolas" w:hAnsi="Consolas"/>
      <w:color w:val="1A1A1A"/>
      <w:sz w:val="19"/>
    </w:rPr>
  </w:style>
  <w:style w:customStyle="1" w:styleId="Verbatim" w:type="paragraph">
    <w:name w:val="Verbatim"/>
    <w:pPr>
      <w:spacing w:after="80" w:before="80"/>
    </w:pPr>
    <w:rPr>
      <w:rFonts w:ascii="Consolas" w:hAnsi="Consolas"/>
      <w:color w:val="1A1A1A"/>
      <w:sz w:val="19"/>
    </w:rPr>
  </w:style>
  <w:style w:customStyle="1" w:styleId="SourceCode" w:type="paragraph">
    <w:name w:val="Source Code"/>
    <w:pPr>
      <w:spacing w:after="80" w:before="80"/>
    </w:pPr>
    <w:rPr>
      <w:rFonts w:ascii="Consolas" w:hAnsi="Consolas"/>
      <w:color w:val="1A1A1A"/>
      <w:sz w:val="19"/>
    </w:rPr>
  </w:style>
  <w:style w:customStyle="1" w:styleId="BlockText" w:type="paragraph">
    <w:name w:val="Block Text"/>
    <w:pPr>
      <w:spacing w:after="120" w:before="120"/>
      <w:ind w:left="567" w:right="567"/>
    </w:pPr>
    <w:rPr>
      <w:rFonts w:ascii="Calibri" w:hAnsi="Calibri"/>
      <w:i/>
      <w:color w:val="595959"/>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Stakeholder Analysis</dc:title>
  <dc:creator/>
  <cp:keywords/>
  <dcterms:created xsi:type="dcterms:W3CDTF">2026-05-30T10:28:31Z</dcterms:created>
  <dcterms:modified xsi:type="dcterms:W3CDTF">2026-05-30T10:28:31Z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2026-05-30</vt:lpwstr>
  </property>
  <property fmtid="{D5CDD505-2E9C-101B-9397-08002B2CF9AE}" pid="3" name="version">
    <vt:lpwstr>0.1</vt:lpwstr>
  </property>
</Properties>
</file>