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Ogma Library — Test Strategy &amp; Quality Plan</w:t>
      </w:r>
    </w:p>
    <w:p>
      <w:pPr>
        <w:pStyle w:val="Subtitle"/>
      </w:pPr>
      <w:r>
        <w:t xml:space="preserve">Testing Documentation — Verification, Validation, and Quality Assurance</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Ogma Library</w:t>
            </w:r>
          </w:p>
        </w:tc>
      </w:tr>
      <w:tr>
        <w:tc>
          <w:tcPr/>
          <w:p>
            <w:pPr>
              <w:pStyle w:val="Compact"/>
            </w:pPr>
            <w:r>
              <w:rPr>
                <w:b/>
                <w:bCs/>
              </w:rPr>
              <w:t xml:space="preserve">Owner</w:t>
            </w:r>
          </w:p>
        </w:tc>
        <w:tc>
          <w:tcPr/>
          <w:p>
            <w:pPr>
              <w:pStyle w:val="Compact"/>
            </w:pPr>
            <w:r>
              <w:t xml:space="preserve">Chwezi Core Systems / Peter Bamuhigire</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0.1 DRAFT</w:t>
            </w:r>
          </w:p>
        </w:tc>
      </w:tr>
      <w:tr>
        <w:tc>
          <w:tcPr/>
          <w:p>
            <w:pPr>
              <w:pStyle w:val="Compact"/>
            </w:pPr>
            <w:r>
              <w:rPr>
                <w:b/>
                <w:bCs/>
              </w:rPr>
              <w:t xml:space="preserve">Date</w:t>
            </w:r>
          </w:p>
        </w:tc>
        <w:tc>
          <w:tcPr/>
          <w:p>
            <w:pPr>
              <w:pStyle w:val="Compact"/>
            </w:pPr>
            <w:r>
              <w:t xml:space="preserve">2026-05-30</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t xml:space="preserve">\newpage</w:t>
      </w:r>
    </w:p>
    <w:bookmarkStart w:id="24" w:name="Xdafe5ea4b205ef38e89cd2813355781bb1da457"/>
    <w:p>
      <w:pPr>
        <w:pStyle w:val="Heading1"/>
      </w:pPr>
      <w:r>
        <w:t xml:space="preserve">1. Test Approach and Quality Philosophy</w:t>
      </w:r>
    </w:p>
    <w:bookmarkStart w:id="19" w:name="X7bb3bf5d7a6d0684065255a9ea63df5ef809e7e"/>
    <w:p>
      <w:pPr>
        <w:pStyle w:val="Heading2"/>
      </w:pPr>
      <w:r>
        <w:t xml:space="preserve">1.1 Verification and Validation Philosophy (IEEE 1012)</w:t>
      </w:r>
    </w:p>
    <w:p>
      <w:pPr>
        <w:pStyle w:val="FirstParagraph"/>
      </w:pPr>
      <w:r>
        <w:t xml:space="preserve">This Test Strategy implements the Verification and Validation (V&amp;V) framework defined in IEEE Std 1012 and aligns directly with the V&amp;V approach baselined in Section 8 of the Software Requirements Specification (SRS). Every test in this plan exists to confirm one of the four IEEE 1012 evaluation criteria for a named requirement.</w:t>
      </w:r>
    </w:p>
    <w:p>
      <w:pPr>
        <w:pStyle w:val="Compact"/>
        <w:numPr>
          <w:ilvl w:val="0"/>
          <w:numId w:val="1001"/>
        </w:numPr>
      </w:pPr>
      <w:r>
        <w:rPr>
          <w:b/>
          <w:bCs/>
        </w:rPr>
        <w:t xml:space="preserve">Correctness.</w:t>
      </w:r>
      <w:r>
        <w:t xml:space="preserve"> </w:t>
      </w:r>
      <w:r>
        <w:t xml:space="preserve">A test confirms that the implemented behaviour mirrors the stakeholder intent recorded in</w:t>
      </w:r>
      <w:r>
        <w:t xml:space="preserve"> </w:t>
      </w:r>
      <w:r>
        <w:rPr>
          <w:rStyle w:val="VerbatimChar"/>
        </w:rPr>
        <w:t xml:space="preserve">_context/vision.md</w:t>
      </w:r>
      <w:r>
        <w:t xml:space="preserve"> </w:t>
      </w:r>
      <w:r>
        <w:t xml:space="preserve">and the acceptance criterion stated beside the requirement in SRS Section 4.</w:t>
      </w:r>
    </w:p>
    <w:p>
      <w:pPr>
        <w:pStyle w:val="Compact"/>
        <w:numPr>
          <w:ilvl w:val="0"/>
          <w:numId w:val="1001"/>
        </w:numPr>
      </w:pPr>
      <w:r>
        <w:rPr>
          <w:b/>
          <w:bCs/>
        </w:rPr>
        <w:t xml:space="preserve">Consistency.</w:t>
      </w:r>
      <w:r>
        <w:t xml:space="preserve"> </w:t>
      </w:r>
      <w:r>
        <w:t xml:space="preserve">A test confirms that a behaviour defined in one section is enforced identically wherever it recurs; for example, the privacy-tier model is exercised by the same payload-preview assertion in the AI layer and the metadata-enrichment layer.</w:t>
      </w:r>
    </w:p>
    <w:p>
      <w:pPr>
        <w:pStyle w:val="Compact"/>
        <w:numPr>
          <w:ilvl w:val="0"/>
          <w:numId w:val="1001"/>
        </w:numPr>
      </w:pPr>
      <w:r>
        <w:rPr>
          <w:b/>
          <w:bCs/>
        </w:rPr>
        <w:t xml:space="preserve">Completeness.</w:t>
      </w:r>
      <w:r>
        <w:t xml:space="preserve"> </w:t>
      </w:r>
      <w:r>
        <w:t xml:space="preserve">A test exists for every edge case captured in the context files and in the golden corpus defined in Section 2.</w:t>
      </w:r>
    </w:p>
    <w:p>
      <w:pPr>
        <w:pStyle w:val="Compact"/>
        <w:numPr>
          <w:ilvl w:val="0"/>
          <w:numId w:val="1001"/>
        </w:numPr>
      </w:pPr>
      <w:r>
        <w:rPr>
          <w:b/>
          <w:bCs/>
        </w:rPr>
        <w:t xml:space="preserve">Verifiability.</w:t>
      </w:r>
      <w:r>
        <w:t xml:space="preserve"> </w:t>
      </w:r>
      <w:r>
        <w:t xml:space="preserve">Every test asserts a deterministic pass/fail oracle. Where the SRS tagged a requirement</w:t>
      </w:r>
      <w:r>
        <w:t xml:space="preserve"> </w:t>
      </w:r>
      <w:r>
        <w:rPr>
          <w:rStyle w:val="VerbatimChar"/>
        </w:rPr>
        <w:t xml:space="preserve">[VERIFIABILITY-FAIL]</w:t>
      </w:r>
      <w:r>
        <w:t xml:space="preserve">, the corresponding test asserts only the structural sub-claim that is deterministic and explicitly excludes the judgement-call portion from automated gating.</w:t>
      </w:r>
    </w:p>
    <w:bookmarkEnd w:id="19"/>
    <w:bookmarkStart w:id="20" w:name="X6f7f52e8b139bffe506facbb5c7ed5ce8cc73e6"/>
    <w:p>
      <w:pPr>
        <w:pStyle w:val="Heading2"/>
      </w:pPr>
      <w:r>
        <w:t xml:space="preserve">1.2 Risk-Based Testing</w:t>
      </w:r>
    </w:p>
    <w:p>
      <w:pPr>
        <w:pStyle w:val="FirstParagraph"/>
      </w:pPr>
      <w:r>
        <w:t xml:space="preserve">Test depth is allocated by failure impact, not uniformly. The product principles in</w:t>
      </w:r>
      <w:r>
        <w:t xml:space="preserve"> </w:t>
      </w:r>
      <w:r>
        <w:rPr>
          <w:rStyle w:val="VerbatimChar"/>
        </w:rPr>
        <w:t xml:space="preserve">_context/vision.md</w:t>
      </w:r>
      <w:r>
        <w:t xml:space="preserve"> </w:t>
      </w:r>
      <w:r>
        <w:t xml:space="preserve">— privacy, durability, reversibility, and local-first availability — define the highest-risk failure classes for Ogma Library. The following risk tiers govern coverage density.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tier</w:t>
            </w:r>
          </w:p>
        </w:tc>
        <w:tc>
          <w:tcPr/>
          <w:p>
            <w:pPr>
              <w:pStyle w:val="Compact"/>
            </w:pPr>
            <w:r>
              <w:t xml:space="preserve">Failure class</w:t>
            </w:r>
          </w:p>
        </w:tc>
        <w:tc>
          <w:tcPr/>
          <w:p>
            <w:pPr>
              <w:pStyle w:val="Compact"/>
            </w:pPr>
            <w:r>
              <w:t xml:space="preserve">Required coverage depth</w:t>
            </w:r>
          </w:p>
        </w:tc>
      </w:tr>
      <w:tr>
        <w:tc>
          <w:tcPr/>
          <w:p>
            <w:pPr>
              <w:pStyle w:val="Compact"/>
            </w:pPr>
            <w:r>
              <w:t xml:space="preserve">R1 — Data loss</w:t>
            </w:r>
          </w:p>
        </w:tc>
        <w:tc>
          <w:tcPr/>
          <w:p>
            <w:pPr>
              <w:pStyle w:val="Compact"/>
            </w:pPr>
            <w:r>
              <w:t xml:space="preserve">Loss of user-authored metadata, annotations, shelves, or progress; destructive write-back without restore</w:t>
            </w:r>
          </w:p>
        </w:tc>
        <w:tc>
          <w:tcPr/>
          <w:p>
            <w:pPr>
              <w:pStyle w:val="Compact"/>
            </w:pPr>
            <w:r>
              <w:t xml:space="preserve">Unit, integration, and fault-injection coverage mandatory; no waiver permitted</w:t>
            </w:r>
          </w:p>
        </w:tc>
      </w:tr>
      <w:tr>
        <w:tc>
          <w:tcPr/>
          <w:p>
            <w:pPr>
              <w:pStyle w:val="Compact"/>
            </w:pPr>
            <w:r>
              <w:t xml:space="preserve">R2 — Privacy breach</w:t>
            </w:r>
          </w:p>
        </w:tc>
        <w:tc>
          <w:tcPr/>
          <w:p>
            <w:pPr>
              <w:pStyle w:val="Compact"/>
            </w:pPr>
            <w:r>
              <w:t xml:space="preserve">Off-device transmission without payload preview and confirmation; residual data after erasure</w:t>
            </w:r>
          </w:p>
        </w:tc>
        <w:tc>
          <w:tcPr/>
          <w:p>
            <w:pPr>
              <w:pStyle w:val="Compact"/>
            </w:pPr>
            <w:r>
              <w:t xml:space="preserve">Integration and network-egress assertions mandatory on every AI and enrichment path</w:t>
            </w:r>
          </w:p>
        </w:tc>
      </w:tr>
      <w:tr>
        <w:tc>
          <w:tcPr/>
          <w:p>
            <w:pPr>
              <w:pStyle w:val="Compact"/>
            </w:pPr>
            <w:r>
              <w:t xml:space="preserve">R3 — Performance budget</w:t>
            </w:r>
          </w:p>
        </w:tc>
        <w:tc>
          <w:tcPr/>
          <w:p>
            <w:pPr>
              <w:pStyle w:val="Compact"/>
            </w:pPr>
            <w:r>
              <w:t xml:space="preserve">A budget in SRS Section 5.1 exceeded on the reference corpus</w:t>
            </w:r>
          </w:p>
        </w:tc>
        <w:tc>
          <w:tcPr/>
          <w:p>
            <w:pPr>
              <w:pStyle w:val="Compact"/>
            </w:pPr>
            <w:r>
              <w:t xml:space="preserve">Benchmark coverage mandatory; build fails on budget breach</w:t>
            </w:r>
          </w:p>
        </w:tc>
      </w:tr>
      <w:tr>
        <w:tc>
          <w:tcPr/>
          <w:p>
            <w:pPr>
              <w:pStyle w:val="Compact"/>
            </w:pPr>
            <w:r>
              <w:t xml:space="preserve">R4 — Recoverability</w:t>
            </w:r>
          </w:p>
        </w:tc>
        <w:tc>
          <w:tcPr/>
          <w:p>
            <w:pPr>
              <w:pStyle w:val="Compact"/>
            </w:pPr>
            <w:r>
              <w:t xml:space="preserve">Job not resumable; index not repairable; corpus not openable after a corrupt input</w:t>
            </w:r>
          </w:p>
        </w:tc>
        <w:tc>
          <w:tcPr/>
          <w:p>
            <w:pPr>
              <w:pStyle w:val="Compact"/>
            </w:pPr>
            <w:r>
              <w:t xml:space="preserve">Fault-injection coverage mandatory for every background job and parser entry point</w:t>
            </w:r>
          </w:p>
        </w:tc>
      </w:tr>
      <w:tr>
        <w:tc>
          <w:tcPr/>
          <w:p>
            <w:pPr>
              <w:pStyle w:val="Compact"/>
            </w:pPr>
            <w:r>
              <w:t xml:space="preserve">R5 — Functional defect</w:t>
            </w:r>
          </w:p>
        </w:tc>
        <w:tc>
          <w:tcPr/>
          <w:p>
            <w:pPr>
              <w:pStyle w:val="Compact"/>
            </w:pPr>
            <w:r>
              <w:t xml:space="preserve">A functional requirement acceptance criterion not met without R1–R4 impact</w:t>
            </w:r>
          </w:p>
        </w:tc>
        <w:tc>
          <w:tcPr/>
          <w:p>
            <w:pPr>
              <w:pStyle w:val="Compact"/>
            </w:pPr>
            <w:r>
              <w:t xml:space="preserve">Unit and integration coverage proportional to module complexity</w:t>
            </w:r>
          </w:p>
        </w:tc>
      </w:tr>
    </w:tbl>
    <w:p>
      <w:pPr>
        <w:pStyle w:val="BodyText"/>
      </w:pPr>
      <w:r>
        <w:t xml:space="preserve">A failure in tier R1 or R2 is a release blocker regardless of aggregate test pass rate, consistent with the blocker rules in NFR-PROD-006 and NFR-PROD-011.</w:t>
      </w:r>
    </w:p>
    <w:bookmarkEnd w:id="20"/>
    <w:bookmarkStart w:id="21" w:name="X15768e73626e50c6f0bce486e93ce1bfa46ca16"/>
    <w:p>
      <w:pPr>
        <w:pStyle w:val="Heading2"/>
      </w:pPr>
      <w:r>
        <w:t xml:space="preserve">1.3 The Test Pyramid for a Desktop Application</w:t>
      </w:r>
    </w:p>
    <w:p>
      <w:pPr>
        <w:pStyle w:val="FirstParagraph"/>
      </w:pPr>
      <w:r>
        <w:t xml:space="preserve">Ogma Library is a single-user, local-first .NET desktop application built on a modular monolith, not a multi-tenant server. The test pyramid is shaped accordingly: there is no network service tier to load-test, but there is a native-interop tier (PDFium, SkiaSharp), an embedded-database tier (SQLite, FTS5), and a WebView message-bridge tier that a server application does not have.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Proportion target</w:t>
            </w:r>
          </w:p>
        </w:tc>
        <w:tc>
          <w:tcPr/>
          <w:p>
            <w:pPr>
              <w:pStyle w:val="Compact"/>
            </w:pPr>
            <w:r>
              <w:t xml:space="preserve">Scope</w:t>
            </w:r>
          </w:p>
        </w:tc>
        <w:tc>
          <w:tcPr/>
          <w:p>
            <w:pPr>
              <w:pStyle w:val="Compact"/>
            </w:pPr>
            <w:r>
              <w:t xml:space="preserve">Execution</w:t>
            </w:r>
          </w:p>
        </w:tc>
      </w:tr>
      <w:tr>
        <w:tc>
          <w:tcPr/>
          <w:p>
            <w:pPr>
              <w:pStyle w:val="Compact"/>
            </w:pPr>
            <w:r>
              <w:t xml:space="preserve">Unit</w:t>
            </w:r>
          </w:p>
        </w:tc>
        <w:tc>
          <w:tcPr/>
          <w:p>
            <w:pPr>
              <w:pStyle w:val="Compact"/>
            </w:pPr>
            <w:r>
              <w:t xml:space="preserve">Largest share</w:t>
            </w:r>
          </w:p>
        </w:tc>
        <w:tc>
          <w:tcPr/>
          <w:p>
            <w:pPr>
              <w:pStyle w:val="Compact"/>
            </w:pPr>
            <w:r>
              <w:t xml:space="preserve">Domain logic, view-models, merge policy, ranking math — dependencies replaced with test doubles</w:t>
            </w:r>
          </w:p>
        </w:tc>
        <w:tc>
          <w:tcPr/>
          <w:p>
            <w:pPr>
              <w:pStyle w:val="Compact"/>
            </w:pPr>
            <w:r>
              <w:t xml:space="preserve">Pre-push hook; every build</w:t>
            </w:r>
          </w:p>
        </w:tc>
      </w:tr>
      <w:tr>
        <w:tc>
          <w:tcPr/>
          <w:p>
            <w:pPr>
              <w:pStyle w:val="Compact"/>
            </w:pPr>
            <w:r>
              <w:t xml:space="preserve">Integration</w:t>
            </w:r>
          </w:p>
        </w:tc>
        <w:tc>
          <w:tcPr/>
          <w:p>
            <w:pPr>
              <w:pStyle w:val="Compact"/>
            </w:pPr>
            <w:r>
              <w:t xml:space="preserve">Middle share</w:t>
            </w:r>
          </w:p>
        </w:tc>
        <w:tc>
          <w:tcPr/>
          <w:p>
            <w:pPr>
              <w:pStyle w:val="Compact"/>
            </w:pPr>
            <w:r>
              <w:t xml:space="preserve">Real SQLite migrations, real FTS5 index, real PDF parse and render against the golden corpus, real message bridge</w:t>
            </w:r>
          </w:p>
        </w:tc>
        <w:tc>
          <w:tcPr/>
          <w:p>
            <w:pPr>
              <w:pStyle w:val="Compact"/>
            </w:pPr>
            <w:r>
              <w:t xml:space="preserve">Continuous integration on every pull request</w:t>
            </w:r>
          </w:p>
        </w:tc>
      </w:tr>
      <w:tr>
        <w:tc>
          <w:tcPr/>
          <w:p>
            <w:pPr>
              <w:pStyle w:val="Compact"/>
            </w:pPr>
            <w:r>
              <w:t xml:space="preserve">End-to-end</w:t>
            </w:r>
          </w:p>
        </w:tc>
        <w:tc>
          <w:tcPr/>
          <w:p>
            <w:pPr>
              <w:pStyle w:val="Compact"/>
            </w:pPr>
            <w:r>
              <w:t xml:space="preserve">Smallest share</w:t>
            </w:r>
          </w:p>
        </w:tc>
        <w:tc>
          <w:tcPr/>
          <w:p>
            <w:pPr>
              <w:pStyle w:val="Compact"/>
            </w:pPr>
            <w:r>
              <w:t xml:space="preserve">Driven application flows across catalogue, reader, search, and AI advisor on a built binary</w:t>
            </w:r>
          </w:p>
        </w:tc>
        <w:tc>
          <w:tcPr/>
          <w:p>
            <w:pPr>
              <w:pStyle w:val="Compact"/>
            </w:pPr>
            <w:r>
              <w:t xml:space="preserve">Pre-release-candidate build</w:t>
            </w:r>
          </w:p>
        </w:tc>
      </w:tr>
      <w:tr>
        <w:tc>
          <w:tcPr/>
          <w:p>
            <w:pPr>
              <w:pStyle w:val="Compact"/>
            </w:pPr>
            <w:r>
              <w:t xml:space="preserve">Manual exploratory</w:t>
            </w:r>
          </w:p>
        </w:tc>
        <w:tc>
          <w:tcPr/>
          <w:p>
            <w:pPr>
              <w:pStyle w:val="Compact"/>
            </w:pPr>
            <w:r>
              <w:t xml:space="preserve">Targeted</w:t>
            </w:r>
          </w:p>
        </w:tc>
        <w:tc>
          <w:tcPr/>
          <w:p>
            <w:pPr>
              <w:pStyle w:val="Compact"/>
            </w:pPr>
            <w:r>
              <w:t xml:space="preserve">Accessibility walkthrough, 3D visual fidelity, install/update/rollback on real Windows and macOS hardware</w:t>
            </w:r>
          </w:p>
        </w:tc>
        <w:tc>
          <w:tcPr/>
          <w:p>
            <w:pPr>
              <w:pStyle w:val="Compact"/>
            </w:pPr>
            <w:r>
              <w:t xml:space="preserve">Per release gate</w:t>
            </w:r>
          </w:p>
        </w:tc>
      </w:tr>
    </w:tbl>
    <w:p>
      <w:pPr>
        <w:pStyle w:val="BodyText"/>
      </w:pPr>
      <w:r>
        <w:t xml:space="preserve">Native interop and the WebView bridge are tested at the integration layer because their behaviour cannot be faithfully reproduced by a unit-level test double; a stub PDF parser cannot reveal a PDFium rendering defect on a rotated page.</w:t>
      </w:r>
    </w:p>
    <w:bookmarkEnd w:id="21"/>
    <w:bookmarkStart w:id="22" w:name="Xcc09799e6763697b46d2ceba448f580c498fe54"/>
    <w:p>
      <w:pPr>
        <w:pStyle w:val="Heading2"/>
      </w:pPr>
      <w:r>
        <w:t xml:space="preserve">1.4 Entry Criteria</w:t>
      </w:r>
    </w:p>
    <w:p>
      <w:pPr>
        <w:pStyle w:val="FirstParagraph"/>
      </w:pPr>
      <w:r>
        <w:t xml:space="preserve">A test level begins only when its entry criteria are met.</w:t>
      </w:r>
    </w:p>
    <w:p>
      <w:pPr>
        <w:pStyle w:val="Compact"/>
        <w:numPr>
          <w:ilvl w:val="0"/>
          <w:numId w:val="1002"/>
        </w:numPr>
      </w:pPr>
      <w:r>
        <w:t xml:space="preserve">The requirement under test is baselined in the signed SRS, or is explicitly tagged as a draft under test.</w:t>
      </w:r>
    </w:p>
    <w:p>
      <w:pPr>
        <w:pStyle w:val="Compact"/>
        <w:numPr>
          <w:ilvl w:val="0"/>
          <w:numId w:val="1002"/>
        </w:numPr>
      </w:pPr>
      <w:r>
        <w:t xml:space="preserve">The golden corpus fixtures required by the test level are present and version-pinned per Section 2.</w:t>
      </w:r>
    </w:p>
    <w:p>
      <w:pPr>
        <w:pStyle w:val="Compact"/>
        <w:numPr>
          <w:ilvl w:val="0"/>
          <w:numId w:val="1002"/>
        </w:numPr>
      </w:pPr>
      <w:r>
        <w:t xml:space="preserve">For benchmark tests, the reference-hardware specification is fixed.</w:t>
      </w:r>
      <w:r>
        <w:t xml:space="preserve"> </w:t>
      </w:r>
      <w:r>
        <w:rPr>
          <w:i/>
          <w:iCs/>
        </w:rPr>
        <w:t xml:space="preserve">This specification is an open context gap.</w:t>
      </w:r>
      <w:r>
        <w:t xml:space="preserve"> </w:t>
      </w:r>
      <w:r>
        <w:rPr>
          <w:rStyle w:val="VerbatimChar"/>
        </w:rPr>
        <w:t xml:space="preserve">[CONTEXT-GAP: reference-hardware specification — CPU, RAM, storage class]</w:t>
      </w:r>
    </w:p>
    <w:p>
      <w:pPr>
        <w:pStyle w:val="Compact"/>
        <w:numPr>
          <w:ilvl w:val="0"/>
          <w:numId w:val="1002"/>
        </w:numPr>
      </w:pPr>
      <w:r>
        <w:t xml:space="preserve">The build under test compiles and passes the preceding test level.</w:t>
      </w:r>
    </w:p>
    <w:bookmarkEnd w:id="22"/>
    <w:bookmarkStart w:id="23" w:name="Xb7ce3a18fb3e25c963757471ab91b32e0b65bcd"/>
    <w:p>
      <w:pPr>
        <w:pStyle w:val="Heading2"/>
      </w:pPr>
      <w:r>
        <w:t xml:space="preserve">1.5 Exit Criteria</w:t>
      </w:r>
    </w:p>
    <w:p>
      <w:pPr>
        <w:pStyle w:val="FirstParagraph"/>
      </w:pPr>
      <w:r>
        <w:t xml:space="preserve">A test level is complete only when all exit criteria hold.</w:t>
      </w:r>
    </w:p>
    <w:p>
      <w:pPr>
        <w:pStyle w:val="Compact"/>
        <w:numPr>
          <w:ilvl w:val="0"/>
          <w:numId w:val="1003"/>
        </w:numPr>
      </w:pPr>
      <w:r>
        <w:t xml:space="preserve">100% of the level's test cases pass with zero failures and zero errors.</w:t>
      </w:r>
    </w:p>
    <w:p>
      <w:pPr>
        <w:pStyle w:val="Compact"/>
        <w:numPr>
          <w:ilvl w:val="0"/>
          <w:numId w:val="1003"/>
        </w:numPr>
      </w:pPr>
      <w:r>
        <w:t xml:space="preserve">Zero open R1 (data-loss) or R2 (privacy-breach) defects.</w:t>
      </w:r>
    </w:p>
    <w:p>
      <w:pPr>
        <w:pStyle w:val="Compact"/>
        <w:numPr>
          <w:ilvl w:val="0"/>
          <w:numId w:val="1003"/>
        </w:numPr>
      </w:pPr>
      <w:r>
        <w:t xml:space="preserve">Every performance budget asserted at the level meets its threshold on the reference corpus, or carries a recorded, time-boxed waiver approved per the governance protocol.</w:t>
      </w:r>
    </w:p>
    <w:p>
      <w:pPr>
        <w:pStyle w:val="Compact"/>
        <w:numPr>
          <w:ilvl w:val="0"/>
          <w:numId w:val="1003"/>
        </w:numPr>
      </w:pPr>
      <w:r>
        <w:t xml:space="preserve">Every requirement scoped to the level has at least one passing test or a recorded coverage gap tagged</w:t>
      </w:r>
      <w:r>
        <w:t xml:space="preserve"> </w:t>
      </w:r>
      <w:r>
        <w:rPr>
          <w:rStyle w:val="VerbatimChar"/>
        </w:rPr>
        <w:t xml:space="preserve">[TRACE-GAP: &lt;id&gt;]</w:t>
      </w:r>
      <w:r>
        <w:t xml:space="preserve"> </w:t>
      </w:r>
      <w:r>
        <w:t xml:space="preserve">in Section 8.</w:t>
      </w:r>
    </w:p>
    <w:p>
      <w:pPr>
        <w:pStyle w:val="FirstParagraph"/>
      </w:pPr>
      <w:r>
        <w:t xml:space="preserve">\newpage</w:t>
      </w:r>
    </w:p>
    <w:bookmarkEnd w:id="23"/>
    <w:bookmarkEnd w:id="24"/>
    <w:bookmarkStart w:id="28" w:name="Xea20c327717ef68eb35403ab5eebc8f628d444d"/>
    <w:p>
      <w:pPr>
        <w:pStyle w:val="Heading1"/>
      </w:pPr>
      <w:r>
        <w:t xml:space="preserve">2. The Golden Corpus</w:t>
      </w:r>
    </w:p>
    <w:bookmarkStart w:id="25" w:name="X731e8393ba34aeafdc52bfcd0dc0d56ccf7dac8"/>
    <w:p>
      <w:pPr>
        <w:pStyle w:val="Heading2"/>
      </w:pPr>
      <w:r>
        <w:t xml:space="preserve">2.1 Purpose</w:t>
      </w:r>
    </w:p>
    <w:p>
      <w:pPr>
        <w:pStyle w:val="FirstParagraph"/>
      </w:pPr>
      <w:r>
        <w:t xml:space="preserve">The</w:t>
      </w:r>
      <w:r>
        <w:t xml:space="preserve"> </w:t>
      </w:r>
      <w:r>
        <w:rPr>
          <w:i/>
          <w:iCs/>
        </w:rPr>
        <w:t xml:space="preserve">golden corpus</w:t>
      </w:r>
      <w:r>
        <w:t xml:space="preserve"> </w:t>
      </w:r>
      <w:r>
        <w:t xml:space="preserve">is the curated, version-pinned set of test PDF files that every test layer renders, parses, scans, and indexes. It is the single shared fixture set named in SRS Section 8.2 and is the precondition for deterministic verification: because the input files are fixed, the expected handling for each file is a stable test oracle. The corpus deliberately concentrates the inputs most likely to break a PDF library — image-only scans, encryption, scale, multi-column layout, malformed metadata, rotation, and non-Latin script — so that parser and render defects surface in continuous integration rather than in a user's collection.</w:t>
      </w:r>
    </w:p>
    <w:bookmarkEnd w:id="25"/>
    <w:bookmarkStart w:id="26" w:name="X6090360420f5a575520b634f4aa573326eca1f8"/>
    <w:p>
      <w:pPr>
        <w:pStyle w:val="Heading2"/>
      </w:pPr>
      <w:r>
        <w:t xml:space="preserve">2.2 Curated Corpus Table</w:t>
      </w:r>
    </w:p>
    <w:p>
      <w:pPr>
        <w:pStyle w:val="FirstParagraph"/>
      </w:pPr>
      <w:r>
        <w:t xml:space="preserve">Each row is a version-pinned fixture. The</w:t>
      </w:r>
      <w:r>
        <w:t xml:space="preserve"> </w:t>
      </w:r>
      <w:r>
        <w:rPr>
          <w:i/>
          <w:iCs/>
        </w:rPr>
        <w:t xml:space="preserve">stresses</w:t>
      </w:r>
      <w:r>
        <w:t xml:space="preserve"> </w:t>
      </w:r>
      <w:r>
        <w:t xml:space="preserve">column states the failure class the fixture targets; the</w:t>
      </w:r>
      <w:r>
        <w:t xml:space="preserve"> </w:t>
      </w:r>
      <w:r>
        <w:rPr>
          <w:i/>
          <w:iCs/>
        </w:rPr>
        <w:t xml:space="preserve">expected handling</w:t>
      </w:r>
      <w:r>
        <w:t xml:space="preserve"> </w:t>
      </w:r>
      <w:r>
        <w:t xml:space="preserve">column states the deterministic oracle the test asserts.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Fixture</w:t>
            </w:r>
          </w:p>
        </w:tc>
        <w:tc>
          <w:tcPr/>
          <w:p>
            <w:pPr>
              <w:pStyle w:val="Compact"/>
            </w:pPr>
            <w:r>
              <w:t xml:space="preserve">Stresses</w:t>
            </w:r>
          </w:p>
        </w:tc>
        <w:tc>
          <w:tcPr/>
          <w:p>
            <w:pPr>
              <w:pStyle w:val="Compact"/>
            </w:pPr>
            <w:r>
              <w:t xml:space="preserve">Expected handling (test oracle)</w:t>
            </w:r>
          </w:p>
        </w:tc>
      </w:tr>
      <w:tr>
        <w:tc>
          <w:tcPr/>
          <w:p>
            <w:pPr>
              <w:pStyle w:val="Compact"/>
            </w:pPr>
            <w:r>
              <w:t xml:space="preserve">Simple text PDF</w:t>
            </w:r>
          </w:p>
        </w:tc>
        <w:tc>
          <w:tcPr/>
          <w:p>
            <w:pPr>
              <w:pStyle w:val="Compact"/>
            </w:pPr>
            <w:r>
              <w:t xml:space="preserve">Baseline text extraction and render</w:t>
            </w:r>
          </w:p>
        </w:tc>
        <w:tc>
          <w:tcPr/>
          <w:p>
            <w:pPr>
              <w:pStyle w:val="Compact"/>
            </w:pPr>
            <w:r>
              <w:t xml:space="preserve">All pages render; extracted text matches the stored reference text byte-for-byte after normalization; metadata search and full-text search return the file</w:t>
            </w:r>
          </w:p>
        </w:tc>
      </w:tr>
      <w:tr>
        <w:tc>
          <w:tcPr/>
          <w:p>
            <w:pPr>
              <w:pStyle w:val="Compact"/>
            </w:pPr>
            <w:r>
              <w:t xml:space="preserve">Scanned image-only PDF</w:t>
            </w:r>
          </w:p>
        </w:tc>
        <w:tc>
          <w:tcPr/>
          <w:p>
            <w:pPr>
              <w:pStyle w:val="Compact"/>
            </w:pPr>
            <w:r>
              <w:t xml:space="preserve">Absence of a text layer; optical character recognition path</w:t>
            </w:r>
          </w:p>
        </w:tc>
        <w:tc>
          <w:tcPr/>
          <w:p>
            <w:pPr>
              <w:pStyle w:val="Compact"/>
            </w:pPr>
            <w:r>
              <w:t xml:space="preserve">Render succeeds; text extraction yields zero characters; the file is flagged as needing optical character recognition (OCR); after the OCR job, search returns the file with results marked OCR-derived</w:t>
            </w:r>
          </w:p>
        </w:tc>
      </w:tr>
      <w:tr>
        <w:tc>
          <w:tcPr/>
          <w:p>
            <w:pPr>
              <w:pStyle w:val="Compact"/>
            </w:pPr>
            <w:r>
              <w:t xml:space="preserve">Password-protected PDF</w:t>
            </w:r>
          </w:p>
        </w:tc>
        <w:tc>
          <w:tcPr/>
          <w:p>
            <w:pPr>
              <w:pStyle w:val="Compact"/>
            </w:pPr>
            <w:r>
              <w:t xml:space="preserve">Encrypted document loading and consent flow</w:t>
            </w:r>
          </w:p>
        </w:tc>
        <w:tc>
          <w:tcPr/>
          <w:p>
            <w:pPr>
              <w:pStyle w:val="Compact"/>
            </w:pPr>
            <w:r>
              <w:t xml:space="preserve">The file is detected as password-protected at scan time and listed in the scan health report; opening triggers the credential flow; an incorrect password is rejected without crash; a correct password renders the document</w:t>
            </w:r>
          </w:p>
        </w:tc>
      </w:tr>
      <w:tr>
        <w:tc>
          <w:tcPr/>
          <w:p>
            <w:pPr>
              <w:pStyle w:val="Compact"/>
            </w:pPr>
            <w:r>
              <w:t xml:space="preserve">Very large book, 1,000+ pages</w:t>
            </w:r>
          </w:p>
        </w:tc>
        <w:tc>
          <w:tcPr/>
          <w:p>
            <w:pPr>
              <w:pStyle w:val="Compact"/>
            </w:pPr>
            <w:r>
              <w:t xml:space="preserve">Scale, memory ceiling, and page-cache behaviour</w:t>
            </w:r>
          </w:p>
        </w:tc>
        <w:tc>
          <w:tcPr/>
          <w:p>
            <w:pPr>
              <w:pStyle w:val="Compact"/>
            </w:pPr>
            <w:r>
              <w:t xml:space="preserve">The catalogue records the file without blocking the UI; the reader opens to a target page within the page-turn budget; thumbnail generation runs in the background and never blocks the shell</w:t>
            </w:r>
          </w:p>
        </w:tc>
      </w:tr>
      <w:tr>
        <w:tc>
          <w:tcPr/>
          <w:p>
            <w:pPr>
              <w:pStyle w:val="Compact"/>
            </w:pPr>
            <w:r>
              <w:t xml:space="preserve">Two-column academic paper</w:t>
            </w:r>
          </w:p>
        </w:tc>
        <w:tc>
          <w:tcPr/>
          <w:p>
            <w:pPr>
              <w:pStyle w:val="Compact"/>
            </w:pPr>
            <w:r>
              <w:t xml:space="preserve">Reading-order and text-region extraction</w:t>
            </w:r>
          </w:p>
        </w:tc>
        <w:tc>
          <w:tcPr/>
          <w:p>
            <w:pPr>
              <w:pStyle w:val="Compact"/>
            </w:pPr>
            <w:r>
              <w:t xml:space="preserve">Extracted text preserves column reading order against the stored reference; full-text search matches a phrase that spans a line break within a column</w:t>
            </w:r>
          </w:p>
        </w:tc>
      </w:tr>
      <w:tr>
        <w:tc>
          <w:tcPr/>
          <w:p>
            <w:pPr>
              <w:pStyle w:val="Compact"/>
            </w:pPr>
            <w:r>
              <w:t xml:space="preserve">PDF with bad metadata</w:t>
            </w:r>
          </w:p>
        </w:tc>
        <w:tc>
          <w:tcPr/>
          <w:p>
            <w:pPr>
              <w:pStyle w:val="Compact"/>
            </w:pPr>
            <w:r>
              <w:t xml:space="preserve">Metadata normalization and merge policy</w:t>
            </w:r>
          </w:p>
        </w:tc>
        <w:tc>
          <w:tcPr/>
          <w:p>
            <w:pPr>
              <w:pStyle w:val="Compact"/>
            </w:pPr>
            <w:r>
              <w:t xml:space="preserve">The malformed DocInfo/XMP fields are detected; the metadata-quality score flags the gaps; the merge policy does not corrupt the catalogue; write-back leaves the original intact on injected failure</w:t>
            </w:r>
          </w:p>
        </w:tc>
      </w:tr>
      <w:tr>
        <w:tc>
          <w:tcPr/>
          <w:p>
            <w:pPr>
              <w:pStyle w:val="Compact"/>
            </w:pPr>
            <w:r>
              <w:t xml:space="preserve">PDF with embedded outline/TOC</w:t>
            </w:r>
          </w:p>
        </w:tc>
        <w:tc>
          <w:tcPr/>
          <w:p>
            <w:pPr>
              <w:pStyle w:val="Compact"/>
            </w:pPr>
            <w:r>
              <w:t xml:space="preserve">Outline parsing and table-of-contents indexing</w:t>
            </w:r>
          </w:p>
        </w:tc>
        <w:tc>
          <w:tcPr/>
          <w:p>
            <w:pPr>
              <w:pStyle w:val="Compact"/>
            </w:pPr>
            <w:r>
              <w:t xml:space="preserve">The embedded outline is parsed into navigable entries; the table of contents is indexed into full-text search and is searchable</w:t>
            </w:r>
          </w:p>
        </w:tc>
      </w:tr>
      <w:tr>
        <w:tc>
          <w:tcPr/>
          <w:p>
            <w:pPr>
              <w:pStyle w:val="Compact"/>
            </w:pPr>
            <w:r>
              <w:t xml:space="preserve">PDF with rotated pages</w:t>
            </w:r>
          </w:p>
        </w:tc>
        <w:tc>
          <w:tcPr/>
          <w:p>
            <w:pPr>
              <w:pStyle w:val="Compact"/>
            </w:pPr>
            <w:r>
              <w:t xml:space="preserve">Page-rotation geometry in render and annotation overlay</w:t>
            </w:r>
          </w:p>
        </w:tc>
        <w:tc>
          <w:tcPr/>
          <w:p>
            <w:pPr>
              <w:pStyle w:val="Compact"/>
            </w:pPr>
            <w:r>
              <w:t xml:space="preserve">Each rotated page renders at the correct orientation; an annotation placed on a rotated page reloads at the same visual location after reopen</w:t>
            </w:r>
          </w:p>
        </w:tc>
      </w:tr>
      <w:tr>
        <w:tc>
          <w:tcPr/>
          <w:p>
            <w:pPr>
              <w:pStyle w:val="Compact"/>
            </w:pPr>
            <w:r>
              <w:t xml:space="preserve">PDF with non-English text</w:t>
            </w:r>
          </w:p>
        </w:tc>
        <w:tc>
          <w:tcPr/>
          <w:p>
            <w:pPr>
              <w:pStyle w:val="Compact"/>
            </w:pPr>
            <w:r>
              <w:t xml:space="preserve">Non-Latin script extraction, indexing, and search</w:t>
            </w:r>
          </w:p>
        </w:tc>
        <w:tc>
          <w:tcPr/>
          <w:p>
            <w:pPr>
              <w:pStyle w:val="Compact"/>
            </w:pPr>
            <w:r>
              <w:t xml:space="preserve">Text in the non-English script extracts without mojibake against the stored reference; a query in that script returns the file</w:t>
            </w:r>
          </w:p>
        </w:tc>
      </w:tr>
      <w:tr>
        <w:tc>
          <w:tcPr/>
          <w:p>
            <w:pPr>
              <w:pStyle w:val="Compact"/>
            </w:pPr>
            <w:r>
              <w:t xml:space="preserve">PDF with forms or unusual fonts</w:t>
            </w:r>
          </w:p>
        </w:tc>
        <w:tc>
          <w:tcPr/>
          <w:p>
            <w:pPr>
              <w:pStyle w:val="Compact"/>
            </w:pPr>
            <w:r>
              <w:t xml:space="preserve">Form-field and embedded/non-standard font handling</w:t>
            </w:r>
          </w:p>
        </w:tc>
        <w:tc>
          <w:tcPr/>
          <w:p>
            <w:pPr>
              <w:pStyle w:val="Compact"/>
            </w:pPr>
            <w:r>
              <w:t xml:space="preserve">The file renders without a missing-glyph failure; extraction degrades gracefully where a font lacks a Unicode mapping and the file is flagged rather than silently dropped</w:t>
            </w:r>
          </w:p>
        </w:tc>
      </w:tr>
    </w:tbl>
    <w:bookmarkEnd w:id="26"/>
    <w:bookmarkStart w:id="27" w:name="X5b405353f12c22a8cd0f112386c442df6d129de"/>
    <w:p>
      <w:pPr>
        <w:pStyle w:val="Heading2"/>
      </w:pPr>
      <w:r>
        <w:t xml:space="preserve">2.3 Corpus Governance</w:t>
      </w:r>
    </w:p>
    <w:p>
      <w:pPr>
        <w:pStyle w:val="Compact"/>
        <w:numPr>
          <w:ilvl w:val="0"/>
          <w:numId w:val="1004"/>
        </w:numPr>
      </w:pPr>
      <w:r>
        <w:t xml:space="preserve">Each fixture is stored under version control with a pinned content hash; a fixture's hash is part of the test oracle, so an unintended fixture change fails the build.</w:t>
      </w:r>
    </w:p>
    <w:p>
      <w:pPr>
        <w:pStyle w:val="Compact"/>
        <w:numPr>
          <w:ilvl w:val="0"/>
          <w:numId w:val="1004"/>
        </w:numPr>
      </w:pPr>
      <w:r>
        <w:t xml:space="preserve">Every fixture carries a stored reference artifact — expected extracted text, expected page count, expected metadata, expected outline — against which extraction and render are asserted.</w:t>
      </w:r>
    </w:p>
    <w:p>
      <w:pPr>
        <w:pStyle w:val="Compact"/>
        <w:numPr>
          <w:ilvl w:val="0"/>
          <w:numId w:val="1004"/>
        </w:numPr>
      </w:pPr>
      <w:r>
        <w:t xml:space="preserve">Fixtures contain no real personal data and no copyrighted third-party content beyond what the corpus owner is licensed to redistribute for test purposes.</w:t>
      </w:r>
      <w:r>
        <w:t xml:space="preserve"> </w:t>
      </w:r>
      <w:r>
        <w:rPr>
          <w:rStyle w:val="VerbatimChar"/>
        </w:rPr>
        <w:t xml:space="preserve">[CONTEXT-GAP: licensing/provenance of each redistributed corpus PDF is not fixed in _context and must be recorded before the corpus is shared outside the engagement]</w:t>
      </w:r>
    </w:p>
    <w:p>
      <w:pPr>
        <w:pStyle w:val="Compact"/>
        <w:numPr>
          <w:ilvl w:val="0"/>
          <w:numId w:val="1004"/>
        </w:numPr>
      </w:pPr>
      <w:r>
        <w:t xml:space="preserve">Adding a fixture requires adding its reference artifacts and its expected-handling oracle in the same change; a fixture without an oracle is rejected at review.</w:t>
      </w:r>
    </w:p>
    <w:p>
      <w:pPr>
        <w:pStyle w:val="Compact"/>
        <w:numPr>
          <w:ilvl w:val="0"/>
          <w:numId w:val="1004"/>
        </w:numPr>
      </w:pPr>
      <w:r>
        <w:t xml:space="preserve">The 2,000-book and 500-book performance corpora referenced in Sections 4 and 7 are synthetic catalogue corpora built by replicating and perturbing golden-corpus fixtures to reach the required scale; they are version-pinned by a generation seed so that benchmark runs are reproducible.</w:t>
      </w:r>
    </w:p>
    <w:p>
      <w:pPr>
        <w:pStyle w:val="FirstParagraph"/>
      </w:pPr>
      <w:r>
        <w:t xml:space="preserve">\newpage</w:t>
      </w:r>
    </w:p>
    <w:bookmarkEnd w:id="27"/>
    <w:bookmarkEnd w:id="28"/>
    <w:bookmarkStart w:id="32" w:name="X76a24dd3c030318f79ff36a8f482516c249de72"/>
    <w:p>
      <w:pPr>
        <w:pStyle w:val="Heading1"/>
      </w:pPr>
      <w:r>
        <w:t xml:space="preserve">3. Test Layers</w:t>
      </w:r>
    </w:p>
    <w:bookmarkStart w:id="29" w:name="X6bbb510389424299e3c1e6e5684f02c4e997eef"/>
    <w:p>
      <w:pPr>
        <w:pStyle w:val="Heading2"/>
      </w:pPr>
      <w:r>
        <w:t xml:space="preserve">3.1 Layer Model</w:t>
      </w:r>
    </w:p>
    <w:p>
      <w:pPr>
        <w:pStyle w:val="FirstParagraph"/>
      </w:pPr>
      <w:r>
        <w:t xml:space="preserve">Ogma Library testing is organized into 9 layers aligned to the application's bounded contexts and native-interop seams. Each layer names its scope, representative tests, and tooling. Tooling is named generically: unit and integration tests run on an xUnit/NUnit-style .NET test framework with an assertion and mocking library, benchmarks run on a .NET benchmarking harness, and end-to-end flows run on a desktop UI-automation driver. No specific tool version is claimed here; versions are pinned in the build configuration, not in this strategy.</w:t>
      </w:r>
    </w:p>
    <w:bookmarkEnd w:id="29"/>
    <w:bookmarkStart w:id="30" w:name="X1349e8af76744efac1272a39d47b721c41da362"/>
    <w:p>
      <w:pPr>
        <w:pStyle w:val="Heading2"/>
      </w:pPr>
      <w:r>
        <w:t xml:space="preserve">3.2 The 9 Layers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Scope</w:t>
            </w:r>
          </w:p>
        </w:tc>
        <w:tc>
          <w:tcPr/>
          <w:p>
            <w:pPr>
              <w:pStyle w:val="Compact"/>
            </w:pPr>
            <w:r>
              <w:t xml:space="preserve">Representative tests</w:t>
            </w:r>
          </w:p>
        </w:tc>
        <w:tc>
          <w:tcPr/>
          <w:p>
            <w:pPr>
              <w:pStyle w:val="Compact"/>
            </w:pPr>
            <w:r>
              <w:t xml:space="preserve">Tooling note</w:t>
            </w:r>
          </w:p>
        </w:tc>
      </w:tr>
      <w:tr>
        <w:tc>
          <w:tcPr/>
          <w:p>
            <w:pPr>
              <w:pStyle w:val="Compact"/>
            </w:pPr>
            <w:r>
              <w:t xml:space="preserve">Domain</w:t>
            </w:r>
          </w:p>
        </w:tc>
        <w:tc>
          <w:tcPr/>
          <w:p>
            <w:pPr>
              <w:pStyle w:val="Compact"/>
            </w:pPr>
            <w:r>
              <w:t xml:space="preserve">Book identity, virtual-shelf membership rules, reading-progress calculation, metadata merge policy</w:t>
            </w:r>
          </w:p>
        </w:tc>
        <w:tc>
          <w:tcPr/>
          <w:p>
            <w:pPr>
              <w:pStyle w:val="Compact"/>
            </w:pPr>
            <w:r>
              <w:t xml:space="preserve">Identity from relative path plus content hash is stable across rename/move; a book belongs to multiple shelves independently of path; progress percentage is computed correctly at page boundaries; merge policy selects the maximum-confidence candidate and records provenance</w:t>
            </w:r>
          </w:p>
        </w:tc>
        <w:tc>
          <w:tcPr/>
          <w:p>
            <w:pPr>
              <w:pStyle w:val="Compact"/>
            </w:pPr>
            <w:r>
              <w:t xml:space="preserve">xUnit/NUnit-style unit tests with test doubles; pure-logic, no I/O</w:t>
            </w:r>
          </w:p>
        </w:tc>
      </w:tr>
      <w:tr>
        <w:tc>
          <w:tcPr/>
          <w:p>
            <w:pPr>
              <w:pStyle w:val="Compact"/>
            </w:pPr>
            <w:r>
              <w:t xml:space="preserve">Infrastructure</w:t>
            </w:r>
          </w:p>
        </w:tc>
        <w:tc>
          <w:tcPr/>
          <w:p>
            <w:pPr>
              <w:pStyle w:val="Compact"/>
            </w:pPr>
            <w:r>
              <w:t xml:space="preserve">SQLite schema migrations, file scanner, content-hash matching, provider clients</w:t>
            </w:r>
          </w:p>
        </w:tc>
        <w:tc>
          <w:tcPr/>
          <w:p>
            <w:pPr>
              <w:pStyle w:val="Compact"/>
            </w:pPr>
            <w:r>
              <w:t xml:space="preserve">A migration applies idempotently and rolls back to its pre-migration snapshot on injected failure; the scanner discovers PDFs at depth and honours excluded folders; a renamed file re-matches by hash; provider clients parse stubbed Google Books and Open Library responses</w:t>
            </w:r>
          </w:p>
        </w:tc>
        <w:tc>
          <w:tcPr/>
          <w:p>
            <w:pPr>
              <w:pStyle w:val="Compact"/>
            </w:pPr>
            <w:r>
              <w:t xml:space="preserve">Integration tests against a real on-disk SQLite database and fixture folder tree; provider HTTP stubbed</w:t>
            </w:r>
          </w:p>
        </w:tc>
      </w:tr>
      <w:tr>
        <w:tc>
          <w:tcPr/>
          <w:p>
            <w:pPr>
              <w:pStyle w:val="Compact"/>
            </w:pPr>
            <w:r>
              <w:t xml:space="preserve">PDF</w:t>
            </w:r>
          </w:p>
        </w:tc>
        <w:tc>
          <w:tcPr/>
          <w:p>
            <w:pPr>
              <w:pStyle w:val="Compact"/>
            </w:pPr>
            <w:r>
              <w:t xml:space="preserve">Page render, text extraction, password-file open, annotation geometry</w:t>
            </w:r>
          </w:p>
        </w:tc>
        <w:tc>
          <w:tcPr/>
          <w:p>
            <w:pPr>
              <w:pStyle w:val="Compact"/>
            </w:pPr>
            <w:r>
              <w:t xml:space="preserve">Sample pages render against a reference image within a pixel-difference tolerance; extracted text matches the stored reference; a password file opens only with the correct credential; an annotation on a rotated page reloads at the same location</w:t>
            </w:r>
          </w:p>
        </w:tc>
        <w:tc>
          <w:tcPr/>
          <w:p>
            <w:pPr>
              <w:pStyle w:val="Compact"/>
            </w:pPr>
            <w:r>
              <w:t xml:space="preserve">Integration tests exercising the real PDFium and PdfPig paths over the golden corpus</w:t>
            </w:r>
          </w:p>
        </w:tc>
      </w:tr>
      <w:tr>
        <w:tc>
          <w:tcPr/>
          <w:p>
            <w:pPr>
              <w:pStyle w:val="Compact"/>
            </w:pPr>
            <w:r>
              <w:t xml:space="preserve">Search</w:t>
            </w:r>
          </w:p>
        </w:tc>
        <w:tc>
          <w:tcPr/>
          <w:p>
            <w:pPr>
              <w:pStyle w:val="Compact"/>
            </w:pPr>
            <w:r>
              <w:t xml:space="preserve">Full-text-search ranking, index rebuild, semantic ranking, OCR-derived search</w:t>
            </w:r>
          </w:p>
        </w:tc>
        <w:tc>
          <w:tcPr/>
          <w:p>
            <w:pPr>
              <w:pStyle w:val="Compact"/>
            </w:pPr>
            <w:r>
              <w:t xml:space="preserve">BM25 ranking orders a known query's results in the expected sequence; the FTS5 external-content index rebuilds from source and returns identical results; semantic ranking returns the expected nearest neighbours for a seeded query; OCR-derived text is searchable and marked as such</w:t>
            </w:r>
          </w:p>
        </w:tc>
        <w:tc>
          <w:tcPr/>
          <w:p>
            <w:pPr>
              <w:pStyle w:val="Compact"/>
            </w:pPr>
            <w:r>
              <w:t xml:space="preserve">Integration tests over a real FTS5 index and a seeded embedding store</w:t>
            </w:r>
          </w:p>
        </w:tc>
      </w:tr>
      <w:tr>
        <w:tc>
          <w:tcPr/>
          <w:p>
            <w:pPr>
              <w:pStyle w:val="Compact"/>
            </w:pPr>
            <w:r>
              <w:t xml:space="preserve">AI</w:t>
            </w:r>
          </w:p>
        </w:tc>
        <w:tc>
          <w:tcPr/>
          <w:p>
            <w:pPr>
              <w:pStyle w:val="Compact"/>
            </w:pPr>
            <w:r>
              <w:t xml:space="preserve">Prompt-builder snapshots, provider contract tests, privacy payload tests</w:t>
            </w:r>
          </w:p>
        </w:tc>
        <w:tc>
          <w:tcPr/>
          <w:p>
            <w:pPr>
              <w:pStyle w:val="Compact"/>
            </w:pPr>
            <w:r>
              <w:t xml:space="preserve">The metadata-only prompt builder produces a byte-stable snapshot for a fixed input; every</w:t>
            </w:r>
            <w:r>
              <w:t xml:space="preserve"> </w:t>
            </w:r>
            <w:r>
              <w:rPr>
                <w:rStyle w:val="VerbatimChar"/>
              </w:rPr>
              <w:t xml:space="preserve">IAiProvider</w:t>
            </w:r>
            <w:r>
              <w:t xml:space="preserve"> </w:t>
            </w:r>
            <w:r>
              <w:t xml:space="preserve">implementation satisfies the shared contract test; no off-device request is emitted without a recorded payload-preview confirmation</w:t>
            </w:r>
          </w:p>
        </w:tc>
        <w:tc>
          <w:tcPr/>
          <w:p>
            <w:pPr>
              <w:pStyle w:val="Compact"/>
            </w:pPr>
            <w:r>
              <w:t xml:space="preserve">Unit snapshot tests; contract tests against a stubbed</w:t>
            </w:r>
            <w:r>
              <w:t xml:space="preserve"> </w:t>
            </w:r>
            <w:r>
              <w:rPr>
                <w:rStyle w:val="VerbatimChar"/>
              </w:rPr>
              <w:t xml:space="preserve">IAiProvider</w:t>
            </w:r>
            <w:r>
              <w:t xml:space="preserve">; integration test with a network-egress monitor</w:t>
            </w:r>
          </w:p>
        </w:tc>
      </w:tr>
      <w:tr>
        <w:tc>
          <w:tcPr/>
          <w:p>
            <w:pPr>
              <w:pStyle w:val="Compact"/>
            </w:pPr>
            <w:r>
              <w:t xml:space="preserve">UI</w:t>
            </w:r>
          </w:p>
        </w:tc>
        <w:tc>
          <w:tcPr/>
          <w:p>
            <w:pPr>
              <w:pStyle w:val="Compact"/>
            </w:pPr>
            <w:r>
              <w:t xml:space="preserve">View-model behaviour, keyboard navigation, settings persistence</w:t>
            </w:r>
          </w:p>
        </w:tc>
        <w:tc>
          <w:tcPr/>
          <w:p>
            <w:pPr>
              <w:pStyle w:val="Compact"/>
            </w:pPr>
            <w:r>
              <w:t xml:space="preserve">View-model state transitions match expected outputs for catalogue, reader, and advisor; every primary workflow is keyboard-operable with no keyboard trap; a changed setting persists across application restart</w:t>
            </w:r>
          </w:p>
        </w:tc>
        <w:tc>
          <w:tcPr/>
          <w:p>
            <w:pPr>
              <w:pStyle w:val="Compact"/>
            </w:pPr>
            <w:r>
              <w:t xml:space="preserve">xUnit/NUnit-style view-model unit tests; UI-automation driver for keyboard and persistence flows</w:t>
            </w:r>
          </w:p>
        </w:tc>
      </w:tr>
      <w:tr>
        <w:tc>
          <w:tcPr/>
          <w:p>
            <w:pPr>
              <w:pStyle w:val="Compact"/>
            </w:pPr>
            <w:r>
              <w:t xml:space="preserve">3D</w:t>
            </w:r>
          </w:p>
        </w:tc>
        <w:tc>
          <w:tcPr/>
          <w:p>
            <w:pPr>
              <w:pStyle w:val="Compact"/>
            </w:pPr>
            <w:r>
              <w:t xml:space="preserve">Message-bridge contract, texture loading, WebGL support fallback</w:t>
            </w:r>
          </w:p>
        </w:tc>
        <w:tc>
          <w:tcPr/>
          <w:p>
            <w:pPr>
              <w:pStyle w:val="Compact"/>
            </w:pPr>
            <w:r>
              <w:t xml:space="preserve">The typed C#-to-JavaScript scene message round-trips without field loss; spine textures load for a 500-book scene; when WebGL2 is unavailable, the shelf degrades to grid view rather than failing</w:t>
            </w:r>
          </w:p>
        </w:tc>
        <w:tc>
          <w:tcPr/>
          <w:p>
            <w:pPr>
              <w:pStyle w:val="Compact"/>
            </w:pPr>
            <w:r>
              <w:t xml:space="preserve">Integration tests over the WebView message bridge; capability-helper test forcing the no-WebGL2 path</w:t>
            </w:r>
          </w:p>
        </w:tc>
      </w:tr>
      <w:tr>
        <w:tc>
          <w:tcPr/>
          <w:p>
            <w:pPr>
              <w:pStyle w:val="Compact"/>
            </w:pPr>
            <w:r>
              <w:t xml:space="preserve">Performance</w:t>
            </w:r>
          </w:p>
        </w:tc>
        <w:tc>
          <w:tcPr/>
          <w:p>
            <w:pPr>
              <w:pStyle w:val="Compact"/>
            </w:pPr>
            <w:r>
              <w:t xml:space="preserve">Scan, render, search, and index benchmarks</w:t>
            </w:r>
          </w:p>
        </w:tc>
        <w:tc>
          <w:tcPr/>
          <w:p>
            <w:pPr>
              <w:pStyle w:val="Compact"/>
            </w:pPr>
            <w:r>
              <w:t xml:space="preserve">Cold start, catalogue load, metadata search, full-text search, page turn, 3D frame rate, and AI metadata-only latency are measured against their Section 4 budgets on the reference corpus</w:t>
            </w:r>
          </w:p>
        </w:tc>
        <w:tc>
          <w:tcPr/>
          <w:p>
            <w:pPr>
              <w:pStyle w:val="Compact"/>
            </w:pPr>
            <w:r>
              <w:t xml:space="preserve">.NET benchmarking harness in CI; budgets asserted as pass/fail gates</w:t>
            </w:r>
          </w:p>
        </w:tc>
      </w:tr>
      <w:tr>
        <w:tc>
          <w:tcPr/>
          <w:p>
            <w:pPr>
              <w:pStyle w:val="Compact"/>
            </w:pPr>
            <w:r>
              <w:t xml:space="preserve">Packaging</w:t>
            </w:r>
          </w:p>
        </w:tc>
        <w:tc>
          <w:tcPr/>
          <w:p>
            <w:pPr>
              <w:pStyle w:val="Compact"/>
            </w:pPr>
            <w:r>
              <w:t xml:space="preserve">Install, update, rollback, uninstall, macOS notarization</w:t>
            </w:r>
          </w:p>
        </w:tc>
        <w:tc>
          <w:tcPr/>
          <w:p>
            <w:pPr>
              <w:pStyle w:val="Compact"/>
            </w:pPr>
            <w:r>
              <w:t xml:space="preserve">A clean install produces a working binary; an update applies and a rollback restores the prior version; uninstall removes application files while preserving the user library folder; the macOS build passes notarization</w:t>
            </w:r>
          </w:p>
        </w:tc>
        <w:tc>
          <w:tcPr/>
          <w:p>
            <w:pPr>
              <w:pStyle w:val="Compact"/>
            </w:pPr>
            <w:r>
              <w:t xml:space="preserve">Scripted packaging tests on real Windows and macOS hardware; signature and notarization verification</w:t>
            </w:r>
          </w:p>
        </w:tc>
      </w:tr>
    </w:tbl>
    <w:bookmarkEnd w:id="30"/>
    <w:bookmarkStart w:id="31" w:name="X66fa8187b2526a046a280eaef23c9f31edb5252"/>
    <w:p>
      <w:pPr>
        <w:pStyle w:val="Heading2"/>
      </w:pPr>
      <w:r>
        <w:t xml:space="preserve">3.3 Layer-to-Risk Mapping</w:t>
      </w:r>
    </w:p>
    <w:p>
      <w:pPr>
        <w:pStyle w:val="FirstParagraph"/>
      </w:pPr>
      <w:r>
        <w:t xml:space="preserve">The Domain, Infrastructure, and PDF layers carry the R1 (data-loss) and R4 (recoverability) coverage mandates; the AI layer carries the R2 (privacy-breach) mandate; the Performance layer carries the R3 (budget) mandate. The UI, Search, 3D, and Packaging layers carry R5 functional coverage plus their specific recoverability and degradation cases. This mapping is the basis for the coverage matrix in Section 8.</w:t>
      </w:r>
    </w:p>
    <w:p>
      <w:pPr>
        <w:pStyle w:val="BodyText"/>
      </w:pPr>
      <w:r>
        <w:t xml:space="preserve">\newpage</w:t>
      </w:r>
    </w:p>
    <w:bookmarkEnd w:id="31"/>
    <w:bookmarkEnd w:id="32"/>
    <w:bookmarkStart w:id="44" w:name="Xa6992ad7bbce98f250c28e9f4b4018186f44fd4"/>
    <w:p>
      <w:pPr>
        <w:pStyle w:val="Heading1"/>
      </w:pPr>
      <w:r>
        <w:t xml:space="preserve">4. Performance Testing</w:t>
      </w:r>
    </w:p>
    <w:bookmarkStart w:id="33" w:name="X15f73c24ff8ad799e10d3f65c639b134343f700"/>
    <w:p>
      <w:pPr>
        <w:pStyle w:val="Heading2"/>
      </w:pPr>
      <w:r>
        <w:t xml:space="preserve">4.1 Engineering-Budget Framing</w:t>
      </w:r>
    </w:p>
    <w:p>
      <w:pPr>
        <w:pStyle w:val="FirstParagraph"/>
      </w:pPr>
      <w:r>
        <w:t xml:space="preserve">Every threshold in this section is an engineering budget validated against a representative corpus on defined reference hardware, not a universal guarantee. Each budget is asserted in continuous integration: a benchmark measures the metric at the stated percentile against the named corpus, and the build fails if the budget is exceeded. The benchmarks correspond directly to the NFR-OGMA budgets in SRS Section 5.1.</w:t>
      </w:r>
    </w:p>
    <w:p>
      <w:pPr>
        <w:pStyle w:val="BodyText"/>
      </w:pPr>
      <w:r>
        <w:rPr>
          <w:i/>
          <w:iCs/>
        </w:rPr>
        <w:t xml:space="preserve">The reference-hardware specification — CPU, RAM, and storage class — is not fixed in the context files.</w:t>
      </w:r>
      <w:r>
        <w:t xml:space="preserve"> </w:t>
      </w:r>
      <w:r>
        <w:t xml:space="preserve">Every benchmark in this section therefore carries a hardware precondition that must be resolved before the budget is binding.</w:t>
      </w:r>
      <w:r>
        <w:t xml:space="preserve"> </w:t>
      </w:r>
      <w:r>
        <w:rPr>
          <w:rStyle w:val="VerbatimChar"/>
        </w:rPr>
        <w:t xml:space="preserve">[CONTEXT-GAP: reference-hardware specification — CPU, RAM, storage class]</w:t>
      </w:r>
    </w:p>
    <w:bookmarkEnd w:id="33"/>
    <w:bookmarkStart w:id="42" w:name="Xed10db856af08a701eb88d11694280879fcecc4"/>
    <w:p>
      <w:pPr>
        <w:pStyle w:val="Heading2"/>
      </w:pPr>
      <w:r>
        <w:t xml:space="preserve">4.2 Budget Assertions</w:t>
      </w:r>
    </w:p>
    <w:p>
      <w:pPr>
        <w:pStyle w:val="FirstParagraph"/>
      </w:pPr>
      <w:r>
        <w:t xml:space="preserve">Each budget below states the metric, the method, the reference-hardware caveat, and the deterministic pass/fail oracle.</w:t>
      </w:r>
    </w:p>
    <w:bookmarkStart w:id="34" w:name="Xc22d72fa9243b8d61c0b57cbb44c1e76125948e"/>
    <w:p>
      <w:pPr>
        <w:pStyle w:val="Heading3"/>
      </w:pPr>
      <w:r>
        <w:t xml:space="preserve">4.2.1 Cold-start latency (NFR-OGMA-001)</w:t>
      </w:r>
    </w:p>
    <w:p>
      <w:pPr>
        <w:pStyle w:val="Compact"/>
        <w:numPr>
          <w:ilvl w:val="0"/>
          <w:numId w:val="1005"/>
        </w:numPr>
      </w:pPr>
      <w:r>
        <w:rPr>
          <w:b/>
          <w:bCs/>
        </w:rPr>
        <w:t xml:space="preserve">Budget:</w:t>
      </w:r>
      <w:r>
        <w:t xml:space="preserve"> </w:t>
      </w:r>
      <w:r>
        <w:t xml:space="preserve">Interactive shell reached within 3 seconds at P95.</w:t>
      </w:r>
    </w:p>
    <w:p>
      <w:pPr>
        <w:pStyle w:val="Compact"/>
        <w:numPr>
          <w:ilvl w:val="0"/>
          <w:numId w:val="1005"/>
        </w:numPr>
      </w:pPr>
      <w:r>
        <w:rPr>
          <w:b/>
          <w:bCs/>
        </w:rPr>
        <w:t xml:space="preserve">Method:</w:t>
      </w:r>
      <w:r>
        <w:t xml:space="preserve"> </w:t>
      </w:r>
      <w:r>
        <w:t xml:space="preserve">An instrumented startup benchmark records wall-clock time from process launch to the catalogue list becoming input-responsive, repeated over a fixed number of cold launches with the page cache cleared between runs.</w:t>
      </w:r>
    </w:p>
    <w:p>
      <w:pPr>
        <w:pStyle w:val="Compact"/>
        <w:numPr>
          <w:ilvl w:val="0"/>
          <w:numId w:val="1005"/>
        </w:numPr>
      </w:pPr>
      <w:r>
        <w:rPr>
          <w:b/>
          <w:bCs/>
        </w:rPr>
        <w:t xml:space="preserve">Reference-hardware caveat:</w:t>
      </w:r>
      <w:r>
        <w:t xml:space="preserve"> </w:t>
      </w:r>
      <w:r>
        <w:t xml:space="preserve">Measured on the reference machine only; the budget is undefined on unspecified hardware.</w:t>
      </w:r>
      <w:r>
        <w:t xml:space="preserve"> </w:t>
      </w:r>
      <w:r>
        <w:rPr>
          <w:rStyle w:val="VerbatimChar"/>
        </w:rPr>
        <w:t xml:space="preserve">[CONTEXT-GAP: reference-hardware specification — CPU, RAM, storage class]</w:t>
      </w:r>
    </w:p>
    <w:p>
      <w:pPr>
        <w:pStyle w:val="Compact"/>
        <w:numPr>
          <w:ilvl w:val="0"/>
          <w:numId w:val="1005"/>
        </w:numPr>
      </w:pPr>
      <w:r>
        <w:rPr>
          <w:b/>
          <w:bCs/>
        </w:rPr>
        <w:t xml:space="preserve">Oracle:</w:t>
      </w:r>
      <w:r>
        <w:t xml:space="preserve"> </w:t>
      </w:r>
      <w:r>
        <w:t xml:space="preserve">P95 of recorded launch times ≤ 3 seconds; otherwise the build fails.</w:t>
      </w:r>
    </w:p>
    <w:bookmarkEnd w:id="34"/>
    <w:bookmarkStart w:id="35" w:name="X6b8dd9a05dd22c185e70581c417f13b32517a7c"/>
    <w:p>
      <w:pPr>
        <w:pStyle w:val="Heading3"/>
      </w:pPr>
      <w:r>
        <w:t xml:space="preserve">4.2.2 Catalogue-load latency (NFR-OGMA-002)</w:t>
      </w:r>
    </w:p>
    <w:p>
      <w:pPr>
        <w:pStyle w:val="Compact"/>
        <w:numPr>
          <w:ilvl w:val="0"/>
          <w:numId w:val="1006"/>
        </w:numPr>
      </w:pPr>
      <w:r>
        <w:rPr>
          <w:b/>
          <w:bCs/>
        </w:rPr>
        <w:t xml:space="preserve">Budget:</w:t>
      </w:r>
      <w:r>
        <w:t xml:space="preserve"> </w:t>
      </w:r>
      <w:r>
        <w:t xml:space="preserve">Catalogue for the 2,000-book corpus rendered within 2 seconds at P95, measured after the database is open.</w:t>
      </w:r>
    </w:p>
    <w:p>
      <w:pPr>
        <w:pStyle w:val="Compact"/>
        <w:numPr>
          <w:ilvl w:val="0"/>
          <w:numId w:val="1006"/>
        </w:numPr>
      </w:pPr>
      <w:r>
        <w:rPr>
          <w:b/>
          <w:bCs/>
        </w:rPr>
        <w:t xml:space="preserve">Method:</w:t>
      </w:r>
      <w:r>
        <w:t xml:space="preserve"> </w:t>
      </w:r>
      <w:r>
        <w:t xml:space="preserve">A scripted catalogue-load benchmark opens the pinned 2,000-book corpus database and renders the first catalogue view, repeated over a fixed run count.</w:t>
      </w:r>
    </w:p>
    <w:p>
      <w:pPr>
        <w:pStyle w:val="Compact"/>
        <w:numPr>
          <w:ilvl w:val="0"/>
          <w:numId w:val="1006"/>
        </w:numPr>
      </w:pPr>
      <w:r>
        <w:rPr>
          <w:b/>
          <w:bCs/>
        </w:rPr>
        <w:t xml:space="preserve">Reference-hardware caveat:</w:t>
      </w:r>
      <w:r>
        <w:t xml:space="preserve"> </w:t>
      </w:r>
      <w:r>
        <w:t xml:space="preserve">Reference machine only.</w:t>
      </w:r>
      <w:r>
        <w:t xml:space="preserve"> </w:t>
      </w:r>
      <w:r>
        <w:rPr>
          <w:rStyle w:val="VerbatimChar"/>
        </w:rPr>
        <w:t xml:space="preserve">[CONTEXT-GAP: reference-hardware specification — CPU, RAM, storage class]</w:t>
      </w:r>
    </w:p>
    <w:p>
      <w:pPr>
        <w:pStyle w:val="Compact"/>
        <w:numPr>
          <w:ilvl w:val="0"/>
          <w:numId w:val="1006"/>
        </w:numPr>
      </w:pPr>
      <w:r>
        <w:rPr>
          <w:b/>
          <w:bCs/>
        </w:rPr>
        <w:t xml:space="preserve">Oracle:</w:t>
      </w:r>
      <w:r>
        <w:t xml:space="preserve"> </w:t>
      </w:r>
      <w:r>
        <w:t xml:space="preserve">P95 of render times ≤ 2 seconds.</w:t>
      </w:r>
    </w:p>
    <w:bookmarkEnd w:id="35"/>
    <w:bookmarkStart w:id="36" w:name="Xa6e0b6a0c4913f24f8a11ef6c5fc60e89bad160"/>
    <w:p>
      <w:pPr>
        <w:pStyle w:val="Heading3"/>
      </w:pPr>
      <w:r>
        <w:t xml:space="preserve">4.2.3 Metadata-search latency (NFR-OGMA-003)</w:t>
      </w:r>
    </w:p>
    <w:p>
      <w:pPr>
        <w:pStyle w:val="Compact"/>
        <w:numPr>
          <w:ilvl w:val="0"/>
          <w:numId w:val="1007"/>
        </w:numPr>
      </w:pPr>
      <w:r>
        <w:rPr>
          <w:b/>
          <w:bCs/>
        </w:rPr>
        <w:t xml:space="preserve">Budget:</w:t>
      </w:r>
      <w:r>
        <w:t xml:space="preserve"> </w:t>
      </w:r>
      <w:r>
        <w:t xml:space="preserve">Metadata search returns within 150 ms at P95 on the 2,000-book corpus.</w:t>
      </w:r>
    </w:p>
    <w:p>
      <w:pPr>
        <w:pStyle w:val="Compact"/>
        <w:numPr>
          <w:ilvl w:val="0"/>
          <w:numId w:val="1007"/>
        </w:numPr>
      </w:pPr>
      <w:r>
        <w:rPr>
          <w:b/>
          <w:bCs/>
        </w:rPr>
        <w:t xml:space="preserve">Method:</w:t>
      </w:r>
      <w:r>
        <w:t xml:space="preserve"> </w:t>
      </w:r>
      <w:r>
        <w:t xml:space="preserve">A query-replay benchmark replays a fixed query set against the 2,000-book corpus and records per-query latency.</w:t>
      </w:r>
    </w:p>
    <w:p>
      <w:pPr>
        <w:pStyle w:val="Compact"/>
        <w:numPr>
          <w:ilvl w:val="0"/>
          <w:numId w:val="1007"/>
        </w:numPr>
      </w:pPr>
      <w:r>
        <w:rPr>
          <w:b/>
          <w:bCs/>
        </w:rPr>
        <w:t xml:space="preserve">Reference-hardware caveat:</w:t>
      </w:r>
      <w:r>
        <w:t xml:space="preserve"> </w:t>
      </w:r>
      <w:r>
        <w:t xml:space="preserve">Reference machine only.</w:t>
      </w:r>
      <w:r>
        <w:t xml:space="preserve"> </w:t>
      </w:r>
      <w:r>
        <w:rPr>
          <w:rStyle w:val="VerbatimChar"/>
        </w:rPr>
        <w:t xml:space="preserve">[CONTEXT-GAP: reference-hardware specification — CPU, RAM, storage class]</w:t>
      </w:r>
    </w:p>
    <w:p>
      <w:pPr>
        <w:pStyle w:val="Compact"/>
        <w:numPr>
          <w:ilvl w:val="0"/>
          <w:numId w:val="1007"/>
        </w:numPr>
      </w:pPr>
      <w:r>
        <w:rPr>
          <w:b/>
          <w:bCs/>
        </w:rPr>
        <w:t xml:space="preserve">Oracle:</w:t>
      </w:r>
      <w:r>
        <w:t xml:space="preserve"> </w:t>
      </w:r>
      <w:r>
        <w:t xml:space="preserve">P95 of recorded latencies ≤ 150 ms.</w:t>
      </w:r>
    </w:p>
    <w:bookmarkEnd w:id="36"/>
    <w:bookmarkStart w:id="37" w:name="X531cce143c0a448f83bd5c61883a2aea0ae49e8"/>
    <w:p>
      <w:pPr>
        <w:pStyle w:val="Heading3"/>
      </w:pPr>
      <w:r>
        <w:t xml:space="preserve">4.2.4 Full-text-search latency, warm (NFR-OGMA-004)</w:t>
      </w:r>
    </w:p>
    <w:p>
      <w:pPr>
        <w:pStyle w:val="Compact"/>
        <w:numPr>
          <w:ilvl w:val="0"/>
          <w:numId w:val="1008"/>
        </w:numPr>
      </w:pPr>
      <w:r>
        <w:rPr>
          <w:b/>
          <w:bCs/>
        </w:rPr>
        <w:t xml:space="preserve">Budget:</w:t>
      </w:r>
      <w:r>
        <w:t xml:space="preserve"> </w:t>
      </w:r>
      <w:r>
        <w:t xml:space="preserve">Full-text search returns within 500 ms at P95 against a warm FTS5 index.</w:t>
      </w:r>
    </w:p>
    <w:p>
      <w:pPr>
        <w:pStyle w:val="Compact"/>
        <w:numPr>
          <w:ilvl w:val="0"/>
          <w:numId w:val="1008"/>
        </w:numPr>
      </w:pPr>
      <w:r>
        <w:rPr>
          <w:b/>
          <w:bCs/>
        </w:rPr>
        <w:t xml:space="preserve">Method:</w:t>
      </w:r>
      <w:r>
        <w:t xml:space="preserve"> </w:t>
      </w:r>
      <w:r>
        <w:t xml:space="preserve">A query-replay benchmark warms the FTS5 index, then replays a fixed query set and records latency.</w:t>
      </w:r>
    </w:p>
    <w:p>
      <w:pPr>
        <w:pStyle w:val="Compact"/>
        <w:numPr>
          <w:ilvl w:val="0"/>
          <w:numId w:val="1008"/>
        </w:numPr>
      </w:pPr>
      <w:r>
        <w:rPr>
          <w:b/>
          <w:bCs/>
        </w:rPr>
        <w:t xml:space="preserve">Reference-hardware caveat:</w:t>
      </w:r>
      <w:r>
        <w:t xml:space="preserve"> </w:t>
      </w:r>
      <w:r>
        <w:t xml:space="preserve">Reference machine only; warm-index state is part of the precondition.</w:t>
      </w:r>
      <w:r>
        <w:t xml:space="preserve"> </w:t>
      </w:r>
      <w:r>
        <w:rPr>
          <w:rStyle w:val="VerbatimChar"/>
        </w:rPr>
        <w:t xml:space="preserve">[CONTEXT-GAP: reference-hardware specification — CPU, RAM, storage class]</w:t>
      </w:r>
    </w:p>
    <w:p>
      <w:pPr>
        <w:pStyle w:val="Compact"/>
        <w:numPr>
          <w:ilvl w:val="0"/>
          <w:numId w:val="1008"/>
        </w:numPr>
      </w:pPr>
      <w:r>
        <w:rPr>
          <w:b/>
          <w:bCs/>
        </w:rPr>
        <w:t xml:space="preserve">Oracle:</w:t>
      </w:r>
      <w:r>
        <w:t xml:space="preserve"> </w:t>
      </w:r>
      <w:r>
        <w:t xml:space="preserve">P95 of recorded latencies ≤ 500 ms.</w:t>
      </w:r>
    </w:p>
    <w:bookmarkEnd w:id="37"/>
    <w:bookmarkStart w:id="38" w:name="X32def03d334ed4686112d6fa7da213afa2a96d4"/>
    <w:p>
      <w:pPr>
        <w:pStyle w:val="Heading3"/>
      </w:pPr>
      <w:r>
        <w:t xml:space="preserve">4.2.5 Reader page-turn latency, cached (NFR-OGMA-005)</w:t>
      </w:r>
    </w:p>
    <w:p>
      <w:pPr>
        <w:pStyle w:val="Compact"/>
        <w:numPr>
          <w:ilvl w:val="0"/>
          <w:numId w:val="1009"/>
        </w:numPr>
      </w:pPr>
      <w:r>
        <w:rPr>
          <w:b/>
          <w:bCs/>
        </w:rPr>
        <w:t xml:space="preserve">Budget:</w:t>
      </w:r>
      <w:r>
        <w:t xml:space="preserve"> </w:t>
      </w:r>
      <w:r>
        <w:t xml:space="preserve">A page turn completes within 100 ms at P95 when the target page is cached.</w:t>
      </w:r>
    </w:p>
    <w:p>
      <w:pPr>
        <w:pStyle w:val="Compact"/>
        <w:numPr>
          <w:ilvl w:val="0"/>
          <w:numId w:val="1009"/>
        </w:numPr>
      </w:pPr>
      <w:r>
        <w:rPr>
          <w:b/>
          <w:bCs/>
        </w:rPr>
        <w:t xml:space="preserve">Method:</w:t>
      </w:r>
      <w:r>
        <w:t xml:space="preserve"> </w:t>
      </w:r>
      <w:r>
        <w:t xml:space="preserve">An instrumented reader benchmark pre-caches the target page, then measures the time from page-turn invocation to the page being presented, repeated over a fixed run count.</w:t>
      </w:r>
    </w:p>
    <w:p>
      <w:pPr>
        <w:pStyle w:val="Compact"/>
        <w:numPr>
          <w:ilvl w:val="0"/>
          <w:numId w:val="1009"/>
        </w:numPr>
      </w:pPr>
      <w:r>
        <w:rPr>
          <w:b/>
          <w:bCs/>
        </w:rPr>
        <w:t xml:space="preserve">Reference-hardware caveat:</w:t>
      </w:r>
      <w:r>
        <w:t xml:space="preserve"> </w:t>
      </w:r>
      <w:r>
        <w:t xml:space="preserve">Reference machine only; cached-page state is part of the precondition.</w:t>
      </w:r>
      <w:r>
        <w:t xml:space="preserve"> </w:t>
      </w:r>
      <w:r>
        <w:rPr>
          <w:rStyle w:val="VerbatimChar"/>
        </w:rPr>
        <w:t xml:space="preserve">[CONTEXT-GAP: reference-hardware specification — CPU, RAM, storage class]</w:t>
      </w:r>
    </w:p>
    <w:p>
      <w:pPr>
        <w:pStyle w:val="Compact"/>
        <w:numPr>
          <w:ilvl w:val="0"/>
          <w:numId w:val="1009"/>
        </w:numPr>
      </w:pPr>
      <w:r>
        <w:rPr>
          <w:b/>
          <w:bCs/>
        </w:rPr>
        <w:t xml:space="preserve">Oracle:</w:t>
      </w:r>
      <w:r>
        <w:t xml:space="preserve"> </w:t>
      </w:r>
      <w:r>
        <w:t xml:space="preserve">P95 of recorded page-turn times ≤ 100 ms.</w:t>
      </w:r>
    </w:p>
    <w:bookmarkEnd w:id="38"/>
    <w:bookmarkStart w:id="39" w:name="Xb94b76bae8e9150071013d4ab78caac7df17eea"/>
    <w:p>
      <w:pPr>
        <w:pStyle w:val="Heading3"/>
      </w:pPr>
      <w:r>
        <w:t xml:space="preserve">4.2.6 Thumbnail generation is background-only</w:t>
      </w:r>
    </w:p>
    <w:p>
      <w:pPr>
        <w:pStyle w:val="Compact"/>
        <w:numPr>
          <w:ilvl w:val="0"/>
          <w:numId w:val="1010"/>
        </w:numPr>
      </w:pPr>
      <w:r>
        <w:rPr>
          <w:b/>
          <w:bCs/>
        </w:rPr>
        <w:t xml:space="preserve">Budget:</w:t>
      </w:r>
      <w:r>
        <w:t xml:space="preserve"> </w:t>
      </w:r>
      <w:r>
        <w:t xml:space="preserve">Thumbnail and spine-texture generation never blocks the shell.</w:t>
      </w:r>
    </w:p>
    <w:p>
      <w:pPr>
        <w:pStyle w:val="Compact"/>
        <w:numPr>
          <w:ilvl w:val="0"/>
          <w:numId w:val="1010"/>
        </w:numPr>
      </w:pPr>
      <w:r>
        <w:rPr>
          <w:b/>
          <w:bCs/>
        </w:rPr>
        <w:t xml:space="preserve">Method:</w:t>
      </w:r>
      <w:r>
        <w:t xml:space="preserve"> </w:t>
      </w:r>
      <w:r>
        <w:t xml:space="preserve">UI-thread frame timing is sampled during a scripted scan-and-generate session, consistent with NFR-PROD-005.</w:t>
      </w:r>
    </w:p>
    <w:p>
      <w:pPr>
        <w:pStyle w:val="Compact"/>
        <w:numPr>
          <w:ilvl w:val="0"/>
          <w:numId w:val="1010"/>
        </w:numPr>
      </w:pPr>
      <w:r>
        <w:rPr>
          <w:b/>
          <w:bCs/>
        </w:rPr>
        <w:t xml:space="preserve">Reference-hardware caveat:</w:t>
      </w:r>
      <w:r>
        <w:t xml:space="preserve"> </w:t>
      </w:r>
      <w:r>
        <w:t xml:space="preserve">Reference machine only.</w:t>
      </w:r>
      <w:r>
        <w:t xml:space="preserve"> </w:t>
      </w:r>
      <w:r>
        <w:rPr>
          <w:rStyle w:val="VerbatimChar"/>
        </w:rPr>
        <w:t xml:space="preserve">[CONTEXT-GAP: reference-hardware specification — CPU, RAM, storage class]</w:t>
      </w:r>
    </w:p>
    <w:p>
      <w:pPr>
        <w:pStyle w:val="Compact"/>
        <w:numPr>
          <w:ilvl w:val="0"/>
          <w:numId w:val="1010"/>
        </w:numPr>
      </w:pPr>
      <w:r>
        <w:rPr>
          <w:b/>
          <w:bCs/>
        </w:rPr>
        <w:t xml:space="preserve">Oracle:</w:t>
      </w:r>
      <w:r>
        <w:t xml:space="preserve"> </w:t>
      </w:r>
      <w:r>
        <w:t xml:space="preserve">No UI-thread stall exceeds 100 ms during generation; any stall above 100 ms is logged as a defect and fails the gate.</w:t>
      </w:r>
    </w:p>
    <w:bookmarkEnd w:id="39"/>
    <w:bookmarkStart w:id="40" w:name="Xa2b514d1997bc80f5ccc731c0db014f1dd553d6"/>
    <w:p>
      <w:pPr>
        <w:pStyle w:val="Heading3"/>
      </w:pPr>
      <w:r>
        <w:t xml:space="preserve">4.2.7 3D shelf frame rate (NFR-OGMA-006)</w:t>
      </w:r>
    </w:p>
    <w:p>
      <w:pPr>
        <w:pStyle w:val="Compact"/>
        <w:numPr>
          <w:ilvl w:val="0"/>
          <w:numId w:val="1011"/>
        </w:numPr>
      </w:pPr>
      <w:r>
        <w:rPr>
          <w:b/>
          <w:bCs/>
        </w:rPr>
        <w:t xml:space="preserve">Budget:</w:t>
      </w:r>
      <w:r>
        <w:t xml:space="preserve"> </w:t>
      </w:r>
      <w:r>
        <w:t xml:space="preserve">At least 60 frames per second sustained for a 500-book scene, with graceful degradation when the hardware cannot sustain it.</w:t>
      </w:r>
    </w:p>
    <w:p>
      <w:pPr>
        <w:pStyle w:val="Compact"/>
        <w:numPr>
          <w:ilvl w:val="0"/>
          <w:numId w:val="1011"/>
        </w:numPr>
      </w:pPr>
      <w:r>
        <w:rPr>
          <w:b/>
          <w:bCs/>
        </w:rPr>
        <w:t xml:space="preserve">Method:</w:t>
      </w:r>
      <w:r>
        <w:t xml:space="preserve"> </w:t>
      </w:r>
      <w:r>
        <w:t xml:space="preserve">A frame-timing benchmark renders the pinned 500-book scene and reports the sustained frame rate and the 1% low frame rate; a separate case forces the no-WebGL2 path and asserts degradation to grid view.</w:t>
      </w:r>
    </w:p>
    <w:p>
      <w:pPr>
        <w:pStyle w:val="Compact"/>
        <w:numPr>
          <w:ilvl w:val="0"/>
          <w:numId w:val="1011"/>
        </w:numPr>
      </w:pPr>
      <w:r>
        <w:rPr>
          <w:b/>
          <w:bCs/>
        </w:rPr>
        <w:t xml:space="preserve">Reference-hardware caveat:</w:t>
      </w:r>
      <w:r>
        <w:t xml:space="preserve"> </w:t>
      </w:r>
      <w:r>
        <w:t xml:space="preserve">Reference machine and its graphics capability are part of the precondition; on hardware below the reference, the degradation path is the expected behaviour, not the 60 frames-per-second target.</w:t>
      </w:r>
      <w:r>
        <w:t xml:space="preserve"> </w:t>
      </w:r>
      <w:r>
        <w:rPr>
          <w:rStyle w:val="VerbatimChar"/>
        </w:rPr>
        <w:t xml:space="preserve">[CONTEXT-GAP: reference-hardware specification — CPU, RAM, storage class, GPU/WebGL2 capability]</w:t>
      </w:r>
    </w:p>
    <w:p>
      <w:pPr>
        <w:pStyle w:val="Compact"/>
        <w:numPr>
          <w:ilvl w:val="0"/>
          <w:numId w:val="1011"/>
        </w:numPr>
      </w:pPr>
      <w:r>
        <w:rPr>
          <w:b/>
          <w:bCs/>
        </w:rPr>
        <w:t xml:space="preserve">Oracle:</w:t>
      </w:r>
      <w:r>
        <w:t xml:space="preserve"> </w:t>
      </w:r>
      <w:r>
        <w:t xml:space="preserve">On the reference machine, sustained frame rate ≥ 60 frames per second; on the forced no-WebGL2 path, the shelf renders as grid view without error.</w:t>
      </w:r>
    </w:p>
    <w:bookmarkEnd w:id="40"/>
    <w:bookmarkStart w:id="41" w:name="Xf3e7040f2679146c0c2e9db6a32d3af7e6f0eb7"/>
    <w:p>
      <w:pPr>
        <w:pStyle w:val="Heading3"/>
      </w:pPr>
      <w:r>
        <w:t xml:space="preserve">4.2.8 AI metadata-only response latency (NFR-OGMA-007)</w:t>
      </w:r>
    </w:p>
    <w:p>
      <w:pPr>
        <w:pStyle w:val="Compact"/>
        <w:numPr>
          <w:ilvl w:val="0"/>
          <w:numId w:val="1012"/>
        </w:numPr>
      </w:pPr>
      <w:r>
        <w:rPr>
          <w:b/>
          <w:bCs/>
        </w:rPr>
        <w:t xml:space="preserve">Budget:</w:t>
      </w:r>
      <w:r>
        <w:t xml:space="preserve"> </w:t>
      </w:r>
      <w:r>
        <w:t xml:space="preserve">A metadata-only AI recommendation request for a 300-book prompt path returns within 10 seconds at P95, excluding third-party provider latency.</w:t>
      </w:r>
    </w:p>
    <w:p>
      <w:pPr>
        <w:pStyle w:val="Compact"/>
        <w:numPr>
          <w:ilvl w:val="0"/>
          <w:numId w:val="1012"/>
        </w:numPr>
      </w:pPr>
      <w:r>
        <w:rPr>
          <w:b/>
          <w:bCs/>
        </w:rPr>
        <w:t xml:space="preserve">Method:</w:t>
      </w:r>
      <w:r>
        <w:t xml:space="preserve"> </w:t>
      </w:r>
      <w:r>
        <w:t xml:space="preserve">An instrumented gateway benchmark measures end-to-end latency for the metadata-only path and records provider latency separately.</w:t>
      </w:r>
    </w:p>
    <w:p>
      <w:pPr>
        <w:pStyle w:val="Compact"/>
        <w:numPr>
          <w:ilvl w:val="0"/>
          <w:numId w:val="1012"/>
        </w:numPr>
      </w:pPr>
      <w:r>
        <w:rPr>
          <w:b/>
          <w:bCs/>
        </w:rPr>
        <w:t xml:space="preserve">Reference-hardware caveat:</w:t>
      </w:r>
      <w:r>
        <w:t xml:space="preserve"> </w:t>
      </w:r>
      <w:r>
        <w:t xml:space="preserve">Reference machine only.</w:t>
      </w:r>
      <w:r>
        <w:t xml:space="preserve"> </w:t>
      </w:r>
      <w:r>
        <w:rPr>
          <w:rStyle w:val="VerbatimChar"/>
        </w:rPr>
        <w:t xml:space="preserve">[CONTEXT-GAP: reference-hardware specification — CPU, RAM, storage class]</w:t>
      </w:r>
    </w:p>
    <w:p>
      <w:pPr>
        <w:pStyle w:val="Compact"/>
        <w:numPr>
          <w:ilvl w:val="0"/>
          <w:numId w:val="1012"/>
        </w:numPr>
      </w:pPr>
      <w:r>
        <w:rPr>
          <w:b/>
          <w:bCs/>
        </w:rPr>
        <w:t xml:space="preserve">Oracle:</w:t>
      </w:r>
      <w:r>
        <w:t xml:space="preserve"> </w:t>
      </w:r>
      <w:r>
        <w:t xml:space="preserve">The 10-second budget is not independently measurable as written, because it excludes uncontrolled provider latency without a defined provider-latency cap. The deterministic oracle is therefore restricted to the application-only processing time (prompt assembly plus response handling, excluding the provider round-trip), which the gateway records separately; the end-to-end figure is reported but not gated until a provider-latency cap or an application-only budget is fixed at sign-off.</w:t>
      </w:r>
      <w:r>
        <w:t xml:space="preserve"> </w:t>
      </w:r>
      <w:r>
        <w:rPr>
          <w:rStyle w:val="VerbatimChar"/>
        </w:rPr>
        <w:t xml:space="preserve">[SMART-FAIL: NFR-OGMA-007 end-to-end budget not measurable without a defined provider-latency cap or an application-only processing budget]</w:t>
      </w:r>
    </w:p>
    <w:bookmarkEnd w:id="41"/>
    <w:bookmarkEnd w:id="42"/>
    <w:bookmarkStart w:id="43" w:name="X83686c4f690a07041e034f697475a7362cfd9ad"/>
    <w:p>
      <w:pPr>
        <w:pStyle w:val="Heading2"/>
      </w:pPr>
      <w:r>
        <w:t xml:space="preserve">4.3 Benchmark Governance</w:t>
      </w:r>
    </w:p>
    <w:p>
      <w:pPr>
        <w:pStyle w:val="Compact"/>
        <w:numPr>
          <w:ilvl w:val="0"/>
          <w:numId w:val="1013"/>
        </w:numPr>
      </w:pPr>
      <w:r>
        <w:t xml:space="preserve">Benchmarks run on the pinned reference corpora (2,000-book, 500-book, 300-book prompt path) generated from the golden corpus by a fixed seed, so results are reproducible.</w:t>
      </w:r>
    </w:p>
    <w:p>
      <w:pPr>
        <w:pStyle w:val="Compact"/>
        <w:numPr>
          <w:ilvl w:val="0"/>
          <w:numId w:val="1013"/>
        </w:numPr>
      </w:pPr>
      <w:r>
        <w:t xml:space="preserve">A budget breach fails the build at the Performance layer; a breach is an R3 defect and is triaged before release.</w:t>
      </w:r>
    </w:p>
    <w:p>
      <w:pPr>
        <w:pStyle w:val="Compact"/>
        <w:numPr>
          <w:ilvl w:val="0"/>
          <w:numId w:val="1013"/>
        </w:numPr>
      </w:pPr>
      <w:r>
        <w:t xml:space="preserve">Until the reference-hardware specification is fixed, benchmark results are recorded as trend data and are not used as hard release gates; the release-gate dependency on hardware is tracked in Section 7.</w:t>
      </w:r>
    </w:p>
    <w:p>
      <w:pPr>
        <w:pStyle w:val="FirstParagraph"/>
      </w:pPr>
      <w:r>
        <w:t xml:space="preserve">\newpage</w:t>
      </w:r>
    </w:p>
    <w:bookmarkEnd w:id="43"/>
    <w:bookmarkEnd w:id="44"/>
    <w:bookmarkStart w:id="49" w:name="X0ebe16cc6c631bd82adce13bee8f866deb58fe0"/>
    <w:p>
      <w:pPr>
        <w:pStyle w:val="Heading1"/>
      </w:pPr>
      <w:r>
        <w:t xml:space="preserve">5. Non-Functional Requirement Verification</w:t>
      </w:r>
    </w:p>
    <w:bookmarkStart w:id="45" w:name="X77cd5d69537bdf48af6ee809dfedae6d9fa5a67"/>
    <w:p>
      <w:pPr>
        <w:pStyle w:val="Heading2"/>
      </w:pPr>
      <w:r>
        <w:t xml:space="preserve">5.1 Verification-Method Taxonomy</w:t>
      </w:r>
    </w:p>
    <w:p>
      <w:pPr>
        <w:pStyle w:val="FirstParagraph"/>
      </w:pPr>
      <w:r>
        <w:t xml:space="preserve">Each non-functional requirement (NFR) is assigned one of the four IEEE-recognized verification methods. The method determines how the requirement's satisfaction is demonstrated and which test layer owns it.</w:t>
      </w:r>
    </w:p>
    <w:p>
      <w:pPr>
        <w:pStyle w:val="Compact"/>
        <w:numPr>
          <w:ilvl w:val="0"/>
          <w:numId w:val="1014"/>
        </w:numPr>
      </w:pPr>
      <w:r>
        <w:rPr>
          <w:b/>
          <w:bCs/>
        </w:rPr>
        <w:t xml:space="preserve">Test (T)</w:t>
      </w:r>
      <w:r>
        <w:t xml:space="preserve"> </w:t>
      </w:r>
      <w:r>
        <w:t xml:space="preserve">— an executable test asserts a deterministic pass/fail oracle. Preferred wherever the requirement is measurable.</w:t>
      </w:r>
    </w:p>
    <w:p>
      <w:pPr>
        <w:pStyle w:val="Compact"/>
        <w:numPr>
          <w:ilvl w:val="0"/>
          <w:numId w:val="1014"/>
        </w:numPr>
      </w:pPr>
      <w:r>
        <w:rPr>
          <w:b/>
          <w:bCs/>
        </w:rPr>
        <w:t xml:space="preserve">Analysis (A)</w:t>
      </w:r>
      <w:r>
        <w:t xml:space="preserve"> </w:t>
      </w:r>
      <w:r>
        <w:t xml:space="preserve">— satisfaction is established by examining benchmark data, telemetry, or computed results against a threshold rather than a single assertion.</w:t>
      </w:r>
    </w:p>
    <w:p>
      <w:pPr>
        <w:pStyle w:val="Compact"/>
        <w:numPr>
          <w:ilvl w:val="0"/>
          <w:numId w:val="1014"/>
        </w:numPr>
      </w:pPr>
      <w:r>
        <w:rPr>
          <w:b/>
          <w:bCs/>
        </w:rPr>
        <w:t xml:space="preserve">Inspection (I)</w:t>
      </w:r>
      <w:r>
        <w:t xml:space="preserve"> </w:t>
      </w:r>
      <w:r>
        <w:t xml:space="preserve">— satisfaction is established by examining an artifact (signature, audit record, export file, focus indicator) for the presence and correctness of a required property.</w:t>
      </w:r>
    </w:p>
    <w:p>
      <w:pPr>
        <w:pStyle w:val="Compact"/>
        <w:numPr>
          <w:ilvl w:val="0"/>
          <w:numId w:val="1014"/>
        </w:numPr>
      </w:pPr>
      <w:r>
        <w:rPr>
          <w:b/>
          <w:bCs/>
        </w:rPr>
        <w:t xml:space="preserve">Demonstration (D)</w:t>
      </w:r>
      <w:r>
        <w:t xml:space="preserve"> </w:t>
      </w:r>
      <w:r>
        <w:t xml:space="preserve">— satisfaction is shown by operating the system through a defined scenario and observing the outcome, used where the behaviour is observable but not reducible to a single automated assertion.</w:t>
      </w:r>
    </w:p>
    <w:bookmarkEnd w:id="45"/>
    <w:bookmarkStart w:id="46" w:name="X2b75c279c9fe38f0f022ecdf77cf4af7f8c9d80"/>
    <w:p>
      <w:pPr>
        <w:pStyle w:val="Heading2"/>
      </w:pPr>
      <w:r>
        <w:t xml:space="preserve">5.2 Product-Specific NFR Verification (NFR-OGMA)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NFR</w:t>
            </w:r>
          </w:p>
        </w:tc>
        <w:tc>
          <w:tcPr/>
          <w:p>
            <w:pPr>
              <w:pStyle w:val="Compact"/>
            </w:pPr>
            <w:r>
              <w:t xml:space="preserve">Requirement summary</w:t>
            </w:r>
          </w:p>
        </w:tc>
        <w:tc>
          <w:tcPr/>
          <w:p>
            <w:pPr>
              <w:pStyle w:val="Compact"/>
            </w:pPr>
            <w:r>
              <w:t xml:space="preserve">Method</w:t>
            </w:r>
          </w:p>
        </w:tc>
        <w:tc>
          <w:tcPr/>
          <w:p>
            <w:pPr>
              <w:pStyle w:val="Compact"/>
            </w:pPr>
            <w:r>
              <w:t xml:space="preserve">Owning layer</w:t>
            </w:r>
          </w:p>
        </w:tc>
        <w:tc>
          <w:tcPr/>
          <w:p>
            <w:pPr>
              <w:pStyle w:val="Compact"/>
            </w:pPr>
            <w:r>
              <w:t xml:space="preserve">Measurable?</w:t>
            </w:r>
          </w:p>
        </w:tc>
      </w:tr>
      <w:tr>
        <w:tc>
          <w:tcPr/>
          <w:p>
            <w:pPr>
              <w:pStyle w:val="Compact"/>
            </w:pPr>
            <w:r>
              <w:t xml:space="preserve">NFR-OGMA-001</w:t>
            </w:r>
          </w:p>
        </w:tc>
        <w:tc>
          <w:tcPr/>
          <w:p>
            <w:pPr>
              <w:pStyle w:val="Compact"/>
            </w:pPr>
            <w:r>
              <w:t xml:space="preserve">Cold start ≤ 3 s P95</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NFR-OGMA-002</w:t>
            </w:r>
          </w:p>
        </w:tc>
        <w:tc>
          <w:tcPr/>
          <w:p>
            <w:pPr>
              <w:pStyle w:val="Compact"/>
            </w:pPr>
            <w:r>
              <w:t xml:space="preserve">Catalogue load ≤ 2 s P95, 2,000 books</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NFR-OGMA-003</w:t>
            </w:r>
          </w:p>
        </w:tc>
        <w:tc>
          <w:tcPr/>
          <w:p>
            <w:pPr>
              <w:pStyle w:val="Compact"/>
            </w:pPr>
            <w:r>
              <w:t xml:space="preserve">Metadata search ≤ 150 ms P95</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NFR-OGMA-004</w:t>
            </w:r>
          </w:p>
        </w:tc>
        <w:tc>
          <w:tcPr/>
          <w:p>
            <w:pPr>
              <w:pStyle w:val="Compact"/>
            </w:pPr>
            <w:r>
              <w:t xml:space="preserve">Full-text search ≤ 500 ms P95 warm</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NFR-OGMA-005</w:t>
            </w:r>
          </w:p>
        </w:tc>
        <w:tc>
          <w:tcPr/>
          <w:p>
            <w:pPr>
              <w:pStyle w:val="Compact"/>
            </w:pPr>
            <w:r>
              <w:t xml:space="preserve">Page turn ≤ 100 ms P95 cached</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NFR-OGMA-006</w:t>
            </w:r>
          </w:p>
        </w:tc>
        <w:tc>
          <w:tcPr/>
          <w:p>
            <w:pPr>
              <w:pStyle w:val="Compact"/>
            </w:pPr>
            <w:r>
              <w:t xml:space="preserve">3D shelf ≥ 60 frames per second, 500 books</w:t>
            </w:r>
          </w:p>
        </w:tc>
        <w:tc>
          <w:tcPr/>
          <w:p>
            <w:pPr>
              <w:pStyle w:val="Compact"/>
            </w:pPr>
            <w:r>
              <w:t xml:space="preserve">A</w:t>
            </w:r>
          </w:p>
        </w:tc>
        <w:tc>
          <w:tcPr/>
          <w:p>
            <w:pPr>
              <w:pStyle w:val="Compact"/>
            </w:pPr>
            <w:r>
              <w:t xml:space="preserve">Performance, 3D</w:t>
            </w:r>
          </w:p>
        </w:tc>
        <w:tc>
          <w:tcPr/>
          <w:p>
            <w:pPr>
              <w:pStyle w:val="Compact"/>
            </w:pPr>
            <w:r>
              <w:t xml:space="preserve">Yes — subject to reference hardware</w:t>
            </w:r>
          </w:p>
        </w:tc>
      </w:tr>
      <w:tr>
        <w:tc>
          <w:tcPr/>
          <w:p>
            <w:pPr>
              <w:pStyle w:val="Compact"/>
            </w:pPr>
            <w:r>
              <w:t xml:space="preserve">NFR-OGMA-007</w:t>
            </w:r>
          </w:p>
        </w:tc>
        <w:tc>
          <w:tcPr/>
          <w:p>
            <w:pPr>
              <w:pStyle w:val="Compact"/>
            </w:pPr>
            <w:r>
              <w:t xml:space="preserve">AI metadata-only ≤ 10 s P95</w:t>
            </w:r>
          </w:p>
        </w:tc>
        <w:tc>
          <w:tcPr/>
          <w:p>
            <w:pPr>
              <w:pStyle w:val="Compact"/>
            </w:pPr>
            <w:r>
              <w:t xml:space="preserve">A</w:t>
            </w:r>
          </w:p>
        </w:tc>
        <w:tc>
          <w:tcPr/>
          <w:p>
            <w:pPr>
              <w:pStyle w:val="Compact"/>
            </w:pPr>
            <w:r>
              <w:t xml:space="preserve">Performance, AI</w:t>
            </w:r>
          </w:p>
        </w:tc>
        <w:tc>
          <w:tcPr/>
          <w:p>
            <w:pPr>
              <w:pStyle w:val="Compact"/>
            </w:pPr>
            <w:r>
              <w:t xml:space="preserve">No as written — see flag below</w:t>
            </w:r>
          </w:p>
        </w:tc>
      </w:tr>
      <w:tr>
        <w:tc>
          <w:tcPr/>
          <w:p>
            <w:pPr>
              <w:pStyle w:val="Compact"/>
            </w:pPr>
            <w:r>
              <w:t xml:space="preserve">NFR-OGMA-008</w:t>
            </w:r>
          </w:p>
        </w:tc>
        <w:tc>
          <w:tcPr/>
          <w:p>
            <w:pPr>
              <w:pStyle w:val="Compact"/>
            </w:pPr>
            <w:r>
              <w:t xml:space="preserve">Annotation durable across abnormal termination</w:t>
            </w:r>
          </w:p>
        </w:tc>
        <w:tc>
          <w:tcPr/>
          <w:p>
            <w:pPr>
              <w:pStyle w:val="Compact"/>
            </w:pPr>
            <w:r>
              <w:t xml:space="preserve">T</w:t>
            </w:r>
          </w:p>
        </w:tc>
        <w:tc>
          <w:tcPr/>
          <w:p>
            <w:pPr>
              <w:pStyle w:val="Compact"/>
            </w:pPr>
            <w:r>
              <w:t xml:space="preserve">PDF, Infrastructure</w:t>
            </w:r>
          </w:p>
        </w:tc>
        <w:tc>
          <w:tcPr/>
          <w:p>
            <w:pPr>
              <w:pStyle w:val="Compact"/>
            </w:pPr>
            <w:r>
              <w:t xml:space="preserve">Yes</w:t>
            </w:r>
          </w:p>
        </w:tc>
      </w:tr>
      <w:tr>
        <w:tc>
          <w:tcPr/>
          <w:p>
            <w:pPr>
              <w:pStyle w:val="Compact"/>
            </w:pPr>
            <w:r>
              <w:t xml:space="preserve">NFR-OGMA-009</w:t>
            </w:r>
          </w:p>
        </w:tc>
        <w:tc>
          <w:tcPr/>
          <w:p>
            <w:pPr>
              <w:pStyle w:val="Compact"/>
            </w:pPr>
            <w:r>
              <w:t xml:space="preserve">Background job recoverable without duplicate work</w:t>
            </w:r>
          </w:p>
        </w:tc>
        <w:tc>
          <w:tcPr/>
          <w:p>
            <w:pPr>
              <w:pStyle w:val="Compact"/>
            </w:pPr>
            <w:r>
              <w:t xml:space="preserve">T</w:t>
            </w:r>
          </w:p>
        </w:tc>
        <w:tc>
          <w:tcPr/>
          <w:p>
            <w:pPr>
              <w:pStyle w:val="Compact"/>
            </w:pPr>
            <w:r>
              <w:t xml:space="preserve">Infrastructure</w:t>
            </w:r>
          </w:p>
        </w:tc>
        <w:tc>
          <w:tcPr/>
          <w:p>
            <w:pPr>
              <w:pStyle w:val="Compact"/>
            </w:pPr>
            <w:r>
              <w:t xml:space="preserve">Yes</w:t>
            </w:r>
          </w:p>
        </w:tc>
      </w:tr>
    </w:tbl>
    <w:p>
      <w:pPr>
        <w:pStyle w:val="BodyText"/>
      </w:pPr>
      <w:r>
        <w:rPr>
          <w:rStyle w:val="VerbatimChar"/>
        </w:rPr>
        <w:t xml:space="preserve">[SMART-FAIL: NFR-OGMA-007 not independently measurable while it excludes uncontrolled provider latency without a defined provider-latency cap]</w:t>
      </w:r>
      <w:r>
        <w:t xml:space="preserve"> </w:t>
      </w:r>
      <w:r>
        <w:t xml:space="preserve">— verification is restricted to the application-only processing time per Section 4.2.8 until a cap or an application-only budget is fixed.</w:t>
      </w:r>
    </w:p>
    <w:bookmarkEnd w:id="46"/>
    <w:bookmarkStart w:id="47" w:name="X33a5ebfe39f009ad2282e8e95c1b35baab1c097"/>
    <w:p>
      <w:pPr>
        <w:pStyle w:val="Heading2"/>
      </w:pPr>
      <w:r>
        <w:t xml:space="preserve">5.3 Productivity-Domain NFR Verification (NFR-PROD)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NFR</w:t>
            </w:r>
          </w:p>
        </w:tc>
        <w:tc>
          <w:tcPr/>
          <w:p>
            <w:pPr>
              <w:pStyle w:val="Compact"/>
            </w:pPr>
            <w:r>
              <w:t xml:space="preserve">Requirement summary</w:t>
            </w:r>
          </w:p>
        </w:tc>
        <w:tc>
          <w:tcPr/>
          <w:p>
            <w:pPr>
              <w:pStyle w:val="Compact"/>
            </w:pPr>
            <w:r>
              <w:t xml:space="preserve">Method</w:t>
            </w:r>
          </w:p>
        </w:tc>
        <w:tc>
          <w:tcPr/>
          <w:p>
            <w:pPr>
              <w:pStyle w:val="Compact"/>
            </w:pPr>
            <w:r>
              <w:t xml:space="preserve">Owning layer</w:t>
            </w:r>
          </w:p>
        </w:tc>
        <w:tc>
          <w:tcPr/>
          <w:p>
            <w:pPr>
              <w:pStyle w:val="Compact"/>
            </w:pPr>
            <w:r>
              <w:t xml:space="preserve">Measurable?</w:t>
            </w:r>
          </w:p>
        </w:tc>
      </w:tr>
      <w:tr>
        <w:tc>
          <w:tcPr/>
          <w:p>
            <w:pPr>
              <w:pStyle w:val="Compact"/>
            </w:pPr>
            <w:r>
              <w:t xml:space="preserve">NFR-PROD-001</w:t>
            </w:r>
          </w:p>
        </w:tc>
        <w:tc>
          <w:tcPr/>
          <w:p>
            <w:pPr>
              <w:pStyle w:val="Compact"/>
            </w:pPr>
            <w:r>
              <w:t xml:space="preserve">Local-first core operations with no network</w:t>
            </w:r>
          </w:p>
        </w:tc>
        <w:tc>
          <w:tcPr/>
          <w:p>
            <w:pPr>
              <w:pStyle w:val="Compact"/>
            </w:pPr>
            <w:r>
              <w:t xml:space="preserve">T</w:t>
            </w:r>
          </w:p>
        </w:tc>
        <w:tc>
          <w:tcPr/>
          <w:p>
            <w:pPr>
              <w:pStyle w:val="Compact"/>
            </w:pPr>
            <w:r>
              <w:t xml:space="preserve">Infrastructure, UI</w:t>
            </w:r>
          </w:p>
        </w:tc>
        <w:tc>
          <w:tcPr/>
          <w:p>
            <w:pPr>
              <w:pStyle w:val="Compact"/>
            </w:pPr>
            <w:r>
              <w:t xml:space="preserve">Yes — network interface disabled; identical results asserted</w:t>
            </w:r>
          </w:p>
        </w:tc>
      </w:tr>
      <w:tr>
        <w:tc>
          <w:tcPr/>
          <w:p>
            <w:pPr>
              <w:pStyle w:val="Compact"/>
            </w:pPr>
            <w:r>
              <w:t xml:space="preserve">NFR-PROD-002</w:t>
            </w:r>
          </w:p>
        </w:tc>
        <w:tc>
          <w:tcPr/>
          <w:p>
            <w:pPr>
              <w:pStyle w:val="Compact"/>
            </w:pPr>
            <w:r>
              <w:t xml:space="preserve">Cold start ≤ 3 s P95, 5,000-item corpus</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NFR-PROD-003</w:t>
            </w:r>
          </w:p>
        </w:tc>
        <w:tc>
          <w:tcPr/>
          <w:p>
            <w:pPr>
              <w:pStyle w:val="Compact"/>
            </w:pPr>
            <w:r>
              <w:t xml:space="preserve">First screen ≤ 1 s, subsequent page ≤ 200 ms P95, 50,000 items</w:t>
            </w:r>
          </w:p>
        </w:tc>
        <w:tc>
          <w:tcPr/>
          <w:p>
            <w:pPr>
              <w:pStyle w:val="Compact"/>
            </w:pPr>
            <w:r>
              <w:t xml:space="preserve">A</w:t>
            </w:r>
          </w:p>
        </w:tc>
        <w:tc>
          <w:tcPr/>
          <w:p>
            <w:pPr>
              <w:pStyle w:val="Compact"/>
            </w:pPr>
            <w:r>
              <w:t xml:space="preserve">Performance</w:t>
            </w:r>
          </w:p>
        </w:tc>
        <w:tc>
          <w:tcPr/>
          <w:p>
            <w:pPr>
              <w:pStyle w:val="Compact"/>
            </w:pPr>
            <w:r>
              <w:t xml:space="preserve">Yes — subject to reference hardware</w:t>
            </w:r>
          </w:p>
        </w:tc>
      </w:tr>
      <w:tr>
        <w:tc>
          <w:tcPr/>
          <w:p>
            <w:pPr>
              <w:pStyle w:val="Compact"/>
            </w:pPr>
            <w:r>
              <w:t xml:space="preserve">NFR-PROD-004</w:t>
            </w:r>
          </w:p>
        </w:tc>
        <w:tc>
          <w:tcPr/>
          <w:p>
            <w:pPr>
              <w:pStyle w:val="Compact"/>
            </w:pPr>
            <w:r>
              <w:t xml:space="preserve">Full-text ≤ 500 ms, semantic ≤ 1.5 s P95, 50,000 docs</w:t>
            </w:r>
          </w:p>
        </w:tc>
        <w:tc>
          <w:tcPr/>
          <w:p>
            <w:pPr>
              <w:pStyle w:val="Compact"/>
            </w:pPr>
            <w:r>
              <w:t xml:space="preserve">A</w:t>
            </w:r>
          </w:p>
        </w:tc>
        <w:tc>
          <w:tcPr/>
          <w:p>
            <w:pPr>
              <w:pStyle w:val="Compact"/>
            </w:pPr>
            <w:r>
              <w:t xml:space="preserve">Performance, Search</w:t>
            </w:r>
          </w:p>
        </w:tc>
        <w:tc>
          <w:tcPr/>
          <w:p>
            <w:pPr>
              <w:pStyle w:val="Compact"/>
            </w:pPr>
            <w:r>
              <w:t xml:space="preserve">Yes — subject to reference hardware</w:t>
            </w:r>
          </w:p>
        </w:tc>
      </w:tr>
      <w:tr>
        <w:tc>
          <w:tcPr/>
          <w:p>
            <w:pPr>
              <w:pStyle w:val="Compact"/>
            </w:pPr>
            <w:r>
              <w:t xml:space="preserve">NFR-PROD-005</w:t>
            </w:r>
          </w:p>
        </w:tc>
        <w:tc>
          <w:tcPr/>
          <w:p>
            <w:pPr>
              <w:pStyle w:val="Compact"/>
            </w:pPr>
            <w:r>
              <w:t xml:space="preserve">No UI-thread stall &gt; 100 ms; background work non-blocking</w:t>
            </w:r>
          </w:p>
        </w:tc>
        <w:tc>
          <w:tcPr/>
          <w:p>
            <w:pPr>
              <w:pStyle w:val="Compact"/>
            </w:pPr>
            <w:r>
              <w:t xml:space="preserve">T</w:t>
            </w:r>
          </w:p>
        </w:tc>
        <w:tc>
          <w:tcPr/>
          <w:p>
            <w:pPr>
              <w:pStyle w:val="Compact"/>
            </w:pPr>
            <w:r>
              <w:t xml:space="preserve">UI, Performance</w:t>
            </w:r>
          </w:p>
        </w:tc>
        <w:tc>
          <w:tcPr/>
          <w:p>
            <w:pPr>
              <w:pStyle w:val="Compact"/>
            </w:pPr>
            <w:r>
              <w:t xml:space="preserve">Yes</w:t>
            </w:r>
          </w:p>
        </w:tc>
      </w:tr>
      <w:tr>
        <w:tc>
          <w:tcPr/>
          <w:p>
            <w:pPr>
              <w:pStyle w:val="Compact"/>
            </w:pPr>
            <w:r>
              <w:t xml:space="preserve">NFR-PROD-006</w:t>
            </w:r>
          </w:p>
        </w:tc>
        <w:tc>
          <w:tcPr/>
          <w:p>
            <w:pPr>
              <w:pStyle w:val="Compact"/>
            </w:pPr>
            <w:r>
              <w:t xml:space="preserve">Crash-free session ≥ 99.5%; unsaved-state crash is a blocker</w:t>
            </w:r>
          </w:p>
        </w:tc>
        <w:tc>
          <w:tcPr/>
          <w:p>
            <w:pPr>
              <w:pStyle w:val="Compact"/>
            </w:pPr>
            <w:r>
              <w:t xml:space="preserve">A</w:t>
            </w:r>
          </w:p>
        </w:tc>
        <w:tc>
          <w:tcPr/>
          <w:p>
            <w:pPr>
              <w:pStyle w:val="Compact"/>
            </w:pPr>
            <w:r>
              <w:t xml:space="preserve">UI, Infrastructure</w:t>
            </w:r>
          </w:p>
        </w:tc>
        <w:tc>
          <w:tcPr/>
          <w:p>
            <w:pPr>
              <w:pStyle w:val="Compact"/>
            </w:pPr>
            <w:r>
              <w:t xml:space="preserve">Yes — via opt-in telemetry</w:t>
            </w:r>
          </w:p>
        </w:tc>
      </w:tr>
      <w:tr>
        <w:tc>
          <w:tcPr/>
          <w:p>
            <w:pPr>
              <w:pStyle w:val="Compact"/>
            </w:pPr>
            <w:r>
              <w:t xml:space="preserve">NFR-PROD-007</w:t>
            </w:r>
          </w:p>
        </w:tc>
        <w:tc>
          <w:tcPr/>
          <w:p>
            <w:pPr>
              <w:pStyle w:val="Compact"/>
            </w:pPr>
            <w:r>
              <w:t xml:space="preserve">Keyboard operability, visible focus, no keyboard trap</w:t>
            </w:r>
          </w:p>
        </w:tc>
        <w:tc>
          <w:tcPr/>
          <w:p>
            <w:pPr>
              <w:pStyle w:val="Compact"/>
            </w:pPr>
            <w:r>
              <w:t xml:space="preserve">T, I</w:t>
            </w:r>
          </w:p>
        </w:tc>
        <w:tc>
          <w:tcPr/>
          <w:p>
            <w:pPr>
              <w:pStyle w:val="Compact"/>
            </w:pPr>
            <w:r>
              <w:t xml:space="preserve">UI</w:t>
            </w:r>
          </w:p>
        </w:tc>
        <w:tc>
          <w:tcPr/>
          <w:p>
            <w:pPr>
              <w:pStyle w:val="Compact"/>
            </w:pPr>
            <w:r>
              <w:t xml:space="preserve">Yes — automated check plus focus-indicator inspection</w:t>
            </w:r>
          </w:p>
        </w:tc>
      </w:tr>
      <w:tr>
        <w:tc>
          <w:tcPr/>
          <w:p>
            <w:pPr>
              <w:pStyle w:val="Compact"/>
            </w:pPr>
            <w:r>
              <w:t xml:space="preserve">NFR-PROD-008</w:t>
            </w:r>
          </w:p>
        </w:tc>
        <w:tc>
          <w:tcPr/>
          <w:p>
            <w:pPr>
              <w:pStyle w:val="Compact"/>
            </w:pPr>
            <w:r>
              <w:t xml:space="preserve">Screen-reader name/role/state; AA contrast</w:t>
            </w:r>
          </w:p>
        </w:tc>
        <w:tc>
          <w:tcPr/>
          <w:p>
            <w:pPr>
              <w:pStyle w:val="Compact"/>
            </w:pPr>
            <w:r>
              <w:t xml:space="preserve">T, I</w:t>
            </w:r>
          </w:p>
        </w:tc>
        <w:tc>
          <w:tcPr/>
          <w:p>
            <w:pPr>
              <w:pStyle w:val="Compact"/>
            </w:pPr>
            <w:r>
              <w:t xml:space="preserve">UI</w:t>
            </w:r>
          </w:p>
        </w:tc>
        <w:tc>
          <w:tcPr/>
          <w:p>
            <w:pPr>
              <w:pStyle w:val="Compact"/>
            </w:pPr>
            <w:r>
              <w:t xml:space="preserve">Yes — accessibility API assertion plus contrast audit</w:t>
            </w:r>
          </w:p>
        </w:tc>
      </w:tr>
      <w:tr>
        <w:tc>
          <w:tcPr/>
          <w:p>
            <w:pPr>
              <w:pStyle w:val="Compact"/>
            </w:pPr>
            <w:r>
              <w:t xml:space="preserve">NFR-PROD-009</w:t>
            </w:r>
          </w:p>
        </w:tc>
        <w:tc>
          <w:tcPr/>
          <w:p>
            <w:pPr>
              <w:pStyle w:val="Compact"/>
            </w:pPr>
            <w:r>
              <w:t xml:space="preserve">Data portability; no proprietary lock-in</w:t>
            </w:r>
          </w:p>
        </w:tc>
        <w:tc>
          <w:tcPr/>
          <w:p>
            <w:pPr>
              <w:pStyle w:val="Compact"/>
            </w:pPr>
            <w:r>
              <w:t xml:space="preserve">T</w:t>
            </w:r>
          </w:p>
        </w:tc>
        <w:tc>
          <w:tcPr/>
          <w:p>
            <w:pPr>
              <w:pStyle w:val="Compact"/>
            </w:pPr>
            <w:r>
              <w:t xml:space="preserve">Infrastructure</w:t>
            </w:r>
          </w:p>
        </w:tc>
        <w:tc>
          <w:tcPr/>
          <w:p>
            <w:pPr>
              <w:pStyle w:val="Compact"/>
            </w:pPr>
            <w:r>
              <w:t xml:space="preserve">Yes — export/re-import round-trip</w:t>
            </w:r>
          </w:p>
        </w:tc>
      </w:tr>
      <w:tr>
        <w:tc>
          <w:tcPr/>
          <w:p>
            <w:pPr>
              <w:pStyle w:val="Compact"/>
            </w:pPr>
            <w:r>
              <w:t xml:space="preserve">NFR-PROD-010</w:t>
            </w:r>
          </w:p>
        </w:tc>
        <w:tc>
          <w:tcPr/>
          <w:p>
            <w:pPr>
              <w:pStyle w:val="Compact"/>
            </w:pPr>
            <w:r>
              <w:t xml:space="preserve">Reversible transactional destructive operations</w:t>
            </w:r>
          </w:p>
        </w:tc>
        <w:tc>
          <w:tcPr/>
          <w:p>
            <w:pPr>
              <w:pStyle w:val="Compact"/>
            </w:pPr>
            <w:r>
              <w:t xml:space="preserve">T</w:t>
            </w:r>
          </w:p>
        </w:tc>
        <w:tc>
          <w:tcPr/>
          <w:p>
            <w:pPr>
              <w:pStyle w:val="Compact"/>
            </w:pPr>
            <w:r>
              <w:t xml:space="preserve">Infrastructure, Domain</w:t>
            </w:r>
          </w:p>
        </w:tc>
        <w:tc>
          <w:tcPr/>
          <w:p>
            <w:pPr>
              <w:pStyle w:val="Compact"/>
            </w:pPr>
            <w:r>
              <w:t xml:space="preserve">Yes — fault injection mid-write</w:t>
            </w:r>
          </w:p>
        </w:tc>
      </w:tr>
      <w:tr>
        <w:tc>
          <w:tcPr/>
          <w:p>
            <w:pPr>
              <w:pStyle w:val="Compact"/>
            </w:pPr>
            <w:r>
              <w:t xml:space="preserve">NFR-PROD-011</w:t>
            </w:r>
          </w:p>
        </w:tc>
        <w:tc>
          <w:tcPr/>
          <w:p>
            <w:pPr>
              <w:pStyle w:val="Compact"/>
            </w:pPr>
            <w:r>
              <w:t xml:space="preserve">Privacy-tier transparency and payload preview</w:t>
            </w:r>
          </w:p>
        </w:tc>
        <w:tc>
          <w:tcPr/>
          <w:p>
            <w:pPr>
              <w:pStyle w:val="Compact"/>
            </w:pPr>
            <w:r>
              <w:t xml:space="preserve">T</w:t>
            </w:r>
          </w:p>
        </w:tc>
        <w:tc>
          <w:tcPr/>
          <w:p>
            <w:pPr>
              <w:pStyle w:val="Compact"/>
            </w:pPr>
            <w:r>
              <w:t xml:space="preserve">AI</w:t>
            </w:r>
          </w:p>
        </w:tc>
        <w:tc>
          <w:tcPr/>
          <w:p>
            <w:pPr>
              <w:pStyle w:val="Compact"/>
            </w:pPr>
            <w:r>
              <w:t xml:space="preserve">Yes — no off-device request without recorded confirmation</w:t>
            </w:r>
          </w:p>
        </w:tc>
      </w:tr>
      <w:tr>
        <w:tc>
          <w:tcPr/>
          <w:p>
            <w:pPr>
              <w:pStyle w:val="Compact"/>
            </w:pPr>
            <w:r>
              <w:t xml:space="preserve">NFR-PROD-012</w:t>
            </w:r>
          </w:p>
        </w:tc>
        <w:tc>
          <w:tcPr/>
          <w:p>
            <w:pPr>
              <w:pStyle w:val="Compact"/>
            </w:pPr>
            <w:r>
              <w:t xml:space="preserve">Signed builds; reversible migrations</w:t>
            </w:r>
          </w:p>
        </w:tc>
        <w:tc>
          <w:tcPr/>
          <w:p>
            <w:pPr>
              <w:pStyle w:val="Compact"/>
            </w:pPr>
            <w:r>
              <w:t xml:space="preserve">T, I</w:t>
            </w:r>
          </w:p>
        </w:tc>
        <w:tc>
          <w:tcPr/>
          <w:p>
            <w:pPr>
              <w:pStyle w:val="Compact"/>
            </w:pPr>
            <w:r>
              <w:t xml:space="preserve">Packaging, Infrastructure</w:t>
            </w:r>
          </w:p>
        </w:tc>
        <w:tc>
          <w:tcPr/>
          <w:p>
            <w:pPr>
              <w:pStyle w:val="Compact"/>
            </w:pPr>
            <w:r>
              <w:t xml:space="preserve">Yes — corrupted-artifact rejection; migration-failure restore</w:t>
            </w:r>
          </w:p>
        </w:tc>
      </w:tr>
      <w:tr>
        <w:tc>
          <w:tcPr/>
          <w:p>
            <w:pPr>
              <w:pStyle w:val="Compact"/>
            </w:pPr>
            <w:r>
              <w:t xml:space="preserve">NFR-PROD-013</w:t>
            </w:r>
          </w:p>
        </w:tc>
        <w:tc>
          <w:tcPr/>
          <w:p>
            <w:pPr>
              <w:pStyle w:val="Compact"/>
            </w:pPr>
            <w:r>
              <w:t xml:space="preserve">Local tamper-evident audit trail for sensitive actions</w:t>
            </w:r>
          </w:p>
        </w:tc>
        <w:tc>
          <w:tcPr/>
          <w:p>
            <w:pPr>
              <w:pStyle w:val="Compact"/>
            </w:pPr>
            <w:r>
              <w:t xml:space="preserve">T, I</w:t>
            </w:r>
          </w:p>
        </w:tc>
        <w:tc>
          <w:tcPr/>
          <w:p>
            <w:pPr>
              <w:pStyle w:val="Compact"/>
            </w:pPr>
            <w:r>
              <w:t xml:space="preserve">Infrastructure</w:t>
            </w:r>
          </w:p>
        </w:tc>
        <w:tc>
          <w:tcPr/>
          <w:p>
            <w:pPr>
              <w:pStyle w:val="Compact"/>
            </w:pPr>
            <w:r>
              <w:t xml:space="preserve">Yes — audit record asserted present with required fields</w:t>
            </w:r>
          </w:p>
        </w:tc>
      </w:tr>
      <w:tr>
        <w:tc>
          <w:tcPr/>
          <w:p>
            <w:pPr>
              <w:pStyle w:val="Compact"/>
            </w:pPr>
            <w:r>
              <w:t xml:space="preserve">NFR-PROD-014</w:t>
            </w:r>
          </w:p>
        </w:tc>
        <w:tc>
          <w:tcPr/>
          <w:p>
            <w:pPr>
              <w:pStyle w:val="Compact"/>
            </w:pPr>
            <w:r>
              <w:t xml:space="preserve">AI history and embedding erasure</w:t>
            </w:r>
          </w:p>
        </w:tc>
        <w:tc>
          <w:tcPr/>
          <w:p>
            <w:pPr>
              <w:pStyle w:val="Compact"/>
            </w:pPr>
            <w:r>
              <w:t xml:space="preserve">T</w:t>
            </w:r>
          </w:p>
        </w:tc>
        <w:tc>
          <w:tcPr/>
          <w:p>
            <w:pPr>
              <w:pStyle w:val="Compact"/>
            </w:pPr>
            <w:r>
              <w:t xml:space="preserve">AI, Search</w:t>
            </w:r>
          </w:p>
        </w:tc>
        <w:tc>
          <w:tcPr/>
          <w:p>
            <w:pPr>
              <w:pStyle w:val="Compact"/>
            </w:pPr>
            <w:r>
              <w:t xml:space="preserve">Yes — no residual vectors or cached responses after scoped erasure</w:t>
            </w:r>
          </w:p>
        </w:tc>
      </w:tr>
    </w:tbl>
    <w:bookmarkEnd w:id="47"/>
    <w:bookmarkStart w:id="48" w:name="Xfdddb052284a3a9d353fc0b1f42e0d3f1c0150d"/>
    <w:p>
      <w:pPr>
        <w:pStyle w:val="Heading2"/>
      </w:pPr>
      <w:r>
        <w:t xml:space="preserve">5.4 Measurability Summary</w:t>
      </w:r>
    </w:p>
    <w:p>
      <w:pPr>
        <w:pStyle w:val="FirstParagraph"/>
      </w:pPr>
      <w:r>
        <w:t xml:space="preserve">Every NFR except NFR-OGMA-007 has a measurable, deterministic verification method. The seven NFR-OGMA performance budgets and the four NFR-PROD performance budgets are measurable but are conditioned on the unresolved reference-hardware specification; they are recorded as trend data and become hard gates once the hardware is fixed. NFR-OGMA-007 is the single requirement that fails the measurability gate as written and is flagged above for resolution at sign-off.</w:t>
      </w:r>
    </w:p>
    <w:p>
      <w:pPr>
        <w:pStyle w:val="BodyText"/>
      </w:pPr>
      <w:r>
        <w:t xml:space="preserve">\newpage</w:t>
      </w:r>
    </w:p>
    <w:bookmarkEnd w:id="48"/>
    <w:bookmarkEnd w:id="49"/>
    <w:bookmarkStart w:id="58" w:name="X3564eae49000b550a8a17d12b3444df332552aa"/>
    <w:p>
      <w:pPr>
        <w:pStyle w:val="Heading1"/>
      </w:pPr>
      <w:r>
        <w:t xml:space="preserve">6. Reliability and Recovery Testing</w:t>
      </w:r>
    </w:p>
    <w:bookmarkStart w:id="50" w:name="X0dbd68819a8a715a4f048e5b11de59f217ee641"/>
    <w:p>
      <w:pPr>
        <w:pStyle w:val="Heading2"/>
      </w:pPr>
      <w:r>
        <w:t xml:space="preserve">6.1 Scope</w:t>
      </w:r>
    </w:p>
    <w:p>
      <w:pPr>
        <w:pStyle w:val="FirstParagraph"/>
      </w:pPr>
      <w:r>
        <w:t xml:space="preserve">Reliability and recovery testing verifies that Ogma Library protects user-authored data and remains usable through failure. Every test in this section targets an R1 (data-loss) or R4 (recoverability) risk and is a release blocker on failure. Each case names a fault to inject, the action under test, and the deterministic oracle.</w:t>
      </w:r>
    </w:p>
    <w:bookmarkEnd w:id="50"/>
    <w:bookmarkStart w:id="51" w:name="Xecb240f37d4479575b3cdabdd288060bd98de08"/>
    <w:p>
      <w:pPr>
        <w:pStyle w:val="Heading2"/>
      </w:pPr>
      <w:r>
        <w:t xml:space="preserve">6.2 Per-File Scan Failure Isolation</w:t>
      </w:r>
    </w:p>
    <w:p>
      <w:pPr>
        <w:pStyle w:val="FirstParagraph"/>
      </w:pPr>
      <w:r>
        <w:t xml:space="preserve">A failure parsing one file must not abort the scan of the whole library (FR-LIB-005, FR-LIB-007).</w:t>
      </w:r>
    </w:p>
    <w:p>
      <w:pPr>
        <w:pStyle w:val="Compact"/>
        <w:numPr>
          <w:ilvl w:val="0"/>
          <w:numId w:val="1015"/>
        </w:numPr>
      </w:pPr>
      <w:r>
        <w:rPr>
          <w:b/>
          <w:bCs/>
        </w:rPr>
        <w:t xml:space="preserve">Fault injected:</w:t>
      </w:r>
      <w:r>
        <w:t xml:space="preserve"> </w:t>
      </w:r>
      <w:r>
        <w:t xml:space="preserve">The golden corpus is scanned with the password-protected, malformed-metadata, and unusual-font fixtures present, and a parse exception is forced on one fixture.</w:t>
      </w:r>
    </w:p>
    <w:p>
      <w:pPr>
        <w:pStyle w:val="Compact"/>
        <w:numPr>
          <w:ilvl w:val="0"/>
          <w:numId w:val="1015"/>
        </w:numPr>
      </w:pPr>
      <w:r>
        <w:rPr>
          <w:b/>
          <w:bCs/>
        </w:rPr>
        <w:t xml:space="preserve">Action under test:</w:t>
      </w:r>
      <w:r>
        <w:t xml:space="preserve"> </w:t>
      </w:r>
      <w:r>
        <w:t xml:space="preserve">A full library scan over a fixture tree containing the failing file plus valid files.</w:t>
      </w:r>
    </w:p>
    <w:p>
      <w:pPr>
        <w:pStyle w:val="Compact"/>
        <w:numPr>
          <w:ilvl w:val="0"/>
          <w:numId w:val="1015"/>
        </w:numPr>
      </w:pPr>
      <w:r>
        <w:rPr>
          <w:b/>
          <w:bCs/>
        </w:rPr>
        <w:t xml:space="preserve">Oracle:</w:t>
      </w:r>
      <w:r>
        <w:t xml:space="preserve"> </w:t>
      </w:r>
      <w:r>
        <w:t xml:space="preserve">Every valid file is catalogued; the failing file is recorded in the scan health report under the correct category; the scan completes rather than aborting; the process does not crash.</w:t>
      </w:r>
    </w:p>
    <w:bookmarkEnd w:id="51"/>
    <w:bookmarkStart w:id="52" w:name="X29d3b31fc51d20ec0ae9008fa3813d9ae40c456"/>
    <w:p>
      <w:pPr>
        <w:pStyle w:val="Heading2"/>
      </w:pPr>
      <w:r>
        <w:t xml:space="preserve">6.3 Transactional Metadata Write-Back</w:t>
      </w:r>
    </w:p>
    <w:p>
      <w:pPr>
        <w:pStyle w:val="FirstParagraph"/>
      </w:pPr>
      <w:r>
        <w:t xml:space="preserve">PDF metadata write-back must follow a backup-write-verify-restore protocol so that a failure leaves the original intact (FR-META-005, NFR-PROD-010, NFR-PROD-012).</w:t>
      </w:r>
    </w:p>
    <w:p>
      <w:pPr>
        <w:pStyle w:val="Compact"/>
        <w:numPr>
          <w:ilvl w:val="0"/>
          <w:numId w:val="1016"/>
        </w:numPr>
      </w:pPr>
      <w:r>
        <w:rPr>
          <w:b/>
          <w:bCs/>
        </w:rPr>
        <w:t xml:space="preserve">Fault injected:</w:t>
      </w:r>
      <w:r>
        <w:t xml:space="preserve"> </w:t>
      </w:r>
      <w:r>
        <w:t xml:space="preserve">A write failure is forced after the backup is taken and after the write begins but before verification completes.</w:t>
      </w:r>
    </w:p>
    <w:p>
      <w:pPr>
        <w:pStyle w:val="Compact"/>
        <w:numPr>
          <w:ilvl w:val="0"/>
          <w:numId w:val="1016"/>
        </w:numPr>
      </w:pPr>
      <w:r>
        <w:rPr>
          <w:b/>
          <w:bCs/>
        </w:rPr>
        <w:t xml:space="preserve">Action under test:</w:t>
      </w:r>
      <w:r>
        <w:t xml:space="preserve"> </w:t>
      </w:r>
      <w:r>
        <w:t xml:space="preserve">Metadata write-back to a malformed-metadata fixture.</w:t>
      </w:r>
    </w:p>
    <w:p>
      <w:pPr>
        <w:pStyle w:val="Compact"/>
        <w:numPr>
          <w:ilvl w:val="0"/>
          <w:numId w:val="1016"/>
        </w:numPr>
      </w:pPr>
      <w:r>
        <w:rPr>
          <w:b/>
          <w:bCs/>
        </w:rPr>
        <w:t xml:space="preserve">Oracle:</w:t>
      </w:r>
      <w:r>
        <w:t xml:space="preserve"> </w:t>
      </w:r>
      <w:r>
        <w:t xml:space="preserve">The original file is restored byte-for-byte from the backup; the catalogue records the write-back as failed; no partial or corrupt PDF remains; the user-visible field diff that was previewed before the write is unchanged on disk.</w:t>
      </w:r>
    </w:p>
    <w:bookmarkEnd w:id="52"/>
    <w:bookmarkStart w:id="53" w:name="X13e3606325f12b8ac2db32c91fc6a97edc4f28c"/>
    <w:p>
      <w:pPr>
        <w:pStyle w:val="Heading2"/>
      </w:pPr>
      <w:r>
        <w:t xml:space="preserve">6.4 Resumable Background Jobs</w:t>
      </w:r>
    </w:p>
    <w:p>
      <w:pPr>
        <w:pStyle w:val="FirstParagraph"/>
      </w:pPr>
      <w:r>
        <w:t xml:space="preserve">Thumbnail generation, indexing, OCR, embedding, and enrichment jobs must resume or restart after an application restart without duplicating completed work (FR-LIB-005, FR-SEARCH-006, NFR-OGMA-009).</w:t>
      </w:r>
    </w:p>
    <w:p>
      <w:pPr>
        <w:pStyle w:val="Compact"/>
        <w:numPr>
          <w:ilvl w:val="0"/>
          <w:numId w:val="1017"/>
        </w:numPr>
      </w:pPr>
      <w:r>
        <w:rPr>
          <w:b/>
          <w:bCs/>
        </w:rPr>
        <w:t xml:space="preserve">Fault injected:</w:t>
      </w:r>
      <w:r>
        <w:t xml:space="preserve"> </w:t>
      </w:r>
      <w:r>
        <w:t xml:space="preserve">Each job type is interrupted mid-run by terminating the process.</w:t>
      </w:r>
    </w:p>
    <w:p>
      <w:pPr>
        <w:pStyle w:val="Compact"/>
        <w:numPr>
          <w:ilvl w:val="0"/>
          <w:numId w:val="1017"/>
        </w:numPr>
      </w:pPr>
      <w:r>
        <w:rPr>
          <w:b/>
          <w:bCs/>
        </w:rPr>
        <w:t xml:space="preserve">Action under test:</w:t>
      </w:r>
      <w:r>
        <w:t xml:space="preserve"> </w:t>
      </w:r>
      <w:r>
        <w:t xml:space="preserve">The application is restarted and the interrupted job is allowed to continue.</w:t>
      </w:r>
    </w:p>
    <w:p>
      <w:pPr>
        <w:pStyle w:val="Compact"/>
        <w:numPr>
          <w:ilvl w:val="0"/>
          <w:numId w:val="1017"/>
        </w:numPr>
      </w:pPr>
      <w:r>
        <w:rPr>
          <w:b/>
          <w:bCs/>
        </w:rPr>
        <w:t xml:space="preserve">Oracle:</w:t>
      </w:r>
      <w:r>
        <w:t xml:space="preserve"> </w:t>
      </w:r>
      <w:r>
        <w:t xml:space="preserve">For each job type, the job completes after restart; the count of produced outputs equals the expected total with no duplicate output; already-completed work is not redone.</w:t>
      </w:r>
    </w:p>
    <w:bookmarkEnd w:id="53"/>
    <w:bookmarkStart w:id="54" w:name="Xa1da6be13cc6350600c717d1b445e3b29be2439"/>
    <w:p>
      <w:pPr>
        <w:pStyle w:val="Heading2"/>
      </w:pPr>
      <w:r>
        <w:t xml:space="preserve">6.5 Index Repair From Source</w:t>
      </w:r>
    </w:p>
    <w:p>
      <w:pPr>
        <w:pStyle w:val="FirstParagraph"/>
      </w:pPr>
      <w:r>
        <w:t xml:space="preserve">A corrupted full-text or vector index must be repairable from the source corpus without loss of search capability (FR-SEARCH-002, FR-SEARCH-006).</w:t>
      </w:r>
    </w:p>
    <w:p>
      <w:pPr>
        <w:pStyle w:val="Compact"/>
        <w:numPr>
          <w:ilvl w:val="0"/>
          <w:numId w:val="1018"/>
        </w:numPr>
      </w:pPr>
      <w:r>
        <w:rPr>
          <w:b/>
          <w:bCs/>
        </w:rPr>
        <w:t xml:space="preserve">Fault injected:</w:t>
      </w:r>
      <w:r>
        <w:t xml:space="preserve"> </w:t>
      </w:r>
      <w:r>
        <w:t xml:space="preserve">The FTS5 external-content index and the embedding store are corrupted on disk.</w:t>
      </w:r>
    </w:p>
    <w:p>
      <w:pPr>
        <w:pStyle w:val="Compact"/>
        <w:numPr>
          <w:ilvl w:val="0"/>
          <w:numId w:val="1018"/>
        </w:numPr>
      </w:pPr>
      <w:r>
        <w:rPr>
          <w:b/>
          <w:bCs/>
        </w:rPr>
        <w:t xml:space="preserve">Action under test:</w:t>
      </w:r>
      <w:r>
        <w:t xml:space="preserve"> </w:t>
      </w:r>
      <w:r>
        <w:t xml:space="preserve">The index manager rebuilds the index from source extracted text and embeddings.</w:t>
      </w:r>
    </w:p>
    <w:p>
      <w:pPr>
        <w:pStyle w:val="Compact"/>
        <w:numPr>
          <w:ilvl w:val="0"/>
          <w:numId w:val="1018"/>
        </w:numPr>
      </w:pPr>
      <w:r>
        <w:rPr>
          <w:b/>
          <w:bCs/>
        </w:rPr>
        <w:t xml:space="preserve">Oracle:</w:t>
      </w:r>
      <w:r>
        <w:t xml:space="preserve"> </w:t>
      </w:r>
      <w:r>
        <w:t xml:space="preserve">After rebuild, a fixed query set returns results identical to the pre-corruption baseline; the index size and indexed-book count match the source corpus.</w:t>
      </w:r>
    </w:p>
    <w:bookmarkEnd w:id="54"/>
    <w:bookmarkStart w:id="55" w:name="Xe1aa034917d8fcb659dbb68608ec67993a7c99d"/>
    <w:p>
      <w:pPr>
        <w:pStyle w:val="Heading2"/>
      </w:pPr>
      <w:r>
        <w:t xml:space="preserve">6.6 Missing-File Metadata Preservation</w:t>
      </w:r>
    </w:p>
    <w:p>
      <w:pPr>
        <w:pStyle w:val="FirstParagraph"/>
      </w:pPr>
      <w:r>
        <w:t xml:space="preserve">A file that disappears from disk must never cause deletion of the user's metadata, shelves, notes, or progress (FR-LIB-004).</w:t>
      </w:r>
    </w:p>
    <w:p>
      <w:pPr>
        <w:pStyle w:val="Compact"/>
        <w:numPr>
          <w:ilvl w:val="0"/>
          <w:numId w:val="1019"/>
        </w:numPr>
      </w:pPr>
      <w:r>
        <w:rPr>
          <w:b/>
          <w:bCs/>
        </w:rPr>
        <w:t xml:space="preserve">Fault injected:</w:t>
      </w:r>
      <w:r>
        <w:t xml:space="preserve"> </w:t>
      </w:r>
      <w:r>
        <w:t xml:space="preserve">A catalogued file is deleted from disk before a rescan.</w:t>
      </w:r>
    </w:p>
    <w:p>
      <w:pPr>
        <w:pStyle w:val="Compact"/>
        <w:numPr>
          <w:ilvl w:val="0"/>
          <w:numId w:val="1019"/>
        </w:numPr>
      </w:pPr>
      <w:r>
        <w:rPr>
          <w:b/>
          <w:bCs/>
        </w:rPr>
        <w:t xml:space="preserve">Action under test:</w:t>
      </w:r>
      <w:r>
        <w:t xml:space="preserve"> </w:t>
      </w:r>
      <w:r>
        <w:t xml:space="preserve">A rescan, followed by retrieval of the record's user-authored data.</w:t>
      </w:r>
    </w:p>
    <w:p>
      <w:pPr>
        <w:pStyle w:val="Compact"/>
        <w:numPr>
          <w:ilvl w:val="0"/>
          <w:numId w:val="1019"/>
        </w:numPr>
      </w:pPr>
      <w:r>
        <w:rPr>
          <w:b/>
          <w:bCs/>
        </w:rPr>
        <w:t xml:space="preserve">Oracle:</w:t>
      </w:r>
      <w:r>
        <w:t xml:space="preserve"> </w:t>
      </w:r>
      <w:r>
        <w:t xml:space="preserve">The record is flagged unavailable; every metadata field, shelf membership, note, highlight, and progress value for the record remains retrievable; restoring the file re-matches it to the same record by content hash.</w:t>
      </w:r>
    </w:p>
    <w:bookmarkEnd w:id="55"/>
    <w:bookmarkStart w:id="56" w:name="X46db300ec516d5dee7ff0fcc62fed8c5bae41cd"/>
    <w:p>
      <w:pPr>
        <w:pStyle w:val="Heading2"/>
      </w:pPr>
      <w:r>
        <w:t xml:space="preserve">6.7 AI Degradation to Local Search</w:t>
      </w:r>
    </w:p>
    <w:p>
      <w:pPr>
        <w:pStyle w:val="FirstParagraph"/>
      </w:pPr>
      <w:r>
        <w:t xml:space="preserve">An AI provider failure must degrade gracefully to local search rather than blocking the user (FR-AI-001, FR-SEARCH-001, NFR-PROD-001).</w:t>
      </w:r>
    </w:p>
    <w:p>
      <w:pPr>
        <w:pStyle w:val="Compact"/>
        <w:numPr>
          <w:ilvl w:val="0"/>
          <w:numId w:val="1020"/>
        </w:numPr>
      </w:pPr>
      <w:r>
        <w:rPr>
          <w:b/>
          <w:bCs/>
        </w:rPr>
        <w:t xml:space="preserve">Fault injected:</w:t>
      </w:r>
      <w:r>
        <w:t xml:space="preserve"> </w:t>
      </w:r>
      <w:r>
        <w:t xml:space="preserve">The configured</w:t>
      </w:r>
      <w:r>
        <w:t xml:space="preserve"> </w:t>
      </w:r>
      <w:r>
        <w:rPr>
          <w:rStyle w:val="VerbatimChar"/>
        </w:rPr>
        <w:t xml:space="preserve">IAiProvider</w:t>
      </w:r>
      <w:r>
        <w:t xml:space="preserve"> </w:t>
      </w:r>
      <w:r>
        <w:t xml:space="preserve">returns an error or times out.</w:t>
      </w:r>
    </w:p>
    <w:p>
      <w:pPr>
        <w:pStyle w:val="Compact"/>
        <w:numPr>
          <w:ilvl w:val="0"/>
          <w:numId w:val="1020"/>
        </w:numPr>
      </w:pPr>
      <w:r>
        <w:rPr>
          <w:b/>
          <w:bCs/>
        </w:rPr>
        <w:t xml:space="preserve">Action under test:</w:t>
      </w:r>
      <w:r>
        <w:t xml:space="preserve"> </w:t>
      </w:r>
      <w:r>
        <w:t xml:space="preserve">A recommendation request and a search request while the provider is failing.</w:t>
      </w:r>
    </w:p>
    <w:p>
      <w:pPr>
        <w:pStyle w:val="Compact"/>
        <w:numPr>
          <w:ilvl w:val="0"/>
          <w:numId w:val="1020"/>
        </w:numPr>
      </w:pPr>
      <w:r>
        <w:rPr>
          <w:b/>
          <w:bCs/>
        </w:rPr>
        <w:t xml:space="preserve">Oracle:</w:t>
      </w:r>
      <w:r>
        <w:t xml:space="preserve"> </w:t>
      </w:r>
      <w:r>
        <w:t xml:space="preserve">The recommendation path reports the provider failure without crashing; local metadata search and local full-text search continue to return results; no core reading, browsing, or search function is blocked by the AI failure.</w:t>
      </w:r>
    </w:p>
    <w:bookmarkEnd w:id="56"/>
    <w:bookmarkStart w:id="57" w:name="X98be7ee05fdcef3cf92cfa9679c667431c09c05"/>
    <w:p>
      <w:pPr>
        <w:pStyle w:val="Heading2"/>
      </w:pPr>
      <w:r>
        <w:t xml:space="preserve">6.8 Reliability Exit Rule</w:t>
      </w:r>
    </w:p>
    <w:p>
      <w:pPr>
        <w:pStyle w:val="FirstParagraph"/>
      </w:pPr>
      <w:r>
        <w:t xml:space="preserve">No release candidate proceeds while any case in this section is failing. A reliability failure is an R1 or R4 defect; it cannot be waived, consistent with the no-waiver rule for data-loss and recoverability risks in Section 1.2.</w:t>
      </w:r>
    </w:p>
    <w:p>
      <w:pPr>
        <w:pStyle w:val="BodyText"/>
      </w:pPr>
      <w:r>
        <w:t xml:space="preserve">\newpage</w:t>
      </w:r>
    </w:p>
    <w:bookmarkEnd w:id="57"/>
    <w:bookmarkEnd w:id="58"/>
    <w:bookmarkStart w:id="63" w:name="X386b3187cc56a9daad3591177e9cc670cf9ac45"/>
    <w:p>
      <w:pPr>
        <w:pStyle w:val="Heading1"/>
      </w:pPr>
      <w:r>
        <w:t xml:space="preserve">7. Release Gates</w:t>
      </w:r>
    </w:p>
    <w:bookmarkStart w:id="59" w:name="Xe247579fa7c84ab157146e56031615273142e1c"/>
    <w:p>
      <w:pPr>
        <w:pStyle w:val="Heading2"/>
      </w:pPr>
      <w:r>
        <w:t xml:space="preserve">7.1 Gate Model</w:t>
      </w:r>
    </w:p>
    <w:p>
      <w:pPr>
        <w:pStyle w:val="FirstParagraph"/>
      </w:pPr>
      <w:r>
        <w:t xml:space="preserve">A release gate is a verifiable precondition that must pass before the corresponding release event is permitted. The gates below are drawn from the design report's launch criteria and are stated as deterministic gate criteria tied to the beta channel:</w:t>
      </w:r>
      <w:r>
        <w:t xml:space="preserve"> </w:t>
      </w:r>
      <w:r>
        <w:rPr>
          <w:i/>
          <w:iCs/>
        </w:rPr>
        <w:t xml:space="preserve">no public beta is released until every gate in Section 7.2 passes.</w:t>
      </w:r>
      <w:r>
        <w:t xml:space="preserve"> </w:t>
      </w:r>
      <w:r>
        <w:t xml:space="preserve">Each gate names the verification owner layer and the pass oracle.</w:t>
      </w:r>
    </w:p>
    <w:bookmarkEnd w:id="59"/>
    <w:bookmarkStart w:id="60" w:name="X5761181efd86c2e4f3674445e0dd9b15c0fbdde"/>
    <w:p>
      <w:pPr>
        <w:pStyle w:val="Heading2"/>
      </w:pPr>
      <w:r>
        <w:t xml:space="preserve">7.2 Public-Beta Gate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Criterion</w:t>
            </w:r>
          </w:p>
        </w:tc>
        <w:tc>
          <w:tcPr/>
          <w:p>
            <w:pPr>
              <w:pStyle w:val="Compact"/>
            </w:pPr>
            <w:r>
              <w:t xml:space="preserve">Verification</w:t>
            </w:r>
          </w:p>
        </w:tc>
        <w:tc>
          <w:tcPr/>
          <w:p>
            <w:pPr>
              <w:pStyle w:val="Compact"/>
            </w:pPr>
            <w:r>
              <w:t xml:space="preserve">Pass oracle</w:t>
            </w:r>
          </w:p>
        </w:tc>
      </w:tr>
      <w:tr>
        <w:tc>
          <w:tcPr/>
          <w:p>
            <w:pPr>
              <w:pStyle w:val="Compact"/>
            </w:pPr>
            <w:r>
              <w:t xml:space="preserve">G1 — WebView bridge spike</w:t>
            </w:r>
          </w:p>
        </w:tc>
        <w:tc>
          <w:tcPr/>
          <w:p>
            <w:pPr>
              <w:pStyle w:val="Compact"/>
            </w:pPr>
            <w:r>
              <w:t xml:space="preserve">The typed C#-to-JavaScript message bridge works on Windows and macOS</w:t>
            </w:r>
          </w:p>
        </w:tc>
        <w:tc>
          <w:tcPr/>
          <w:p>
            <w:pPr>
              <w:pStyle w:val="Compact"/>
            </w:pPr>
            <w:r>
              <w:t xml:space="preserve">3D layer integration test on both platforms</w:t>
            </w:r>
          </w:p>
        </w:tc>
        <w:tc>
          <w:tcPr/>
          <w:p>
            <w:pPr>
              <w:pStyle w:val="Compact"/>
            </w:pPr>
            <w:r>
              <w:t xml:space="preserve">A scene message round-trips without field loss on WebView2 and WKWebView; an interaction event returns to C#</w:t>
            </w:r>
          </w:p>
        </w:tc>
      </w:tr>
      <w:tr>
        <w:tc>
          <w:tcPr/>
          <w:p>
            <w:pPr>
              <w:pStyle w:val="Compact"/>
            </w:pPr>
            <w:r>
              <w:t xml:space="preserve">G2 — PDFium wrapper spike</w:t>
            </w:r>
          </w:p>
        </w:tc>
        <w:tc>
          <w:tcPr/>
          <w:p>
            <w:pPr>
              <w:pStyle w:val="Compact"/>
            </w:pPr>
            <w:r>
              <w:t xml:space="preserve">The PDFium wrapper renders and opens password files on target platforms</w:t>
            </w:r>
          </w:p>
        </w:tc>
        <w:tc>
          <w:tcPr/>
          <w:p>
            <w:pPr>
              <w:pStyle w:val="Compact"/>
            </w:pPr>
            <w:r>
              <w:t xml:space="preserve">PDF layer integration test on each target platform</w:t>
            </w:r>
          </w:p>
        </w:tc>
        <w:tc>
          <w:tcPr/>
          <w:p>
            <w:pPr>
              <w:pStyle w:val="Compact"/>
            </w:pPr>
            <w:r>
              <w:t xml:space="preserve">Sample pages render within the pixel-difference tolerance and a password fixture opens with the correct credential on every target platform</w:t>
            </w:r>
          </w:p>
        </w:tc>
      </w:tr>
      <w:tr>
        <w:tc>
          <w:tcPr/>
          <w:p>
            <w:pPr>
              <w:pStyle w:val="Compact"/>
            </w:pPr>
            <w:r>
              <w:t xml:space="preserve">G3 — 500-book responsiveness</w:t>
            </w:r>
          </w:p>
        </w:tc>
        <w:tc>
          <w:tcPr/>
          <w:p>
            <w:pPr>
              <w:pStyle w:val="Compact"/>
            </w:pPr>
            <w:r>
              <w:t xml:space="preserve">A 500-book catalogue is responsive</w:t>
            </w:r>
          </w:p>
        </w:tc>
        <w:tc>
          <w:tcPr/>
          <w:p>
            <w:pPr>
              <w:pStyle w:val="Compact"/>
            </w:pPr>
            <w:r>
              <w:t xml:space="preserve">Performance benchmarks over the 500-book corpus</w:t>
            </w:r>
          </w:p>
        </w:tc>
        <w:tc>
          <w:tcPr/>
          <w:p>
            <w:pPr>
              <w:pStyle w:val="Compact"/>
            </w:pPr>
            <w:r>
              <w:t xml:space="preserve">Catalogue-load, search, and 3D frame-rate budgets in Section 4 are met on the reference machine</w:t>
            </w:r>
          </w:p>
        </w:tc>
      </w:tr>
      <w:tr>
        <w:tc>
          <w:tcPr/>
          <w:p>
            <w:pPr>
              <w:pStyle w:val="Compact"/>
            </w:pPr>
            <w:r>
              <w:t xml:space="preserve">G4 — 2,000-book responsiveness</w:t>
            </w:r>
          </w:p>
        </w:tc>
        <w:tc>
          <w:tcPr/>
          <w:p>
            <w:pPr>
              <w:pStyle w:val="Compact"/>
            </w:pPr>
            <w:r>
              <w:t xml:space="preserve">A 2,000-book catalogue is responsive</w:t>
            </w:r>
          </w:p>
        </w:tc>
        <w:tc>
          <w:tcPr/>
          <w:p>
            <w:pPr>
              <w:pStyle w:val="Compact"/>
            </w:pPr>
            <w:r>
              <w:t xml:space="preserve">Performance benchmarks over the 2,000-book corpus</w:t>
            </w:r>
          </w:p>
        </w:tc>
        <w:tc>
          <w:tcPr/>
          <w:p>
            <w:pPr>
              <w:pStyle w:val="Compact"/>
            </w:pPr>
            <w:r>
              <w:t xml:space="preserve">Catalogue-load ≤ 2 s P95 and metadata search ≤ 150 ms P95 on the reference machine</w:t>
            </w:r>
          </w:p>
        </w:tc>
      </w:tr>
      <w:tr>
        <w:tc>
          <w:tcPr/>
          <w:p>
            <w:pPr>
              <w:pStyle w:val="Compact"/>
            </w:pPr>
            <w:r>
              <w:t xml:space="preserve">G5 — Metadata write-back backup/restore</w:t>
            </w:r>
          </w:p>
        </w:tc>
        <w:tc>
          <w:tcPr/>
          <w:p>
            <w:pPr>
              <w:pStyle w:val="Compact"/>
            </w:pPr>
            <w:r>
              <w:t xml:space="preserve">Metadata write-back has working backup and restore</w:t>
            </w:r>
          </w:p>
        </w:tc>
        <w:tc>
          <w:tcPr/>
          <w:p>
            <w:pPr>
              <w:pStyle w:val="Compact"/>
            </w:pPr>
            <w:r>
              <w:t xml:space="preserve">Reliability test in Section 6.3</w:t>
            </w:r>
          </w:p>
        </w:tc>
        <w:tc>
          <w:tcPr/>
          <w:p>
            <w:pPr>
              <w:pStyle w:val="Compact"/>
            </w:pPr>
            <w:r>
              <w:t xml:space="preserve">A forced write failure restores the original file byte-for-byte and records the failure</w:t>
            </w:r>
          </w:p>
        </w:tc>
      </w:tr>
      <w:tr>
        <w:tc>
          <w:tcPr/>
          <w:p>
            <w:pPr>
              <w:pStyle w:val="Compact"/>
            </w:pPr>
            <w:r>
              <w:t xml:space="preserve">G6 — AI privacy payload preview</w:t>
            </w:r>
          </w:p>
        </w:tc>
        <w:tc>
          <w:tcPr/>
          <w:p>
            <w:pPr>
              <w:pStyle w:val="Compact"/>
            </w:pPr>
            <w:r>
              <w:t xml:space="preserve">The payload preview is implemented before any off-device call</w:t>
            </w:r>
          </w:p>
        </w:tc>
        <w:tc>
          <w:tcPr/>
          <w:p>
            <w:pPr>
              <w:pStyle w:val="Compact"/>
            </w:pPr>
            <w:r>
              <w:t xml:space="preserve">AI layer integration test (NFR-PROD-011)</w:t>
            </w:r>
          </w:p>
        </w:tc>
        <w:tc>
          <w:tcPr/>
          <w:p>
            <w:pPr>
              <w:pStyle w:val="Compact"/>
            </w:pPr>
            <w:r>
              <w:t xml:space="preserve">No off-device request is emitted without a recorded confirmation referencing the previewed payload</w:t>
            </w:r>
          </w:p>
        </w:tc>
      </w:tr>
      <w:tr>
        <w:tc>
          <w:tcPr/>
          <w:p>
            <w:pPr>
              <w:pStyle w:val="Compact"/>
            </w:pPr>
            <w:r>
              <w:t xml:space="preserve">G7 — Index rebuild from scratch</w:t>
            </w:r>
          </w:p>
        </w:tc>
        <w:tc>
          <w:tcPr/>
          <w:p>
            <w:pPr>
              <w:pStyle w:val="Compact"/>
            </w:pPr>
            <w:r>
              <w:t xml:space="preserve">The search index can rebuild from source</w:t>
            </w:r>
          </w:p>
        </w:tc>
        <w:tc>
          <w:tcPr/>
          <w:p>
            <w:pPr>
              <w:pStyle w:val="Compact"/>
            </w:pPr>
            <w:r>
              <w:t xml:space="preserve">Reliability test in Section 6.5</w:t>
            </w:r>
          </w:p>
        </w:tc>
        <w:tc>
          <w:tcPr/>
          <w:p>
            <w:pPr>
              <w:pStyle w:val="Compact"/>
            </w:pPr>
            <w:r>
              <w:t xml:space="preserve">A corrupted index rebuilds and returns results identical to the baseline</w:t>
            </w:r>
          </w:p>
        </w:tc>
      </w:tr>
      <w:tr>
        <w:tc>
          <w:tcPr/>
          <w:p>
            <w:pPr>
              <w:pStyle w:val="Compact"/>
            </w:pPr>
            <w:r>
              <w:t xml:space="preserve">G8 — Interrupted-job recovery</w:t>
            </w:r>
          </w:p>
        </w:tc>
        <w:tc>
          <w:tcPr/>
          <w:p>
            <w:pPr>
              <w:pStyle w:val="Compact"/>
            </w:pPr>
            <w:r>
              <w:t xml:space="preserve">The app recovers from interrupted scan and index jobs</w:t>
            </w:r>
          </w:p>
        </w:tc>
        <w:tc>
          <w:tcPr/>
          <w:p>
            <w:pPr>
              <w:pStyle w:val="Compact"/>
            </w:pPr>
            <w:r>
              <w:t xml:space="preserve">Reliability test in Section 6.4</w:t>
            </w:r>
          </w:p>
        </w:tc>
        <w:tc>
          <w:tcPr/>
          <w:p>
            <w:pPr>
              <w:pStyle w:val="Compact"/>
            </w:pPr>
            <w:r>
              <w:t xml:space="preserve">Every interrupted job type completes after restart with no duplicate output</w:t>
            </w:r>
          </w:p>
        </w:tc>
      </w:tr>
    </w:tbl>
    <w:bookmarkEnd w:id="60"/>
    <w:bookmarkStart w:id="61" w:name="X15520c86a6adcbac8ed55611a7e326107d16222"/>
    <w:p>
      <w:pPr>
        <w:pStyle w:val="Heading2"/>
      </w:pPr>
      <w:r>
        <w:t xml:space="preserve">7.3 Reference-Hardware Dependency on Performance Gates</w:t>
      </w:r>
    </w:p>
    <w:p>
      <w:pPr>
        <w:pStyle w:val="FirstParagraph"/>
      </w:pPr>
      <w:r>
        <w:t xml:space="preserve">Gates G3 and G4 assert performance budgets that are conditioned on the reference-hardware specification. Until that specification is fixed, G3 and G4 are evaluated as trend gates: the benchmark must run and report against the budget, but the hard pass/fail threshold is binding only once the reference machine is defined.</w:t>
      </w:r>
      <w:r>
        <w:t xml:space="preserve"> </w:t>
      </w:r>
      <w:r>
        <w:rPr>
          <w:rStyle w:val="VerbatimChar"/>
        </w:rPr>
        <w:t xml:space="preserve">[CONTEXT-GAP: reference-hardware specification — CPU, RAM, storage class]</w:t>
      </w:r>
    </w:p>
    <w:bookmarkEnd w:id="61"/>
    <w:bookmarkStart w:id="62" w:name="X2c75fd1fcfce824be2ef880c33183d06a990f3c"/>
    <w:p>
      <w:pPr>
        <w:pStyle w:val="Heading2"/>
      </w:pPr>
      <w:r>
        <w:t xml:space="preserve">7.4 Gate Governance</w:t>
      </w:r>
    </w:p>
    <w:p>
      <w:pPr>
        <w:pStyle w:val="Compact"/>
        <w:numPr>
          <w:ilvl w:val="0"/>
          <w:numId w:val="1021"/>
        </w:numPr>
      </w:pPr>
      <w:r>
        <w:t xml:space="preserve">A gate is binary: it passes or it blocks the beta. There is no partial pass.</w:t>
      </w:r>
    </w:p>
    <w:p>
      <w:pPr>
        <w:pStyle w:val="Compact"/>
        <w:numPr>
          <w:ilvl w:val="0"/>
          <w:numId w:val="1021"/>
        </w:numPr>
      </w:pPr>
      <w:r>
        <w:t xml:space="preserve">G5, G6, G7, and G8 verify R1, R2, and R4 risks and cannot be waived; a failure blocks the beta unconditionally.</w:t>
      </w:r>
    </w:p>
    <w:p>
      <w:pPr>
        <w:pStyle w:val="Compact"/>
        <w:numPr>
          <w:ilvl w:val="0"/>
          <w:numId w:val="1021"/>
        </w:numPr>
      </w:pPr>
      <w:r>
        <w:t xml:space="preserve">G1 and G2 are the Phase 0 risk-spike gates from the build plan; they must pass before the dependent build phases (3D shelf, PDF reader) are accepted.</w:t>
      </w:r>
    </w:p>
    <w:p>
      <w:pPr>
        <w:pStyle w:val="Compact"/>
        <w:numPr>
          <w:ilvl w:val="0"/>
          <w:numId w:val="1021"/>
        </w:numPr>
      </w:pPr>
      <w:r>
        <w:t xml:space="preserve">Each gate run is recorded with its commit, corpus seed, and result so the beta decision is auditable.</w:t>
      </w:r>
    </w:p>
    <w:p>
      <w:pPr>
        <w:pStyle w:val="FirstParagraph"/>
      </w:pPr>
      <w:r>
        <w:t xml:space="preserve">\newpage</w:t>
      </w:r>
    </w:p>
    <w:bookmarkEnd w:id="62"/>
    <w:bookmarkEnd w:id="63"/>
    <w:bookmarkStart w:id="69" w:name="X338010ff5917770f6902e47a14293c74750eaf3"/>
    <w:p>
      <w:pPr>
        <w:pStyle w:val="Heading1"/>
      </w:pPr>
      <w:r>
        <w:t xml:space="preserve">8. Traceability and Coverage</w:t>
      </w:r>
    </w:p>
    <w:bookmarkStart w:id="64" w:name="X01544add90b48029efe26f92b939382c3d3c8e7"/>
    <w:p>
      <w:pPr>
        <w:pStyle w:val="Heading2"/>
      </w:pPr>
      <w:r>
        <w:t xml:space="preserve">8.1 Coverage Principle</w:t>
      </w:r>
    </w:p>
    <w:p>
      <w:pPr>
        <w:pStyle w:val="FirstParagraph"/>
      </w:pPr>
      <w:r>
        <w:t xml:space="preserve">Every functional-requirement group and every key non-functional requirement maps to at least one test layer that covers it. A requirement with no covering layer is recorded as</w:t>
      </w:r>
      <w:r>
        <w:t xml:space="preserve"> </w:t>
      </w:r>
      <w:r>
        <w:rPr>
          <w:rStyle w:val="VerbatimChar"/>
        </w:rPr>
        <w:t xml:space="preserve">[TRACE-GAP: &lt;id&gt;]</w:t>
      </w:r>
      <w:r>
        <w:t xml:space="preserve">. This matrix is the test-side complement to the SRS Section 8.4 traceability matrix and uses the same identifier families.</w:t>
      </w:r>
    </w:p>
    <w:bookmarkEnd w:id="64"/>
    <w:bookmarkStart w:id="65" w:name="Xf49d7adf8ec48b4e43b96e5bbfe3d46e952a666"/>
    <w:p>
      <w:pPr>
        <w:pStyle w:val="Heading2"/>
      </w:pPr>
      <w:r>
        <w:t xml:space="preserve">8.2 Functional-Requirement Coverage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 group</w:t>
            </w:r>
          </w:p>
        </w:tc>
        <w:tc>
          <w:tcPr/>
          <w:p>
            <w:pPr>
              <w:pStyle w:val="Compact"/>
            </w:pPr>
            <w:r>
              <w:t xml:space="preserve">Requirements</w:t>
            </w:r>
          </w:p>
        </w:tc>
        <w:tc>
          <w:tcPr/>
          <w:p>
            <w:pPr>
              <w:pStyle w:val="Compact"/>
            </w:pPr>
            <w:r>
              <w:t xml:space="preserve">Covering test layers</w:t>
            </w:r>
          </w:p>
        </w:tc>
      </w:tr>
      <w:tr>
        <w:tc>
          <w:tcPr/>
          <w:p>
            <w:pPr>
              <w:pStyle w:val="Compact"/>
            </w:pPr>
            <w:r>
              <w:t xml:space="preserve">LIB — Library setup and scanning</w:t>
            </w:r>
          </w:p>
        </w:tc>
        <w:tc>
          <w:tcPr/>
          <w:p>
            <w:pPr>
              <w:pStyle w:val="Compact"/>
            </w:pPr>
            <w:r>
              <w:t xml:space="preserve">FR-LIB-001 to FR-LIB-007</w:t>
            </w:r>
          </w:p>
        </w:tc>
        <w:tc>
          <w:tcPr/>
          <w:p>
            <w:pPr>
              <w:pStyle w:val="Compact"/>
            </w:pPr>
            <w:r>
              <w:t xml:space="preserve">Infrastructure (scanner, hash matching, incremental rescan, health report); Domain (book identity); PDF (per-file parse failure); Performance (non-blocking generation)</w:t>
            </w:r>
          </w:p>
        </w:tc>
      </w:tr>
      <w:tr>
        <w:tc>
          <w:tcPr/>
          <w:p>
            <w:pPr>
              <w:pStyle w:val="Compact"/>
            </w:pPr>
            <w:r>
              <w:t xml:space="preserve">CAT — Catalogue browsing</w:t>
            </w:r>
          </w:p>
        </w:tc>
        <w:tc>
          <w:tcPr/>
          <w:p>
            <w:pPr>
              <w:pStyle w:val="Compact"/>
            </w:pPr>
            <w:r>
              <w:t xml:space="preserve">FR-CAT-001 to FR-CAT-005</w:t>
            </w:r>
          </w:p>
        </w:tc>
        <w:tc>
          <w:tcPr/>
          <w:p>
            <w:pPr>
              <w:pStyle w:val="Compact"/>
            </w:pPr>
            <w:r>
              <w:t xml:space="preserve">UI (view-model, view equivalence, filter conjunction, bulk-edit preview/undo); Domain (shelf membership); 3D (3D-shelf view path)</w:t>
            </w:r>
          </w:p>
        </w:tc>
      </w:tr>
      <w:tr>
        <w:tc>
          <w:tcPr/>
          <w:p>
            <w:pPr>
              <w:pStyle w:val="Compact"/>
            </w:pPr>
            <w:r>
              <w:t xml:space="preserve">META — Metadata enrichment</w:t>
            </w:r>
          </w:p>
        </w:tc>
        <w:tc>
          <w:tcPr/>
          <w:p>
            <w:pPr>
              <w:pStyle w:val="Compact"/>
            </w:pPr>
            <w:r>
              <w:t xml:space="preserve">FR-META-001 to FR-META-007</w:t>
            </w:r>
          </w:p>
        </w:tc>
        <w:tc>
          <w:tcPr/>
          <w:p>
            <w:pPr>
              <w:pStyle w:val="Compact"/>
            </w:pPr>
            <w:r>
              <w:t xml:space="preserve">Domain (merge policy, confidence ranking); Infrastructure (provider clients, provenance store); PDF (write-back fault injection); Reliability (transactional write-back)</w:t>
            </w:r>
          </w:p>
        </w:tc>
      </w:tr>
      <w:tr>
        <w:tc>
          <w:tcPr/>
          <w:p>
            <w:pPr>
              <w:pStyle w:val="Compact"/>
            </w:pPr>
            <w:r>
              <w:t xml:space="preserve">READ — PDF reader</w:t>
            </w:r>
          </w:p>
        </w:tc>
        <w:tc>
          <w:tcPr/>
          <w:p>
            <w:pPr>
              <w:pStyle w:val="Compact"/>
            </w:pPr>
            <w:r>
              <w:t xml:space="preserve">FR-READ-001 to FR-READ-012</w:t>
            </w:r>
          </w:p>
        </w:tc>
        <w:tc>
          <w:tcPr/>
          <w:p>
            <w:pPr>
              <w:pStyle w:val="Compact"/>
            </w:pPr>
            <w:r>
              <w:t xml:space="preserve">PDF (render, text search, annotation geometry, password open); UI (navigation, zoom, display modes, full-screen, keyboard); Domain (resume position, bookmarks); Search (OCR-derived text search)</w:t>
            </w:r>
          </w:p>
        </w:tc>
      </w:tr>
      <w:tr>
        <w:tc>
          <w:tcPr/>
          <w:p>
            <w:pPr>
              <w:pStyle w:val="Compact"/>
            </w:pPr>
            <w:r>
              <w:t xml:space="preserve">SEARCH — Search and indexing</w:t>
            </w:r>
          </w:p>
        </w:tc>
        <w:tc>
          <w:tcPr/>
          <w:p>
            <w:pPr>
              <w:pStyle w:val="Compact"/>
            </w:pPr>
            <w:r>
              <w:t xml:space="preserve">FR-SEARCH-001 to FR-SEARCH-006</w:t>
            </w:r>
          </w:p>
        </w:tc>
        <w:tc>
          <w:tcPr/>
          <w:p>
            <w:pPr>
              <w:pStyle w:val="Compact"/>
            </w:pPr>
            <w:r>
              <w:t xml:space="preserve">Search (FTS ranking, semantic ranking, hybrid ranking, index rebuild, match explanation); Performance (search-latency benchmarks); Infrastructure (index manager state)</w:t>
            </w:r>
          </w:p>
        </w:tc>
      </w:tr>
      <w:tr>
        <w:tc>
          <w:tcPr/>
          <w:p>
            <w:pPr>
              <w:pStyle w:val="Compact"/>
            </w:pPr>
            <w:r>
              <w:t xml:space="preserve">AI — AI advisor</w:t>
            </w:r>
          </w:p>
        </w:tc>
        <w:tc>
          <w:tcPr/>
          <w:p>
            <w:pPr>
              <w:pStyle w:val="Compact"/>
            </w:pPr>
            <w:r>
              <w:t xml:space="preserve">FR-AI-001 to FR-AI-010</w:t>
            </w:r>
          </w:p>
        </w:tc>
        <w:tc>
          <w:tcPr/>
          <w:p>
            <w:pPr>
              <w:pStyle w:val="Compact"/>
            </w:pPr>
            <w:r>
              <w:t xml:space="preserve">AI (prompt snapshots, provider contract, privacy payload, history/erasure, cost estimate); Reliability (degradation to local search); Performance (metadata-only latency)</w:t>
            </w:r>
          </w:p>
        </w:tc>
      </w:tr>
    </w:tbl>
    <w:p>
      <w:pPr>
        <w:pStyle w:val="BodyText"/>
      </w:pPr>
      <w:r>
        <w:t xml:space="preserve">Every FR group is covered. No</w:t>
      </w:r>
      <w:r>
        <w:t xml:space="preserve"> </w:t>
      </w:r>
      <w:r>
        <w:rPr>
          <w:rStyle w:val="VerbatimChar"/>
        </w:rPr>
        <w:t xml:space="preserve">[TRACE-GAP]</w:t>
      </w:r>
      <w:r>
        <w:t xml:space="preserve"> </w:t>
      </w:r>
      <w:r>
        <w:t xml:space="preserve">is raised at the FR-group level.</w:t>
      </w:r>
    </w:p>
    <w:bookmarkEnd w:id="65"/>
    <w:bookmarkStart w:id="66" w:name="X83bf1c9bb6d254cc348c50da449779c034ce230"/>
    <w:p>
      <w:pPr>
        <w:pStyle w:val="Heading2"/>
      </w:pPr>
      <w:r>
        <w:t xml:space="preserve">8.3 Verifiability-Constrained Functional Requirements</w:t>
      </w:r>
    </w:p>
    <w:p>
      <w:pPr>
        <w:pStyle w:val="FirstParagraph"/>
      </w:pPr>
      <w:r>
        <w:t xml:space="preserve">Two functional requirements carry SRS</w:t>
      </w:r>
      <w:r>
        <w:t xml:space="preserve"> </w:t>
      </w:r>
      <w:r>
        <w:rPr>
          <w:rStyle w:val="VerbatimChar"/>
        </w:rPr>
        <w:t xml:space="preserve">[VERIFIABILITY-FAIL]</w:t>
      </w:r>
      <w:r>
        <w:t xml:space="preserve"> </w:t>
      </w:r>
      <w:r>
        <w:t xml:space="preserve">tags because relevance and pedagogical soundness are judgement calls. Their test coverage asserts only the deterministic structural sub-claim.</w:t>
      </w:r>
    </w:p>
    <w:p>
      <w:pPr>
        <w:pStyle w:val="Compact"/>
        <w:numPr>
          <w:ilvl w:val="0"/>
          <w:numId w:val="1022"/>
        </w:numPr>
      </w:pPr>
      <w:r>
        <w:t xml:space="preserve">FR-AI-003 (recommendation relevance) — the AI layer asserts that each ranked card contains the required structural elements (book identity, explanation, confidence) and that cards reference only books in the user's collection; relevance itself is not gated.</w:t>
      </w:r>
      <w:r>
        <w:t xml:space="preserve"> </w:t>
      </w:r>
      <w:r>
        <w:rPr>
          <w:rStyle w:val="VerbatimChar"/>
        </w:rPr>
        <w:t xml:space="preserve">[VERIFIABILITY-FAIL: FR-AI-003 recommendation relevance is a judgement call]</w:t>
      </w:r>
    </w:p>
    <w:p>
      <w:pPr>
        <w:pStyle w:val="Compact"/>
        <w:numPr>
          <w:ilvl w:val="0"/>
          <w:numId w:val="1022"/>
        </w:numPr>
      </w:pPr>
      <w:r>
        <w:t xml:space="preserve">FR-AI-007 (reading-plan soundness) — the AI layer asserts the presence of the four named plan elements (sequence, rationale, estimated difficulty, checkpoints); pedagogical soundness is not gated.</w:t>
      </w:r>
      <w:r>
        <w:t xml:space="preserve"> </w:t>
      </w:r>
      <w:r>
        <w:rPr>
          <w:rStyle w:val="VerbatimChar"/>
        </w:rPr>
        <w:t xml:space="preserve">[VERIFIABILITY-FAIL: FR-AI-007 reading-plan pedagogical soundness is a judgement call]</w:t>
      </w:r>
    </w:p>
    <w:bookmarkEnd w:id="66"/>
    <w:bookmarkStart w:id="67" w:name="X64129459bc82b5a8c910838bc5e3d59247b250c"/>
    <w:p>
      <w:pPr>
        <w:pStyle w:val="Heading2"/>
      </w:pPr>
      <w:r>
        <w:t xml:space="preserve">8.4 Key Non-Functional Coverage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NFR</w:t>
            </w:r>
          </w:p>
        </w:tc>
        <w:tc>
          <w:tcPr/>
          <w:p>
            <w:pPr>
              <w:pStyle w:val="Compact"/>
            </w:pPr>
            <w:r>
              <w:t xml:space="preserve">Requirement summary</w:t>
            </w:r>
          </w:p>
        </w:tc>
        <w:tc>
          <w:tcPr/>
          <w:p>
            <w:pPr>
              <w:pStyle w:val="Compact"/>
            </w:pPr>
            <w:r>
              <w:t xml:space="preserve">Covering test layers</w:t>
            </w:r>
          </w:p>
        </w:tc>
      </w:tr>
      <w:tr>
        <w:tc>
          <w:tcPr/>
          <w:p>
            <w:pPr>
              <w:pStyle w:val="Compact"/>
            </w:pPr>
            <w:r>
              <w:t xml:space="preserve">NFR-OGMA-001 to NFR-OGMA-007</w:t>
            </w:r>
          </w:p>
        </w:tc>
        <w:tc>
          <w:tcPr/>
          <w:p>
            <w:pPr>
              <w:pStyle w:val="Compact"/>
            </w:pPr>
            <w:r>
              <w:t xml:space="preserve">Performance budgets</w:t>
            </w:r>
          </w:p>
        </w:tc>
        <w:tc>
          <w:tcPr/>
          <w:p>
            <w:pPr>
              <w:pStyle w:val="Compact"/>
            </w:pPr>
            <w:r>
              <w:t xml:space="preserve">Performance; 3D for the frame-rate budget; AI for the metadata-only latency</w:t>
            </w:r>
          </w:p>
        </w:tc>
      </w:tr>
      <w:tr>
        <w:tc>
          <w:tcPr/>
          <w:p>
            <w:pPr>
              <w:pStyle w:val="Compact"/>
            </w:pPr>
            <w:r>
              <w:t xml:space="preserve">NFR-OGMA-008</w:t>
            </w:r>
          </w:p>
        </w:tc>
        <w:tc>
          <w:tcPr/>
          <w:p>
            <w:pPr>
              <w:pStyle w:val="Compact"/>
            </w:pPr>
            <w:r>
              <w:t xml:space="preserve">Annotation durability</w:t>
            </w:r>
          </w:p>
        </w:tc>
        <w:tc>
          <w:tcPr/>
          <w:p>
            <w:pPr>
              <w:pStyle w:val="Compact"/>
            </w:pPr>
            <w:r>
              <w:t xml:space="preserve">PDF, Infrastructure (fault injection)</w:t>
            </w:r>
          </w:p>
        </w:tc>
      </w:tr>
      <w:tr>
        <w:tc>
          <w:tcPr/>
          <w:p>
            <w:pPr>
              <w:pStyle w:val="Compact"/>
            </w:pPr>
            <w:r>
              <w:t xml:space="preserve">NFR-OGMA-009</w:t>
            </w:r>
          </w:p>
        </w:tc>
        <w:tc>
          <w:tcPr/>
          <w:p>
            <w:pPr>
              <w:pStyle w:val="Compact"/>
            </w:pPr>
            <w:r>
              <w:t xml:space="preserve">Background-job recoverability</w:t>
            </w:r>
          </w:p>
        </w:tc>
        <w:tc>
          <w:tcPr/>
          <w:p>
            <w:pPr>
              <w:pStyle w:val="Compact"/>
            </w:pPr>
            <w:r>
              <w:t xml:space="preserve">Infrastructure, Reliability</w:t>
            </w:r>
          </w:p>
        </w:tc>
      </w:tr>
      <w:tr>
        <w:tc>
          <w:tcPr/>
          <w:p>
            <w:pPr>
              <w:pStyle w:val="Compact"/>
            </w:pPr>
            <w:r>
              <w:t xml:space="preserve">NFR-PROD-001</w:t>
            </w:r>
          </w:p>
        </w:tc>
        <w:tc>
          <w:tcPr/>
          <w:p>
            <w:pPr>
              <w:pStyle w:val="Compact"/>
            </w:pPr>
            <w:r>
              <w:t xml:space="preserve">Local-first core operations</w:t>
            </w:r>
          </w:p>
        </w:tc>
        <w:tc>
          <w:tcPr/>
          <w:p>
            <w:pPr>
              <w:pStyle w:val="Compact"/>
            </w:pPr>
            <w:r>
              <w:t xml:space="preserve">Infrastructure, UI, Reliability</w:t>
            </w:r>
          </w:p>
        </w:tc>
      </w:tr>
      <w:tr>
        <w:tc>
          <w:tcPr/>
          <w:p>
            <w:pPr>
              <w:pStyle w:val="Compact"/>
            </w:pPr>
            <w:r>
              <w:t xml:space="preserve">NFR-PROD-002 to NFR-PROD-004</w:t>
            </w:r>
          </w:p>
        </w:tc>
        <w:tc>
          <w:tcPr/>
          <w:p>
            <w:pPr>
              <w:pStyle w:val="Compact"/>
            </w:pPr>
            <w:r>
              <w:t xml:space="preserve">Performance budgets at domain scale</w:t>
            </w:r>
          </w:p>
        </w:tc>
        <w:tc>
          <w:tcPr/>
          <w:p>
            <w:pPr>
              <w:pStyle w:val="Compact"/>
            </w:pPr>
            <w:r>
              <w:t xml:space="preserve">Performance, Search</w:t>
            </w:r>
          </w:p>
        </w:tc>
      </w:tr>
      <w:tr>
        <w:tc>
          <w:tcPr/>
          <w:p>
            <w:pPr>
              <w:pStyle w:val="Compact"/>
            </w:pPr>
            <w:r>
              <w:t xml:space="preserve">NFR-PROD-005</w:t>
            </w:r>
          </w:p>
        </w:tc>
        <w:tc>
          <w:tcPr/>
          <w:p>
            <w:pPr>
              <w:pStyle w:val="Compact"/>
            </w:pPr>
            <w:r>
              <w:t xml:space="preserve">Non-blocking UI thread</w:t>
            </w:r>
          </w:p>
        </w:tc>
        <w:tc>
          <w:tcPr/>
          <w:p>
            <w:pPr>
              <w:pStyle w:val="Compact"/>
            </w:pPr>
            <w:r>
              <w:t xml:space="preserve">UI, Performance</w:t>
            </w:r>
          </w:p>
        </w:tc>
      </w:tr>
      <w:tr>
        <w:tc>
          <w:tcPr/>
          <w:p>
            <w:pPr>
              <w:pStyle w:val="Compact"/>
            </w:pPr>
            <w:r>
              <w:t xml:space="preserve">NFR-PROD-006</w:t>
            </w:r>
          </w:p>
        </w:tc>
        <w:tc>
          <w:tcPr/>
          <w:p>
            <w:pPr>
              <w:pStyle w:val="Compact"/>
            </w:pPr>
            <w:r>
              <w:t xml:space="preserve">Crash-free session rate</w:t>
            </w:r>
          </w:p>
        </w:tc>
        <w:tc>
          <w:tcPr/>
          <w:p>
            <w:pPr>
              <w:pStyle w:val="Compact"/>
            </w:pPr>
            <w:r>
              <w:t xml:space="preserve">UI, Infrastructure (telemetry analysis)</w:t>
            </w:r>
          </w:p>
        </w:tc>
      </w:tr>
      <w:tr>
        <w:tc>
          <w:tcPr/>
          <w:p>
            <w:pPr>
              <w:pStyle w:val="Compact"/>
            </w:pPr>
            <w:r>
              <w:t xml:space="preserve">NFR-PROD-007, NFR-PROD-008</w:t>
            </w:r>
          </w:p>
        </w:tc>
        <w:tc>
          <w:tcPr/>
          <w:p>
            <w:pPr>
              <w:pStyle w:val="Compact"/>
            </w:pPr>
            <w:r>
              <w:t xml:space="preserve">Accessibility (keyboard, screen reader, contrast)</w:t>
            </w:r>
          </w:p>
        </w:tc>
        <w:tc>
          <w:tcPr/>
          <w:p>
            <w:pPr>
              <w:pStyle w:val="Compact"/>
            </w:pPr>
            <w:r>
              <w:t xml:space="preserve">UI</w:t>
            </w:r>
          </w:p>
        </w:tc>
      </w:tr>
      <w:tr>
        <w:tc>
          <w:tcPr/>
          <w:p>
            <w:pPr>
              <w:pStyle w:val="Compact"/>
            </w:pPr>
            <w:r>
              <w:t xml:space="preserve">NFR-PROD-009</w:t>
            </w:r>
          </w:p>
        </w:tc>
        <w:tc>
          <w:tcPr/>
          <w:p>
            <w:pPr>
              <w:pStyle w:val="Compact"/>
            </w:pPr>
            <w:r>
              <w:t xml:space="preserve">Data portability</w:t>
            </w:r>
          </w:p>
        </w:tc>
        <w:tc>
          <w:tcPr/>
          <w:p>
            <w:pPr>
              <w:pStyle w:val="Compact"/>
            </w:pPr>
            <w:r>
              <w:t xml:space="preserve">Infrastructure (export/re-import round-trip)</w:t>
            </w:r>
          </w:p>
        </w:tc>
      </w:tr>
      <w:tr>
        <w:tc>
          <w:tcPr/>
          <w:p>
            <w:pPr>
              <w:pStyle w:val="Compact"/>
            </w:pPr>
            <w:r>
              <w:t xml:space="preserve">NFR-PROD-010</w:t>
            </w:r>
          </w:p>
        </w:tc>
        <w:tc>
          <w:tcPr/>
          <w:p>
            <w:pPr>
              <w:pStyle w:val="Compact"/>
            </w:pPr>
            <w:r>
              <w:t xml:space="preserve">Reversible destructive operations</w:t>
            </w:r>
          </w:p>
        </w:tc>
        <w:tc>
          <w:tcPr/>
          <w:p>
            <w:pPr>
              <w:pStyle w:val="Compact"/>
            </w:pPr>
            <w:r>
              <w:t xml:space="preserve">Infrastructure, Domain, Reliability</w:t>
            </w:r>
          </w:p>
        </w:tc>
      </w:tr>
      <w:tr>
        <w:tc>
          <w:tcPr/>
          <w:p>
            <w:pPr>
              <w:pStyle w:val="Compact"/>
            </w:pPr>
            <w:r>
              <w:t xml:space="preserve">NFR-PROD-011</w:t>
            </w:r>
          </w:p>
        </w:tc>
        <w:tc>
          <w:tcPr/>
          <w:p>
            <w:pPr>
              <w:pStyle w:val="Compact"/>
            </w:pPr>
            <w:r>
              <w:t xml:space="preserve">Privacy-tier and payload preview</w:t>
            </w:r>
          </w:p>
        </w:tc>
        <w:tc>
          <w:tcPr/>
          <w:p>
            <w:pPr>
              <w:pStyle w:val="Compact"/>
            </w:pPr>
            <w:r>
              <w:t xml:space="preserve">AI</w:t>
            </w:r>
          </w:p>
        </w:tc>
      </w:tr>
      <w:tr>
        <w:tc>
          <w:tcPr/>
          <w:p>
            <w:pPr>
              <w:pStyle w:val="Compact"/>
            </w:pPr>
            <w:r>
              <w:t xml:space="preserve">NFR-PROD-012</w:t>
            </w:r>
          </w:p>
        </w:tc>
        <w:tc>
          <w:tcPr/>
          <w:p>
            <w:pPr>
              <w:pStyle w:val="Compact"/>
            </w:pPr>
            <w:r>
              <w:t xml:space="preserve">Signed builds, reversible migrations</w:t>
            </w:r>
          </w:p>
        </w:tc>
        <w:tc>
          <w:tcPr/>
          <w:p>
            <w:pPr>
              <w:pStyle w:val="Compact"/>
            </w:pPr>
            <w:r>
              <w:t xml:space="preserve">Packaging, Infrastructure</w:t>
            </w:r>
          </w:p>
        </w:tc>
      </w:tr>
      <w:tr>
        <w:tc>
          <w:tcPr/>
          <w:p>
            <w:pPr>
              <w:pStyle w:val="Compact"/>
            </w:pPr>
            <w:r>
              <w:t xml:space="preserve">NFR-PROD-013</w:t>
            </w:r>
          </w:p>
        </w:tc>
        <w:tc>
          <w:tcPr/>
          <w:p>
            <w:pPr>
              <w:pStyle w:val="Compact"/>
            </w:pPr>
            <w:r>
              <w:t xml:space="preserve">Local audit trail</w:t>
            </w:r>
          </w:p>
        </w:tc>
        <w:tc>
          <w:tcPr/>
          <w:p>
            <w:pPr>
              <w:pStyle w:val="Compact"/>
            </w:pPr>
            <w:r>
              <w:t xml:space="preserve">Infrastructure</w:t>
            </w:r>
          </w:p>
        </w:tc>
      </w:tr>
      <w:tr>
        <w:tc>
          <w:tcPr/>
          <w:p>
            <w:pPr>
              <w:pStyle w:val="Compact"/>
            </w:pPr>
            <w:r>
              <w:t xml:space="preserve">NFR-PROD-014</w:t>
            </w:r>
          </w:p>
        </w:tc>
        <w:tc>
          <w:tcPr/>
          <w:p>
            <w:pPr>
              <w:pStyle w:val="Compact"/>
            </w:pPr>
            <w:r>
              <w:t xml:space="preserve">AI history and embedding erasure</w:t>
            </w:r>
          </w:p>
        </w:tc>
        <w:tc>
          <w:tcPr/>
          <w:p>
            <w:pPr>
              <w:pStyle w:val="Compact"/>
            </w:pPr>
            <w:r>
              <w:t xml:space="preserve">AI, Search</w:t>
            </w:r>
          </w:p>
        </w:tc>
      </w:tr>
    </w:tbl>
    <w:p>
      <w:pPr>
        <w:pStyle w:val="BodyText"/>
      </w:pPr>
      <w:r>
        <w:t xml:space="preserve">Every key NFR is covered by at least one layer. No</w:t>
      </w:r>
      <w:r>
        <w:t xml:space="preserve"> </w:t>
      </w:r>
      <w:r>
        <w:rPr>
          <w:rStyle w:val="VerbatimChar"/>
        </w:rPr>
        <w:t xml:space="preserve">[TRACE-GAP]</w:t>
      </w:r>
      <w:r>
        <w:t xml:space="preserve"> </w:t>
      </w:r>
      <w:r>
        <w:t xml:space="preserve">is raised at the NFR level.</w:t>
      </w:r>
    </w:p>
    <w:bookmarkEnd w:id="67"/>
    <w:bookmarkStart w:id="68" w:name="X8729bc37be5487640d2c9bfed505aa7762f5de8"/>
    <w:p>
      <w:pPr>
        <w:pStyle w:val="Heading2"/>
      </w:pPr>
      <w:r>
        <w:t xml:space="preserve">8.5 Coverage Caveats Carried Forward</w:t>
      </w:r>
    </w:p>
    <w:p>
      <w:pPr>
        <w:pStyle w:val="Compact"/>
        <w:numPr>
          <w:ilvl w:val="0"/>
          <w:numId w:val="1023"/>
        </w:numPr>
      </w:pPr>
      <w:r>
        <w:t xml:space="preserve">The performance NFRs are covered by benchmarks whose hard thresholds depend on the unresolved reference-hardware specification.</w:t>
      </w:r>
      <w:r>
        <w:t xml:space="preserve"> </w:t>
      </w:r>
      <w:r>
        <w:rPr>
          <w:rStyle w:val="VerbatimChar"/>
        </w:rPr>
        <w:t xml:space="preserve">[CONTEXT-GAP: reference-hardware specification — CPU, RAM, storage class]</w:t>
      </w:r>
    </w:p>
    <w:p>
      <w:pPr>
        <w:pStyle w:val="Compact"/>
        <w:numPr>
          <w:ilvl w:val="0"/>
          <w:numId w:val="1023"/>
        </w:numPr>
      </w:pPr>
      <w:r>
        <w:t xml:space="preserve">NFR-OGMA-007 is covered only for its application-only processing time pending a provider-latency cap.</w:t>
      </w:r>
      <w:r>
        <w:t xml:space="preserve"> </w:t>
      </w:r>
      <w:r>
        <w:rPr>
          <w:rStyle w:val="VerbatimChar"/>
        </w:rPr>
        <w:t xml:space="preserve">[SMART-FAIL: NFR-OGMA-007 not measurable without a defined provider-latency cap]</w:t>
      </w:r>
    </w:p>
    <w:p>
      <w:pPr>
        <w:pStyle w:val="Compact"/>
        <w:numPr>
          <w:ilvl w:val="0"/>
          <w:numId w:val="1023"/>
        </w:numPr>
      </w:pPr>
      <w:r>
        <w:t xml:space="preserve">The metadata confidence model (FR-META-003) is covered structurally; its numeric oracle depends on the provider trust weights and field-match scoring not yet fixed in context.</w:t>
      </w:r>
      <w:r>
        <w:t xml:space="preserve"> </w:t>
      </w:r>
      <w:r>
        <w:rPr>
          <w:rStyle w:val="VerbatimChar"/>
        </w:rPr>
        <w:t xml:space="preserve">[CONTEXT-GAP: provider trust weights and field-match scoring for the confidence model]</w:t>
      </w:r>
    </w:p>
    <w:bookmarkEnd w:id="68"/>
    <w:bookmarkEnd w:id="6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Ogma Library — Test Strategy &amp; Quality Plan</dc:title>
  <dc:creator/>
  <cp:keywords/>
  <dcterms:created xsi:type="dcterms:W3CDTF">2026-05-30T10:28:34Z</dcterms:created>
  <dcterms:modified xsi:type="dcterms:W3CDTF">2026-05-30T10:28:34Z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y fmtid="{D5CDD505-2E9C-101B-9397-08002B2CF9AE}" pid="3" name="status">
    <vt:lpwstr>DRAFT</vt:lpwstr>
  </property>
  <property fmtid="{D5CDD505-2E9C-101B-9397-08002B2CF9AE}" pid="4" name="subtitle">
    <vt:lpwstr>Testing Documentation — Verification, Validation, and Quality Assurance</vt:lpwstr>
  </property>
  <property fmtid="{D5CDD505-2E9C-101B-9397-08002B2CF9AE}" pid="5" name="version">
    <vt:lpwstr>0.1</vt:lpwstr>
  </property>
</Properties>
</file>