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Architecture Decision Records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b3fde2958b6439ef6a7a6c07bccc8397f8bb7e6"/>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Architecture Decision Records — Ogma Library</w:t>
      </w:r>
    </w:p>
    <w:p>
      <w:pPr>
        <w:pStyle w:val="FirstParagraph"/>
      </w:pPr>
      <w:r>
        <w:t xml:space="preserve">This catalogue indexes the Architecture Decision Records (ADRs) for Ogma Library. Each ADR is written in MADR style — Status, Date, Context, Decision Drivers, Considered Options with pros and cons, Decision Outcome, Evidence of Implementation, and Consequences. Records are immutable once accepted; a superseding decision is a new ADR, never an in-place edit.</w:t>
      </w:r>
    </w:p>
    <w:p>
      <w:pPr>
        <w:pStyle w:val="BodyText"/>
      </w:pPr>
      <w:r>
        <w:t xml:space="preserve">This workspace catalogue mirrors the codebase ADR catalogue at</w:t>
      </w:r>
      <w:r>
        <w:t xml:space="preserve"> </w:t>
      </w:r>
      <w:r>
        <w:rPr>
          <w:rStyle w:val="VerbatimChar"/>
        </w:rPr>
        <w:t xml:space="preserve">C:\wamp64\www\Ogma-Library\docs\adrs\</w:t>
      </w:r>
      <w:r>
        <w:t xml:space="preserve"> </w:t>
      </w:r>
      <w:r>
        <w:t xml:space="preserve">while retaining documentation-control decisions. ADR-0016 records the runtime state verified during the v2.1 Kaizen overhaul and supersedes the unresolved part of ADR-0014.</w:t>
      </w:r>
    </w:p>
    <w:bookmarkStart w:id="9" w:name="ratification-model-baseline-v20"/>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Ratification Model (baseline v2.0)</w:t>
      </w:r>
    </w:p>
    <w:p>
      <w:pPr>
        <w:pStyle w:val="FirstParagraph"/>
      </w:pPr>
      <w:r>
        <w:t xml:space="preserve">ADR-0001 through ADR-0013 are</w:t>
      </w:r>
      <w:r>
        <w:t xml:space="preserve"> </w:t>
      </w:r>
      <w:r>
        <w:rPr>
          <w:b/>
          <w:bCs/>
        </w:rPr>
        <w:t xml:space="preserve">Accepted — ratified in implementation</w:t>
      </w:r>
      <w:r>
        <w:t xml:space="preserve">: the deciding evidence is the shipped code, migration, or spike result each record cites. The formal owner counter-signature is collected once, at the baseline v2.0 sign-off gate (ADR-0015), rather than per record. ADR-0014 and ADR-0015 are Proposed and require an explicit owner decision.</w:t>
      </w:r>
    </w:p>
    <w:bookmarkEnd w:id="9"/>
    <w:bookmarkStart w:id="10" w:name="catalogue"/>
    <w:p>
      <w:pPr>
        <w:pStyle w:val="Heading2"/>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Catalogue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Number</w:t>
            </w:r>
          </w:p>
        </w:tc>
        <w:tc>
          <w:tcPr>
            <w:shd w:fill="132338"/>
          </w:tcPr>
          <w:p>
            <w:pPr>
              <w:pStyle w:val="Compact"/>
            </w:pPr>
            <w:r>
              <w:rPr>
                <w:rFonts w:ascii="Public Sans" w:hAnsi="Public Sans" w:eastAsia="Public Sans"/>
                <w:b/>
                <w:color w:val="FFFFFF"/>
                <w:sz w:val="17"/>
              </w:rPr>
              <w:t xml:space="preserve">Title</w:t>
            </w:r>
          </w:p>
        </w:tc>
        <w:tc>
          <w:tcPr>
            <w:shd w:fill="132338"/>
          </w:tcPr>
          <w:p>
            <w:pPr>
              <w:pStyle w:val="Compact"/>
            </w:pPr>
            <w:r>
              <w:rPr>
                <w:rFonts w:ascii="Public Sans" w:hAnsi="Public Sans" w:eastAsia="Public Sans"/>
                <w:b/>
                <w:color w:val="FFFFFF"/>
                <w:sz w:val="17"/>
              </w:rPr>
              <w:t xml:space="preserve">Status</w:t>
            </w:r>
          </w:p>
        </w:tc>
        <w:tc>
          <w:tcPr>
            <w:shd w:fill="132338"/>
          </w:tcPr>
          <w:p>
            <w:pPr>
              <w:pStyle w:val="Compact"/>
            </w:pPr>
            <w:r>
              <w:rPr>
                <w:rFonts w:ascii="Public Sans" w:hAnsi="Public Sans" w:eastAsia="Public Sans"/>
                <w:b/>
                <w:color w:val="FFFFFF"/>
                <w:sz w:val="17"/>
              </w:rPr>
              <w:t xml:space="preserve">Date</w:t>
            </w:r>
          </w:p>
        </w:tc>
      </w:tr>
      <w:tr>
        <w:trPr>
          <w:cantSplit/>
        </w:trPr>
        <w:tc>
          <w:tcPr/>
          <w:p>
            <w:pPr>
              <w:pStyle w:val="Compact"/>
            </w:pPr>
            <w:r>
              <w:t xml:space="preserve">ADR-0001</w:t>
            </w:r>
          </w:p>
        </w:tc>
        <w:tc>
          <w:tcPr/>
          <w:p>
            <w:pPr>
              <w:pStyle w:val="Compact"/>
            </w:pPr>
            <w:r>
              <w:t xml:space="preserve">Target .NET 10 LTS as the application runtime</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ADR-0002</w:t>
            </w:r>
          </w:p>
        </w:tc>
        <w:tc>
          <w:tcPr/>
          <w:p>
            <w:pPr>
              <w:pStyle w:val="Compact"/>
            </w:pPr>
            <w:r>
              <w:t xml:space="preserve">Adopt Avalonia as the cross-platform desktop shell</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ADR-0003</w:t>
            </w:r>
          </w:p>
        </w:tc>
        <w:tc>
          <w:tcPr/>
          <w:p>
            <w:pPr>
              <w:pStyle w:val="Compact"/>
            </w:pPr>
            <w:r>
              <w:t xml:space="preserve">Render the 3D shelf with WebView-hosted Three.js behind a spike gate</w:t>
            </w:r>
          </w:p>
        </w:tc>
        <w:tc>
          <w:tcPr/>
          <w:p>
            <w:pPr>
              <w:pStyle w:val="Compact"/>
            </w:pPr>
            <w:r>
              <w:t xml:space="preserve">Accepted (macOS FPS gate open, Phase 20)</w:t>
            </w:r>
          </w:p>
        </w:tc>
        <w:tc>
          <w:tcPr/>
          <w:p>
            <w:pPr>
              <w:pStyle w:val="Compact"/>
            </w:pPr>
            <w:r>
              <w:t xml:space="preserve">2026-05-30</w:t>
            </w:r>
          </w:p>
        </w:tc>
      </w:tr>
      <w:tr>
        <w:trPr>
          <w:cantSplit/>
        </w:trPr>
        <w:tc>
          <w:tcPr/>
          <w:p>
            <w:pPr>
              <w:pStyle w:val="Compact"/>
            </w:pPr>
            <w:r>
              <w:t xml:space="preserve">ADR-0004</w:t>
            </w:r>
          </w:p>
        </w:tc>
        <w:tc>
          <w:tcPr/>
          <w:p>
            <w:pPr>
              <w:pStyle w:val="Compact"/>
            </w:pPr>
            <w:r>
              <w:t xml:space="preserve">Render and extract PDF content with PDFium behind an adapter</w:t>
            </w:r>
          </w:p>
        </w:tc>
        <w:tc>
          <w:tcPr/>
          <w:p>
            <w:pPr>
              <w:pStyle w:val="Compact"/>
            </w:pPr>
            <w:r>
              <w:t xml:space="preserve">Accepted (wrapper fixed: PDFtoImage)</w:t>
            </w:r>
          </w:p>
        </w:tc>
        <w:tc>
          <w:tcPr/>
          <w:p>
            <w:pPr>
              <w:pStyle w:val="Compact"/>
            </w:pPr>
            <w:r>
              <w:t xml:space="preserve">2026-05-30</w:t>
            </w:r>
          </w:p>
        </w:tc>
      </w:tr>
      <w:tr>
        <w:trPr>
          <w:cantSplit/>
        </w:trPr>
        <w:tc>
          <w:tcPr/>
          <w:p>
            <w:pPr>
              <w:pStyle w:val="Compact"/>
            </w:pPr>
            <w:r>
              <w:t xml:space="preserve">ADR-0005</w:t>
            </w:r>
          </w:p>
        </w:tc>
        <w:tc>
          <w:tcPr/>
          <w:p>
            <w:pPr>
              <w:pStyle w:val="Compact"/>
            </w:pPr>
            <w:r>
              <w:t xml:space="preserve">Use a SQLite catalogue of record with a sidecar asset folder</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ADR-0006</w:t>
            </w:r>
          </w:p>
        </w:tc>
        <w:tc>
          <w:tcPr/>
          <w:p>
            <w:pPr>
              <w:pStyle w:val="Compact"/>
            </w:pPr>
            <w:r>
              <w:t xml:space="preserve">Build search as hybrid metadata, FTS5, and semantic embeddings</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ADR-0007</w:t>
            </w:r>
          </w:p>
        </w:tc>
        <w:tc>
          <w:tcPr/>
          <w:p>
            <w:pPr>
              <w:pStyle w:val="Compact"/>
            </w:pPr>
            <w:r>
              <w:t xml:space="preserve">Route AI through a provider-neutral gateway with four privacy tiers</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ADR-0008</w:t>
            </w:r>
          </w:p>
        </w:tc>
        <w:tc>
          <w:tcPr/>
          <w:p>
            <w:pPr>
              <w:pStyle w:val="Compact"/>
            </w:pPr>
            <w:r>
              <w:t xml:space="preserve">Store annotations and metadata database-first, write back to PDF later</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ADR-0009</w:t>
            </w:r>
          </w:p>
        </w:tc>
        <w:tc>
          <w:tcPr/>
          <w:p>
            <w:pPr>
              <w:pStyle w:val="Compact"/>
            </w:pPr>
            <w:r>
              <w:t xml:space="preserve">Distribute with Velopack for direct channels and MSIX for Store and enterprise</w:t>
            </w:r>
          </w:p>
        </w:tc>
        <w:tc>
          <w:tcPr/>
          <w:p>
            <w:pPr>
              <w:pStyle w:val="Compact"/>
            </w:pPr>
            <w:r>
              <w:t xml:space="preserve">Accepted (implementation is Phase 22 scope)</w:t>
            </w:r>
          </w:p>
        </w:tc>
        <w:tc>
          <w:tcPr/>
          <w:p>
            <w:pPr>
              <w:pStyle w:val="Compact"/>
            </w:pPr>
            <w:r>
              <w:t xml:space="preserve">2026-05-30</w:t>
            </w:r>
          </w:p>
        </w:tc>
      </w:tr>
      <w:tr>
        <w:trPr>
          <w:cantSplit/>
        </w:trPr>
        <w:tc>
          <w:tcPr/>
          <w:p>
            <w:pPr>
              <w:pStyle w:val="Compact"/>
            </w:pPr>
            <w:r>
              <w:t xml:space="preserve">ADR-0010</w:t>
            </w:r>
          </w:p>
        </w:tc>
        <w:tc>
          <w:tcPr/>
          <w:p>
            <w:pPr>
              <w:pStyle w:val="Compact"/>
            </w:pPr>
            <w:r>
              <w:t xml:space="preserve">Opt-in Library Host mode amends CI-2 for the classroom track</w:t>
            </w:r>
          </w:p>
        </w:tc>
        <w:tc>
          <w:tcPr/>
          <w:p>
            <w:pPr>
              <w:pStyle w:val="Compact"/>
            </w:pPr>
            <w:r>
              <w:t xml:space="preserve">Accepted (ratified in implementation, Phase 16)</w:t>
            </w:r>
          </w:p>
        </w:tc>
        <w:tc>
          <w:tcPr/>
          <w:p>
            <w:pPr>
              <w:pStyle w:val="Compact"/>
            </w:pPr>
            <w:r>
              <w:t xml:space="preserve">2026-05-30</w:t>
            </w:r>
          </w:p>
        </w:tc>
      </w:tr>
      <w:tr>
        <w:trPr>
          <w:cantSplit/>
        </w:trPr>
        <w:tc>
          <w:tcPr/>
          <w:p>
            <w:pPr>
              <w:pStyle w:val="Compact"/>
            </w:pPr>
            <w:r>
              <w:t xml:space="preserve">ADR-0011</w:t>
            </w:r>
          </w:p>
        </w:tc>
        <w:tc>
          <w:tcPr/>
          <w:p>
            <w:pPr>
              <w:pStyle w:val="Compact"/>
            </w:pPr>
            <w:r>
              <w:t xml:space="preserve">Run OCR locally with Tesseract, never through AI providers</w:t>
            </w:r>
          </w:p>
        </w:tc>
        <w:tc>
          <w:tcPr/>
          <w:p>
            <w:pPr>
              <w:pStyle w:val="Compact"/>
            </w:pPr>
            <w:r>
              <w:t xml:space="preserve">Accepted (ratified in implementation, Phase 15)</w:t>
            </w:r>
          </w:p>
        </w:tc>
        <w:tc>
          <w:tcPr/>
          <w:p>
            <w:pPr>
              <w:pStyle w:val="Compact"/>
            </w:pPr>
            <w:r>
              <w:t xml:space="preserve">2026-06-01</w:t>
            </w:r>
          </w:p>
        </w:tc>
      </w:tr>
      <w:tr>
        <w:trPr>
          <w:cantSplit/>
        </w:trPr>
        <w:tc>
          <w:tcPr/>
          <w:p>
            <w:pPr>
              <w:pStyle w:val="Compact"/>
            </w:pPr>
            <w:r>
              <w:t xml:space="preserve">ADR-0012</w:t>
            </w:r>
          </w:p>
        </w:tc>
        <w:tc>
          <w:tcPr/>
          <w:p>
            <w:pPr>
              <w:pStyle w:val="Compact"/>
            </w:pPr>
            <w:r>
              <w:t xml:space="preserve">Classroom identity, roles, and per-student private state</w:t>
            </w:r>
          </w:p>
        </w:tc>
        <w:tc>
          <w:tcPr/>
          <w:p>
            <w:pPr>
              <w:pStyle w:val="Compact"/>
            </w:pPr>
            <w:r>
              <w:t xml:space="preserve">Accepted (ratified in implementation, Phase 17)</w:t>
            </w:r>
          </w:p>
        </w:tc>
        <w:tc>
          <w:tcPr/>
          <w:p>
            <w:pPr>
              <w:pStyle w:val="Compact"/>
            </w:pPr>
            <w:r>
              <w:t xml:space="preserve">2026-06-02</w:t>
            </w:r>
          </w:p>
        </w:tc>
      </w:tr>
      <w:tr>
        <w:trPr>
          <w:cantSplit/>
        </w:trPr>
        <w:tc>
          <w:tcPr/>
          <w:p>
            <w:pPr>
              <w:pStyle w:val="Compact"/>
            </w:pPr>
            <w:r>
              <w:t xml:space="preserve">ADR-0013</w:t>
            </w:r>
          </w:p>
        </w:tc>
        <w:tc>
          <w:tcPr/>
          <w:p>
            <w:pPr>
              <w:pStyle w:val="Compact"/>
            </w:pPr>
            <w:r>
              <w:t xml:space="preserve">School-managed AI through the host gateway</w:t>
            </w:r>
          </w:p>
        </w:tc>
        <w:tc>
          <w:tcPr/>
          <w:p>
            <w:pPr>
              <w:pStyle w:val="Compact"/>
            </w:pPr>
            <w:r>
              <w:t xml:space="preserve">Accepted (ratified in implementation, Phase 18)</w:t>
            </w:r>
          </w:p>
        </w:tc>
        <w:tc>
          <w:tcPr/>
          <w:p>
            <w:pPr>
              <w:pStyle w:val="Compact"/>
            </w:pPr>
            <w:r>
              <w:t xml:space="preserve">2026-06-02</w:t>
            </w:r>
          </w:p>
        </w:tc>
      </w:tr>
      <w:tr>
        <w:trPr>
          <w:cantSplit/>
        </w:trPr>
        <w:tc>
          <w:tcPr/>
          <w:p>
            <w:pPr>
              <w:pStyle w:val="Compact"/>
            </w:pPr>
            <w:r>
              <w:t xml:space="preserve">ADR-0014</w:t>
            </w:r>
          </w:p>
        </w:tc>
        <w:tc>
          <w:tcPr/>
          <w:p>
            <w:pPr>
              <w:pStyle w:val="Compact"/>
            </w:pPr>
            <w:r>
              <w:t xml:space="preserve">EF Core 9.x on the net10.0 runtime — version alignment</w:t>
            </w:r>
          </w:p>
        </w:tc>
        <w:tc>
          <w:tcPr/>
          <w:p>
            <w:pPr>
              <w:pStyle w:val="Compact"/>
            </w:pPr>
            <w:r>
              <w:t xml:space="preserve">Superseded by ADR-0016</w:t>
            </w:r>
          </w:p>
        </w:tc>
        <w:tc>
          <w:tcPr/>
          <w:p>
            <w:pPr>
              <w:pStyle w:val="Compact"/>
            </w:pPr>
            <w:r>
              <w:t xml:space="preserve">2026-07-06</w:t>
            </w:r>
          </w:p>
        </w:tc>
      </w:tr>
      <w:tr>
        <w:trPr>
          <w:cantSplit/>
        </w:trPr>
        <w:tc>
          <w:tcPr/>
          <w:p>
            <w:pPr>
              <w:pStyle w:val="Compact"/>
            </w:pPr>
            <w:r>
              <w:t xml:space="preserve">ADR-0015</w:t>
            </w:r>
          </w:p>
        </w:tc>
        <w:tc>
          <w:tcPr/>
          <w:p>
            <w:pPr>
              <w:pStyle w:val="Compact"/>
            </w:pPr>
            <w:r>
              <w:t xml:space="preserve">Documentation baseline v2.0 supersedes the v1.0 baseline</w:t>
            </w:r>
          </w:p>
        </w:tc>
        <w:tc>
          <w:tcPr/>
          <w:p>
            <w:pPr>
              <w:pStyle w:val="Compact"/>
            </w:pPr>
            <w:r>
              <w:t xml:space="preserve">Proposed (effective at v2.0 sign-off)</w:t>
            </w:r>
          </w:p>
        </w:tc>
        <w:tc>
          <w:tcPr/>
          <w:p>
            <w:pPr>
              <w:pStyle w:val="Compact"/>
            </w:pPr>
            <w:r>
              <w:t xml:space="preserve">2026-07-06</w:t>
            </w:r>
          </w:p>
        </w:tc>
      </w:tr>
      <w:tr>
        <w:trPr>
          <w:cantSplit/>
        </w:trPr>
        <w:tc>
          <w:tcPr/>
          <w:p>
            <w:pPr>
              <w:pStyle w:val="Compact"/>
            </w:pPr>
            <w:r>
              <w:t xml:space="preserve">ADR-0016</w:t>
            </w:r>
          </w:p>
        </w:tc>
        <w:tc>
          <w:tcPr/>
          <w:p>
            <w:pPr>
              <w:pStyle w:val="Compact"/>
            </w:pPr>
            <w:r>
              <w:t xml:space="preserve">Current runtime and evidence baseline</w:t>
            </w:r>
          </w:p>
        </w:tc>
        <w:tc>
          <w:tcPr/>
          <w:p>
            <w:pPr>
              <w:pStyle w:val="Compact"/>
            </w:pPr>
            <w:r>
              <w:t xml:space="preserve">Accepted by inspected implementation; owner ratification pending</w:t>
            </w:r>
          </w:p>
        </w:tc>
        <w:tc>
          <w:tcPr/>
          <w:p>
            <w:pPr>
              <w:pStyle w:val="Compact"/>
            </w:pPr>
            <w:r>
              <w:t xml:space="preserve">2026-08-13</w:t>
            </w:r>
          </w:p>
        </w:tc>
      </w:tr>
    </w:tbl>
    <w:bookmarkEnd w:id="10"/>
    <w:bookmarkStart w:id="11" w:name="status-legend"/>
    <w:p>
      <w:pPr>
        <w:pStyle w:val="Heading2"/>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Status Legend</w:t>
      </w:r>
    </w:p>
    <w:p>
      <w:pPr>
        <w:pStyle w:val="Compact"/>
        <w:numPr>
          <w:ilvl w:val="0"/>
          <w:numId w:val="1001"/>
        </w:numPr>
      </w:pPr>
      <w:r>
        <w:t xml:space="preserve">Proposed — drafted and under review; not yet ratified.</w:t>
      </w:r>
    </w:p>
    <w:p>
      <w:pPr>
        <w:pStyle w:val="Compact"/>
        <w:numPr>
          <w:ilvl w:val="0"/>
          <w:numId w:val="1001"/>
        </w:numPr>
      </w:pPr>
      <w:r>
        <w:t xml:space="preserve">Accepted — ratified and binding on the build phases. In this catalogue, ratification is evidenced by implementation; the owner counter-signature is pending the baseline v2.0 gate.</w:t>
      </w:r>
    </w:p>
    <w:p>
      <w:pPr>
        <w:pStyle w:val="Compact"/>
        <w:numPr>
          <w:ilvl w:val="0"/>
          <w:numId w:val="1001"/>
        </w:numPr>
      </w:pPr>
      <w:r>
        <w:t xml:space="preserve">Superseded — replaced by a later ADR, named in this catalogue when it occurs.</w:t>
      </w:r>
    </w:p>
    <w:p>
      <w:pPr>
        <w:pStyle w:val="Compact"/>
        <w:numPr>
          <w:ilvl w:val="0"/>
          <w:numId w:val="1001"/>
        </w:numPr>
      </w:pPr>
      <w:r>
        <w:t xml:space="preserve">Rejected / Deprecated — considered and declined, or no longer relevant (reason noted).</w:t>
      </w:r>
    </w:p>
    <w:bookmarkEnd w:id="11"/>
    <w:bookmarkStart w:id="12" w:name="file-convention"/>
    <w:p>
      <w:pPr>
        <w:pStyle w:val="Heading2"/>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File Convention</w:t>
      </w:r>
    </w:p>
    <w:p>
      <w:pPr>
        <w:pStyle w:val="FirstParagraph"/>
      </w:pPr>
      <w:r>
        <w:t xml:space="preserve">ADR files are named</w:t>
      </w:r>
      <w:r>
        <w:t xml:space="preserve"> </w:t>
      </w:r>
      <w:r>
        <w:rPr>
          <w:rStyle w:val="VerbatimChar"/>
        </w:rPr>
        <w:t xml:space="preserve">NNNN-slug.md</w:t>
      </w:r>
      <w:r>
        <w:t xml:space="preserve"> </w:t>
      </w:r>
      <w:r>
        <w:t xml:space="preserve">with a zero-padded 4-digit number. The number is permanent and never reused, even if an ADR is later superseded. New ADRs take the next number, follow the MADR template, and are added to this table with status Proposed.</w:t>
      </w:r>
    </w:p>
    <w:bookmarkEnd w:id="12"/>
    <w:bookmarkEnd w:id="13"/>
    <w:bookmarkStart w:id="23" w:name="X6d936dbaf312f364950669d59ecabfa043f0c18"/>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ADR-0001: Target .NET 10 LTS as the Application Runtime</w:t>
      </w:r>
    </w:p>
    <w:p>
      <w:pPr>
        <w:pStyle w:val="Compact"/>
        <w:numPr>
          <w:ilvl w:val="0"/>
          <w:numId w:val="1002"/>
        </w:numPr>
      </w:pPr>
      <w:r>
        <w:t xml:space="preserve">ID:</w:t>
      </w:r>
      <w:r>
        <w:t xml:space="preserve"> </w:t>
      </w:r>
      <w:r>
        <w:rPr>
          <w:b/>
          <w:bCs/>
        </w:rPr>
        <w:t xml:space="preserve">ADR-0001</w:t>
      </w:r>
    </w:p>
    <w:p>
      <w:pPr>
        <w:pStyle w:val="Compact"/>
        <w:numPr>
          <w:ilvl w:val="0"/>
          <w:numId w:val="1002"/>
        </w:numPr>
      </w:pPr>
      <w:r>
        <w:t xml:space="preserve">Status: Accepted — ratified in implementation; formal owner counter-signature pending baseline v2.0 sign-off</w:t>
      </w:r>
    </w:p>
    <w:p>
      <w:pPr>
        <w:pStyle w:val="Compact"/>
        <w:numPr>
          <w:ilvl w:val="0"/>
          <w:numId w:val="1002"/>
        </w:numPr>
      </w:pPr>
      <w:r>
        <w:t xml:space="preserve">Date: 2026-05-30</w:t>
      </w:r>
    </w:p>
    <w:p>
      <w:pPr>
        <w:pStyle w:val="Compact"/>
        <w:numPr>
          <w:ilvl w:val="0"/>
          <w:numId w:val="1002"/>
        </w:numPr>
      </w:pPr>
      <w:r>
        <w:t xml:space="preserve">Deciders: Product owner (Chwezi Core Systems), Engineering lead</w:t>
      </w:r>
    </w:p>
    <w:bookmarkStart w:id="14" w:name="context"/>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is a new local-first desktop application whose first commit lands in May 2026 and whose maintenance window must extend well past initial launch. The original specification names .NET 8 and C# 12. .NET 8 reaches end of support on 2026-11-10, roughly 6 months after this engagement begins, which would force a runtime migration during the build phases rather than after a stable release. .NET 10 is the November 2025 Long-Term Support (LTS) release, supported through 2028-11-14. Both releases run the same desktop UI stacks the project depends on (Avalonia per ADR-0002, WebView hosting per ADR-0003) and offer equivalent access to the PDF, SQLite, and AI-gateway libraries the architecture requires.</w:t>
      </w:r>
    </w:p>
    <w:bookmarkEnd w:id="14"/>
    <w:bookmarkStart w:id="15" w:name="decision-drivers"/>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03"/>
        </w:numPr>
      </w:pPr>
      <w:r>
        <w:t xml:space="preserve">Support runway: a runtime whose support ends before the product stabilises is a liability, not a foundation.</w:t>
      </w:r>
    </w:p>
    <w:p>
      <w:pPr>
        <w:pStyle w:val="Compact"/>
        <w:numPr>
          <w:ilvl w:val="0"/>
          <w:numId w:val="1003"/>
        </w:numPr>
      </w:pPr>
      <w:r>
        <w:t xml:space="preserve">Migration cost: choosing the shorter-lived runtime guarantees a forced in-flight migration during the build phases.</w:t>
      </w:r>
    </w:p>
    <w:p>
      <w:pPr>
        <w:pStyle w:val="Compact"/>
        <w:numPr>
          <w:ilvl w:val="0"/>
          <w:numId w:val="1003"/>
        </w:numPr>
      </w:pPr>
      <w:r>
        <w:t xml:space="preserve">Library and tooling parity: the desktop, PDF, and storage dependencies must be available and supported on the chosen runtime.</w:t>
      </w:r>
    </w:p>
    <w:p>
      <w:pPr>
        <w:pStyle w:val="Compact"/>
        <w:numPr>
          <w:ilvl w:val="0"/>
          <w:numId w:val="1003"/>
        </w:numPr>
      </w:pPr>
      <w:r>
        <w:t xml:space="preserve">Reversibility: the project must retain a clean, documented path to fall back if a hard blocker emerges.</w:t>
      </w:r>
    </w:p>
    <w:bookmarkEnd w:id="15"/>
    <w:bookmarkStart w:id="19" w:name="considered-options"/>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Considered Options</w:t>
      </w:r>
    </w:p>
    <w:bookmarkStart w:id="16" w:name="option-a--net-10-lts"/>
    <w:p>
      <w:pPr>
        <w:pStyle w:val="Heading3"/>
      </w:pPr>
      <w:r>
        <w:rPr>
          <w:rStyle w:val="SectionNumber"/>
          <w:rFonts w:ascii="Spectral" w:hAnsi="Spectral" w:eastAsia="Spectral"/>
          <w:color w:val="132338"/>
        </w:rPr>
        <w:t xml:space="preserve">2.3.1</w:t>
      </w:r>
      <w:r>
        <w:rPr>
          <w:rFonts w:ascii="Spectral" w:hAnsi="Spectral" w:eastAsia="Spectral"/>
          <w:color w:val="132338"/>
        </w:rPr>
        <w:tab/>
      </w:r>
      <w:r>
        <w:rPr>
          <w:rFonts w:ascii="Spectral" w:hAnsi="Spectral" w:eastAsia="Spectral"/>
          <w:color w:val="132338"/>
        </w:rPr>
        <w:t xml:space="preserve">Option A — .NET 10 LTS</w:t>
      </w:r>
    </w:p>
    <w:p>
      <w:pPr>
        <w:pStyle w:val="Compact"/>
        <w:numPr>
          <w:ilvl w:val="0"/>
          <w:numId w:val="1004"/>
        </w:numPr>
      </w:pPr>
      <w:r>
        <w:t xml:space="preserve">Pros: supported through 2028-11-14, a 2.5-year-plus runway past launch; latest LTS C# language and runtime performance; no forced mid-build runtime migration; matches the vision document's runtime-baseline correction.</w:t>
      </w:r>
    </w:p>
    <w:p>
      <w:pPr>
        <w:pStyle w:val="Compact"/>
        <w:numPr>
          <w:ilvl w:val="0"/>
          <w:numId w:val="1004"/>
        </w:numPr>
      </w:pPr>
      <w:r>
        <w:t xml:space="preserve">Cons: a small number of third-party libraries may lag an LTS release at launch; the team adopts a runtime newer than the one named in the original specification.</w:t>
      </w:r>
    </w:p>
    <w:bookmarkEnd w:id="16"/>
    <w:bookmarkStart w:id="17" w:name="X7f4b347c77a26609a26a9973a7e97a051f6ebbf"/>
    <w:p>
      <w:pPr>
        <w:pStyle w:val="Heading3"/>
      </w:pPr>
      <w:r>
        <w:rPr>
          <w:rStyle w:val="SectionNumber"/>
          <w:rFonts w:ascii="Spectral" w:hAnsi="Spectral" w:eastAsia="Spectral"/>
          <w:color w:val="132338"/>
        </w:rPr>
        <w:t xml:space="preserve">2.3.2</w:t>
      </w:r>
      <w:r>
        <w:rPr>
          <w:rFonts w:ascii="Spectral" w:hAnsi="Spectral" w:eastAsia="Spectral"/>
          <w:color w:val="132338"/>
        </w:rPr>
        <w:tab/>
      </w:r>
      <w:r>
        <w:rPr>
          <w:rFonts w:ascii="Spectral" w:hAnsi="Spectral" w:eastAsia="Spectral"/>
          <w:color w:val="132338"/>
        </w:rPr>
        <w:t xml:space="preserve">Option B — .NET 8 (as named in the original specification)</w:t>
      </w:r>
    </w:p>
    <w:p>
      <w:pPr>
        <w:pStyle w:val="Compact"/>
        <w:numPr>
          <w:ilvl w:val="0"/>
          <w:numId w:val="1005"/>
        </w:numPr>
      </w:pPr>
      <w:r>
        <w:t xml:space="preserve">Pros: maximum third-party library maturity on day one; matches the literal text of the source specification.</w:t>
      </w:r>
    </w:p>
    <w:p>
      <w:pPr>
        <w:pStyle w:val="Compact"/>
        <w:numPr>
          <w:ilvl w:val="0"/>
          <w:numId w:val="1005"/>
        </w:numPr>
      </w:pPr>
      <w:r>
        <w:t xml:space="preserve">Cons: end of support on 2026-11-10 forces a migration within months of project start; shipping on an out-of-support runtime is a security and supportability defect.</w:t>
      </w:r>
    </w:p>
    <w:bookmarkEnd w:id="17"/>
    <w:bookmarkStart w:id="18" w:name="Xd6907ff802ab66ec1d2a170e20a3c3c158f859d"/>
    <w:p>
      <w:pPr>
        <w:pStyle w:val="Heading3"/>
      </w:pPr>
      <w:r>
        <w:rPr>
          <w:rStyle w:val="SectionNumber"/>
          <w:rFonts w:ascii="Spectral" w:hAnsi="Spectral" w:eastAsia="Spectral"/>
          <w:color w:val="132338"/>
        </w:rPr>
        <w:t xml:space="preserve">2.3.3</w:t>
      </w:r>
      <w:r>
        <w:rPr>
          <w:rFonts w:ascii="Spectral" w:hAnsi="Spectral" w:eastAsia="Spectral"/>
          <w:color w:val="132338"/>
        </w:rPr>
        <w:tab/>
      </w:r>
      <w:r>
        <w:rPr>
          <w:rFonts w:ascii="Spectral" w:hAnsi="Spectral" w:eastAsia="Spectral"/>
          <w:color w:val="132338"/>
        </w:rPr>
        <w:t xml:space="preserve">Option C — .NET 8 now, planned migration to .NET 10 later</w:t>
      </w:r>
    </w:p>
    <w:p>
      <w:pPr>
        <w:pStyle w:val="Compact"/>
        <w:numPr>
          <w:ilvl w:val="0"/>
          <w:numId w:val="1006"/>
        </w:numPr>
      </w:pPr>
      <w:r>
        <w:t xml:space="preserve">Pros: starts on the most mature library set; defers the newer runtime.</w:t>
      </w:r>
    </w:p>
    <w:p>
      <w:pPr>
        <w:pStyle w:val="Compact"/>
        <w:numPr>
          <w:ilvl w:val="0"/>
          <w:numId w:val="1006"/>
        </w:numPr>
      </w:pPr>
      <w:r>
        <w:t xml:space="preserve">Cons: schedules certain rework; carries the .NET 8 end-of-support risk through the highest-churn build phases; doubles runtime validation effort.</w:t>
      </w:r>
    </w:p>
    <w:bookmarkEnd w:id="18"/>
    <w:bookmarkEnd w:id="19"/>
    <w:bookmarkStart w:id="20" w:name="decision-outcome"/>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w:t>
      </w:r>
      <w:r>
        <w:t xml:space="preserve"> </w:t>
      </w:r>
      <w:r>
        <w:rPr>
          <w:b/>
          <w:bCs/>
        </w:rPr>
        <w:t xml:space="preserve">.NET 10 LTS</w:t>
      </w:r>
      <w:r>
        <w:t xml:space="preserve"> </w:t>
      </w:r>
      <w:r>
        <w:t xml:space="preserve">as the application runtime and target language version. Fall back to .NET 8 only behind a documented, specific blocker recorded as an amendment to this ADR, and only with a dated migration plan back to .NET 10 LTS attached at the time the blocker is recorded.</w:t>
      </w:r>
    </w:p>
    <w:bookmarkEnd w:id="20"/>
    <w:bookmarkStart w:id="21" w:name="evidence-of-implementation"/>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07"/>
        </w:numPr>
      </w:pPr>
      <w:r>
        <w:t xml:space="preserve">Every project in</w:t>
      </w:r>
      <w:r>
        <w:t xml:space="preserve"> </w:t>
      </w:r>
      <w:r>
        <w:rPr>
          <w:rStyle w:val="VerbatimChar"/>
        </w:rPr>
        <w:t xml:space="preserve">OgmaLibrary.sln</w:t>
      </w:r>
      <w:r>
        <w:t xml:space="preserve"> </w:t>
      </w:r>
      <w:r>
        <w:t xml:space="preserve">(7</w:t>
      </w:r>
      <w:r>
        <w:t xml:space="preserve"> </w:t>
      </w:r>
      <w:r>
        <w:rPr>
          <w:rStyle w:val="VerbatimChar"/>
        </w:rPr>
        <w:t xml:space="preserve">src</w:t>
      </w:r>
      <w:r>
        <w:t xml:space="preserve"> </w:t>
      </w:r>
      <w:r>
        <w:t xml:space="preserve">projects plus 3 test projects) targets</w:t>
      </w:r>
      <w:r>
        <w:t xml:space="preserve"> </w:t>
      </w:r>
      <w:r>
        <w:rPr>
          <w:rStyle w:val="VerbatimChar"/>
        </w:rPr>
        <w:t xml:space="preserve">net10.0</w:t>
      </w:r>
      <w:r>
        <w:t xml:space="preserve"> </w:t>
      </w:r>
      <w:r>
        <w:t xml:space="preserve">with warnings-as-errors and mandatory XML documentation; 800 executed cases execute on .NET 10.</w:t>
      </w:r>
    </w:p>
    <w:p>
      <w:pPr>
        <w:pStyle w:val="Compact"/>
        <w:numPr>
          <w:ilvl w:val="0"/>
          <w:numId w:val="1007"/>
        </w:numPr>
      </w:pPr>
      <w:r>
        <w:t xml:space="preserve">No .NET 8 fallback blocker was ever recorded; the Phase 0 dependency-validation spike closed with no unresolved case.</w:t>
      </w:r>
    </w:p>
    <w:p>
      <w:pPr>
        <w:pStyle w:val="Compact"/>
        <w:numPr>
          <w:ilvl w:val="0"/>
          <w:numId w:val="1007"/>
        </w:numPr>
      </w:pPr>
      <w:r>
        <w:t xml:space="preserve">Residual at the July 2026 baseline was EF Core 9 on</w:t>
      </w:r>
      <w:r>
        <w:t xml:space="preserve"> </w:t>
      </w:r>
      <w:r>
        <w:rPr>
          <w:rStyle w:val="VerbatimChar"/>
        </w:rPr>
        <w:t xml:space="preserve">net10.0</w:t>
      </w:r>
      <w:r>
        <w:t xml:space="preserve">. That condition is closed by ADR-0016: the inspected August baseline uses EF Core SQLite 10.0.9 and Microsoft.Extensions 10.0.9.</w:t>
      </w:r>
    </w:p>
    <w:bookmarkEnd w:id="21"/>
    <w:bookmarkStart w:id="22" w:name="consequences"/>
    <w:p>
      <w:pPr>
        <w:pStyle w:val="Heading2"/>
      </w:pPr>
      <w:r>
        <w:rPr>
          <w:rStyle w:val="SectionNumber"/>
          <w:rFonts w:ascii="Spectral" w:hAnsi="Spectral" w:eastAsia="Spectral"/>
          <w:color w:val="132338"/>
        </w:rPr>
        <w:t xml:space="preserve">2.6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08"/>
        </w:numPr>
      </w:pPr>
      <w:r>
        <w:t xml:space="preserve">Positive: the product ships on a runtime supported through 2028-11-14, avoiding a forced mid-build runtime migration and an out-of-support launch.</w:t>
      </w:r>
    </w:p>
    <w:p>
      <w:pPr>
        <w:pStyle w:val="Compact"/>
        <w:numPr>
          <w:ilvl w:val="0"/>
          <w:numId w:val="1008"/>
        </w:numPr>
      </w:pPr>
      <w:r>
        <w:t xml:space="preserve">Positive: a single runtime decision governs all build phases, simplifying the continuous-integration matrix.</w:t>
      </w:r>
    </w:p>
    <w:p>
      <w:pPr>
        <w:pStyle w:val="Compact"/>
        <w:numPr>
          <w:ilvl w:val="0"/>
          <w:numId w:val="1008"/>
        </w:numPr>
      </w:pPr>
      <w:r>
        <w:t xml:space="preserve">Negative: every dependency change still requires restore, build, migration, automated-test, and vulnerability-audit evidence; framework support does not prove Ogma's target-platform acceptance.</w:t>
      </w:r>
    </w:p>
    <w:p>
      <w:pPr>
        <w:pStyle w:val="Compact"/>
        <w:numPr>
          <w:ilvl w:val="0"/>
          <w:numId w:val="1008"/>
        </w:numPr>
      </w:pPr>
      <w:r>
        <w:t xml:space="preserve">Affects: every build artifact and the packaging pipeline (ADR-0009); ADR-0014 (EF Core version alignment).</w:t>
      </w:r>
    </w:p>
    <w:bookmarkEnd w:id="22"/>
    <w:bookmarkEnd w:id="23"/>
    <w:bookmarkStart w:id="34" w:name="X3624a3f38a507c6b093a524f9fd1088330d90e9"/>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ADR-0002: Adopt Avalonia as the Cross-Platform Desktop Shell</w:t>
      </w:r>
    </w:p>
    <w:p>
      <w:pPr>
        <w:pStyle w:val="Compact"/>
        <w:numPr>
          <w:ilvl w:val="0"/>
          <w:numId w:val="1009"/>
        </w:numPr>
      </w:pPr>
      <w:r>
        <w:t xml:space="preserve">ID:</w:t>
      </w:r>
      <w:r>
        <w:t xml:space="preserve"> </w:t>
      </w:r>
      <w:r>
        <w:rPr>
          <w:b/>
          <w:bCs/>
        </w:rPr>
        <w:t xml:space="preserve">ADR-0002</w:t>
      </w:r>
    </w:p>
    <w:p>
      <w:pPr>
        <w:pStyle w:val="Compact"/>
        <w:numPr>
          <w:ilvl w:val="0"/>
          <w:numId w:val="1009"/>
        </w:numPr>
      </w:pPr>
      <w:r>
        <w:t xml:space="preserve">Status: Accepted — ratified in implementation; formal owner counter-signature pending baseline v2.0 sign-off</w:t>
      </w:r>
    </w:p>
    <w:p>
      <w:pPr>
        <w:pStyle w:val="Compact"/>
        <w:numPr>
          <w:ilvl w:val="0"/>
          <w:numId w:val="1009"/>
        </w:numPr>
      </w:pPr>
      <w:r>
        <w:t xml:space="preserve">Date: 2026-05-30</w:t>
      </w:r>
    </w:p>
    <w:p>
      <w:pPr>
        <w:pStyle w:val="Compact"/>
        <w:numPr>
          <w:ilvl w:val="0"/>
          <w:numId w:val="1009"/>
        </w:numPr>
      </w:pPr>
      <w:r>
        <w:t xml:space="preserve">Deciders: Product owner (Chwezi Core Systems), Engineering lead, Design/UX lead</w:t>
      </w:r>
    </w:p>
    <w:bookmarkStart w:id="24" w:name="context-1"/>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targets Windows and macOS as first-class desktop platforms and must feel native, calm, and refined on each, in line with the</w:t>
      </w:r>
      <w:r>
        <w:t xml:space="preserve"> </w:t>
      </w:r>
      <w:r>
        <w:rPr>
          <w:i/>
          <w:iCs/>
        </w:rPr>
        <w:t xml:space="preserve">premium means calm control</w:t>
      </w:r>
      <w:r>
        <w:t xml:space="preserve"> </w:t>
      </w:r>
      <w:r>
        <w:t xml:space="preserve">product principle. The application is a managed-library experience — shelves, grid, list, directory, reader, metadata editing, search, and an AI advisor — that needs a mature, controllable widget toolkit, virtualised lists for large collections, and full keyboard and screen-reader operability to meet the WCAG 2.2 Level AA release gate. One surface, the immersive 3D shelf, requires a hardware-accelerated rendering path that no general-purpose desktop toolkit provides natively; that surface is addressed separately in ADR-0003. The shell choice must deliver native-feeling chrome for the bulk of the application while admitting a hosted web surface for the 3D shelf alone.</w:t>
      </w:r>
    </w:p>
    <w:bookmarkEnd w:id="24"/>
    <w:bookmarkStart w:id="25" w:name="decision-drivers-1"/>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10"/>
        </w:numPr>
      </w:pPr>
      <w:r>
        <w:t xml:space="preserve">Cross-platform parity on Windows and macOS from a single C# and .NET 10 codebase.</w:t>
      </w:r>
    </w:p>
    <w:p>
      <w:pPr>
        <w:pStyle w:val="Compact"/>
        <w:numPr>
          <w:ilvl w:val="0"/>
          <w:numId w:val="1010"/>
        </w:numPr>
      </w:pPr>
      <w:r>
        <w:t xml:space="preserve">Native-feeling, themeable chrome and virtualised collection views for large libraries.</w:t>
      </w:r>
    </w:p>
    <w:p>
      <w:pPr>
        <w:pStyle w:val="Compact"/>
        <w:numPr>
          <w:ilvl w:val="0"/>
          <w:numId w:val="1010"/>
        </w:numPr>
      </w:pPr>
      <w:r>
        <w:t xml:space="preserve">Keyboard and screen-reader accessibility sufficient for a WCAG 2.2 AA release gate.</w:t>
      </w:r>
    </w:p>
    <w:p>
      <w:pPr>
        <w:pStyle w:val="Compact"/>
        <w:numPr>
          <w:ilvl w:val="0"/>
          <w:numId w:val="1010"/>
        </w:numPr>
      </w:pPr>
      <w:r>
        <w:t xml:space="preserve">Ability to host a web surface for the 3D shelf without adopting a web stack for the whole shell.</w:t>
      </w:r>
    </w:p>
    <w:p>
      <w:pPr>
        <w:pStyle w:val="Compact"/>
        <w:numPr>
          <w:ilvl w:val="0"/>
          <w:numId w:val="1010"/>
        </w:numPr>
      </w:pPr>
      <w:r>
        <w:t xml:space="preserve">Team skill alignment with C# and .NET rather than a second UI language.</w:t>
      </w:r>
    </w:p>
    <w:bookmarkEnd w:id="25"/>
    <w:bookmarkStart w:id="30" w:name="considered-options-1"/>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Considered Options</w:t>
      </w:r>
    </w:p>
    <w:bookmarkStart w:id="26" w:name="option-a--avalonia"/>
    <w:p>
      <w:pPr>
        <w:pStyle w:val="Heading3"/>
      </w:pPr>
      <w:r>
        <w:rPr>
          <w:rStyle w:val="SectionNumber"/>
          <w:rFonts w:ascii="Spectral" w:hAnsi="Spectral" w:eastAsia="Spectral"/>
          <w:color w:val="132338"/>
        </w:rPr>
        <w:t xml:space="preserve">3.3.1</w:t>
      </w:r>
      <w:r>
        <w:rPr>
          <w:rFonts w:ascii="Spectral" w:hAnsi="Spectral" w:eastAsia="Spectral"/>
          <w:color w:val="132338"/>
        </w:rPr>
        <w:tab/>
      </w:r>
      <w:r>
        <w:rPr>
          <w:rFonts w:ascii="Spectral" w:hAnsi="Spectral" w:eastAsia="Spectral"/>
          <w:color w:val="132338"/>
        </w:rPr>
        <w:t xml:space="preserve">Option A — Avalonia</w:t>
      </w:r>
    </w:p>
    <w:p>
      <w:pPr>
        <w:pStyle w:val="Compact"/>
        <w:numPr>
          <w:ilvl w:val="0"/>
          <w:numId w:val="1011"/>
        </w:numPr>
      </w:pPr>
      <w:r>
        <w:t xml:space="preserve">Pros: single C# and XAML codebase across Windows and macOS (Linux as a bonus); mature theming and control set; virtualised lists; integrates a native WebView surface for the 3D shelf; aligns with ADR-0001 and the team's C# skills.</w:t>
      </w:r>
    </w:p>
    <w:p>
      <w:pPr>
        <w:pStyle w:val="Compact"/>
        <w:numPr>
          <w:ilvl w:val="0"/>
          <w:numId w:val="1011"/>
        </w:numPr>
      </w:pPr>
      <w:r>
        <w:t xml:space="preserve">Cons: smaller ecosystem than Windows-only stacks; some platform-native conveniences must be themed rather than inherited; macOS WebView behaviour must be validated (carried into ADR-0003).</w:t>
      </w:r>
    </w:p>
    <w:bookmarkEnd w:id="26"/>
    <w:bookmarkStart w:id="27" w:name="X3288458f156b50eada8e24fff55ee5d53e73370"/>
    <w:p>
      <w:pPr>
        <w:pStyle w:val="Heading3"/>
      </w:pPr>
      <w:r>
        <w:rPr>
          <w:rStyle w:val="SectionNumber"/>
          <w:rFonts w:ascii="Spectral" w:hAnsi="Spectral" w:eastAsia="Spectral"/>
          <w:color w:val="132338"/>
        </w:rPr>
        <w:t xml:space="preserve">3.3.2</w:t>
      </w:r>
      <w:r>
        <w:rPr>
          <w:rFonts w:ascii="Spectral" w:hAnsi="Spectral" w:eastAsia="Spectral"/>
          <w:color w:val="132338"/>
        </w:rPr>
        <w:tab/>
      </w:r>
      <w:r>
        <w:rPr>
          <w:rFonts w:ascii="Spectral" w:hAnsi="Spectral" w:eastAsia="Spectral"/>
          <w:color w:val="132338"/>
        </w:rPr>
        <w:t xml:space="preserve">Option B — Per-platform native (WinUI on Windows, SwiftUI/AppKit on macOS)</w:t>
      </w:r>
    </w:p>
    <w:p>
      <w:pPr>
        <w:pStyle w:val="Compact"/>
        <w:numPr>
          <w:ilvl w:val="0"/>
          <w:numId w:val="1012"/>
        </w:numPr>
      </w:pPr>
      <w:r>
        <w:t xml:space="preserve">Pros: maximal native fidelity and accessibility per platform.</w:t>
      </w:r>
    </w:p>
    <w:p>
      <w:pPr>
        <w:pStyle w:val="Compact"/>
        <w:numPr>
          <w:ilvl w:val="0"/>
          <w:numId w:val="1012"/>
        </w:numPr>
      </w:pPr>
      <w:r>
        <w:t xml:space="preserve">Cons: two UI codebases in two languages double build, test, and maintenance cost for a small team; feature parity drifts; shared catalogue, reader, and AI logic must straddle a language boundary.</w:t>
      </w:r>
    </w:p>
    <w:bookmarkEnd w:id="27"/>
    <w:bookmarkStart w:id="28" w:name="X18a5057d51250843e65c3fd96906a2e6d7e67bc"/>
    <w:p>
      <w:pPr>
        <w:pStyle w:val="Heading3"/>
      </w:pPr>
      <w:r>
        <w:rPr>
          <w:rStyle w:val="SectionNumber"/>
          <w:rFonts w:ascii="Spectral" w:hAnsi="Spectral" w:eastAsia="Spectral"/>
          <w:color w:val="132338"/>
        </w:rPr>
        <w:t xml:space="preserve">3.3.3</w:t>
      </w:r>
      <w:r>
        <w:rPr>
          <w:rFonts w:ascii="Spectral" w:hAnsi="Spectral" w:eastAsia="Spectral"/>
          <w:color w:val="132338"/>
        </w:rPr>
        <w:tab/>
      </w:r>
      <w:r>
        <w:rPr>
          <w:rFonts w:ascii="Spectral" w:hAnsi="Spectral" w:eastAsia="Spectral"/>
          <w:color w:val="132338"/>
        </w:rPr>
        <w:t xml:space="preserve">Option C — Electron (web stack for the entire shell)</w:t>
      </w:r>
    </w:p>
    <w:p>
      <w:pPr>
        <w:pStyle w:val="Compact"/>
        <w:numPr>
          <w:ilvl w:val="0"/>
          <w:numId w:val="1013"/>
        </w:numPr>
      </w:pPr>
      <w:r>
        <w:t xml:space="preserve">Pros: one web codebase; the 3D shelf is trivial inside a browser engine.</w:t>
      </w:r>
    </w:p>
    <w:p>
      <w:pPr>
        <w:pStyle w:val="Compact"/>
        <w:numPr>
          <w:ilvl w:val="0"/>
          <w:numId w:val="1013"/>
        </w:numPr>
      </w:pPr>
      <w:r>
        <w:t xml:space="preserve">Cons: heavyweight memory and startup footprint conflicts with the 3 s cold-start budget (NFR-OGMA-001); weaker native feel; a JavaScript shell diverges from the C# core.</w:t>
      </w:r>
    </w:p>
    <w:bookmarkEnd w:id="28"/>
    <w:bookmarkStart w:id="29" w:name="option-d--maui"/>
    <w:p>
      <w:pPr>
        <w:pStyle w:val="Heading3"/>
      </w:pPr>
      <w:r>
        <w:rPr>
          <w:rStyle w:val="SectionNumber"/>
          <w:rFonts w:ascii="Spectral" w:hAnsi="Spectral" w:eastAsia="Spectral"/>
          <w:color w:val="132338"/>
        </w:rPr>
        <w:t xml:space="preserve">3.3.4</w:t>
      </w:r>
      <w:r>
        <w:rPr>
          <w:rFonts w:ascii="Spectral" w:hAnsi="Spectral" w:eastAsia="Spectral"/>
          <w:color w:val="132338"/>
        </w:rPr>
        <w:tab/>
      </w:r>
      <w:r>
        <w:rPr>
          <w:rFonts w:ascii="Spectral" w:hAnsi="Spectral" w:eastAsia="Spectral"/>
          <w:color w:val="132338"/>
        </w:rPr>
        <w:t xml:space="preserve">Option D — MAUI</w:t>
      </w:r>
    </w:p>
    <w:p>
      <w:pPr>
        <w:pStyle w:val="Compact"/>
        <w:numPr>
          <w:ilvl w:val="0"/>
          <w:numId w:val="1014"/>
        </w:numPr>
      </w:pPr>
      <w:r>
        <w:t xml:space="preserve">Pros: first-party .NET cross-platform framework.</w:t>
      </w:r>
    </w:p>
    <w:p>
      <w:pPr>
        <w:pStyle w:val="Compact"/>
        <w:numPr>
          <w:ilvl w:val="0"/>
          <w:numId w:val="1014"/>
        </w:numPr>
      </w:pPr>
      <w:r>
        <w:t xml:space="preserve">Cons: desktop maturity and control breadth lag Avalonia for a dense desktop library application; the macOS desktop story is less proven for this class of UI.</w:t>
      </w:r>
    </w:p>
    <w:bookmarkEnd w:id="29"/>
    <w:bookmarkEnd w:id="30"/>
    <w:bookmarkStart w:id="31" w:name="decision-outcome-1"/>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Avalonia as the desktop shell for Windows and macOS, written in C# on .NET 10 (ADR-0001). The shell renders all native chrome using Avalonia controls; a hosted web surface is used only for the immersive 3D shelf (ADR-0003). Accessibility is a shell responsibility validated against the WCAG 2.2 AA gate on both platforms.</w:t>
      </w:r>
    </w:p>
    <w:bookmarkEnd w:id="31"/>
    <w:bookmarkStart w:id="32" w:name="evidence-of-implementation-1"/>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15"/>
        </w:numPr>
      </w:pPr>
      <w:r>
        <w:rPr>
          <w:rStyle w:val="VerbatimChar"/>
        </w:rPr>
        <w:t xml:space="preserve">src/OgmaLibrary.App</w:t>
      </w:r>
      <w:r>
        <w:t xml:space="preserve"> </w:t>
      </w:r>
      <w:r>
        <w:t xml:space="preserve">is an Avalonia 11.3.17 application:</w:t>
      </w:r>
      <w:r>
        <w:t xml:space="preserve"> </w:t>
      </w:r>
      <w:r>
        <w:rPr>
          <w:rStyle w:val="VerbatimChar"/>
        </w:rPr>
        <w:t xml:space="preserve">App.axaml</w:t>
      </w:r>
      <w:r>
        <w:t xml:space="preserve">,</w:t>
      </w:r>
      <w:r>
        <w:t xml:space="preserve"> </w:t>
      </w:r>
      <w:r>
        <w:rPr>
          <w:rStyle w:val="VerbatimChar"/>
        </w:rPr>
        <w:t xml:space="preserve">MainShellViewModel</w:t>
      </w:r>
      <w:r>
        <w:t xml:space="preserve">, catalogue/reader/search/AI views and view models, and</w:t>
      </w:r>
      <w:r>
        <w:t xml:space="preserve"> </w:t>
      </w:r>
      <w:r>
        <w:rPr>
          <w:rStyle w:val="VerbatimChar"/>
        </w:rPr>
        <w:t xml:space="preserve">Themes/Tokens.axaml</w:t>
      </w:r>
      <w:r>
        <w:t xml:space="preserve"> </w:t>
      </w:r>
      <w:r>
        <w:t xml:space="preserve">design tokens.</w:t>
      </w:r>
    </w:p>
    <w:p>
      <w:pPr>
        <w:pStyle w:val="Compact"/>
        <w:numPr>
          <w:ilvl w:val="0"/>
          <w:numId w:val="1015"/>
        </w:numPr>
      </w:pPr>
      <w:r>
        <w:rPr>
          <w:rStyle w:val="VerbatimChar"/>
        </w:rPr>
        <w:t xml:space="preserve">tests/OgmaLibrary.Tests.Ui</w:t>
      </w:r>
      <w:r>
        <w:t xml:space="preserve"> </w:t>
      </w:r>
      <w:r>
        <w:t xml:space="preserve">exercises the shell with Avalonia headless UI tests, part of the 800-case canonical Release suite.</w:t>
      </w:r>
    </w:p>
    <w:p>
      <w:pPr>
        <w:pStyle w:val="Compact"/>
        <w:numPr>
          <w:ilvl w:val="0"/>
          <w:numId w:val="1015"/>
        </w:numPr>
      </w:pPr>
      <w:r>
        <w:t xml:space="preserve">Residual (design-to-be): the full WCAG 2.2 AA audit is Phase 21 scope; keyboard operability and localisation scaffolding exist, the formal audit evidence does not yet.</w:t>
      </w:r>
    </w:p>
    <w:bookmarkEnd w:id="32"/>
    <w:bookmarkStart w:id="33" w:name="consequences-1"/>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16"/>
        </w:numPr>
      </w:pPr>
      <w:r>
        <w:t xml:space="preserve">Positive: one C# and .NET 10 codebase serves both desktop platforms, minimising maintenance for a small team.</w:t>
      </w:r>
    </w:p>
    <w:p>
      <w:pPr>
        <w:pStyle w:val="Compact"/>
        <w:numPr>
          <w:ilvl w:val="0"/>
          <w:numId w:val="1016"/>
        </w:numPr>
      </w:pPr>
      <w:r>
        <w:t xml:space="preserve">Positive: the shell stays native-feeling while permitting a single embedded web surface for the 3D shelf.</w:t>
      </w:r>
    </w:p>
    <w:p>
      <w:pPr>
        <w:pStyle w:val="Compact"/>
        <w:numPr>
          <w:ilvl w:val="0"/>
          <w:numId w:val="1016"/>
        </w:numPr>
      </w:pPr>
      <w:r>
        <w:t xml:space="preserve">Negative: macOS accessibility and WebView behaviour must be explicitly validated rather than assumed (tracked into Phase 20/21 work).</w:t>
      </w:r>
    </w:p>
    <w:p>
      <w:pPr>
        <w:pStyle w:val="Compact"/>
        <w:numPr>
          <w:ilvl w:val="0"/>
          <w:numId w:val="1016"/>
        </w:numPr>
      </w:pPr>
      <w:r>
        <w:t xml:space="preserve">Affects: ADR-0003 (3D shelf hosted inside the Avalonia WebView surface); the WCAG 2.2 AA release gate; the packaging pipeline (ADR-0009).</w:t>
      </w:r>
    </w:p>
    <w:bookmarkEnd w:id="33"/>
    <w:bookmarkEnd w:id="34"/>
    <w:bookmarkStart w:id="45" w:name="Xdbf3f70e1df564d01276150679bbb3b566509e6"/>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ADR-0003: Render the 3D Shelf with WebView-Hosted Three.js Behind a Spike Gate</w:t>
      </w:r>
    </w:p>
    <w:p>
      <w:pPr>
        <w:pStyle w:val="Compact"/>
        <w:numPr>
          <w:ilvl w:val="0"/>
          <w:numId w:val="1017"/>
        </w:numPr>
      </w:pPr>
      <w:r>
        <w:t xml:space="preserve">ID:</w:t>
      </w:r>
      <w:r>
        <w:t xml:space="preserve"> </w:t>
      </w:r>
      <w:r>
        <w:rPr>
          <w:b/>
          <w:bCs/>
        </w:rPr>
        <w:t xml:space="preserve">ADR-0003</w:t>
      </w:r>
    </w:p>
    <w:p>
      <w:pPr>
        <w:pStyle w:val="Compact"/>
        <w:numPr>
          <w:ilvl w:val="0"/>
          <w:numId w:val="1017"/>
        </w:numPr>
      </w:pPr>
      <w:r>
        <w:t xml:space="preserve">Status: Accepted — ratified in implementation; formal owner counter-signature pending baseline v2.0 sign-off. The macOS WKWebView frame-rate gate remains open (tracked</w:t>
      </w:r>
      <w:r>
        <w:t xml:space="preserve"> </w:t>
      </w:r>
      <w:r>
        <w:rPr>
          <w:rStyle w:val="VerbatimChar"/>
        </w:rPr>
        <w:t xml:space="preserve">TRACK-P01-S4-MACOS-FPS</w:t>
      </w:r>
      <w:r>
        <w:t xml:space="preserve">, closes in Phase 20).</w:t>
      </w:r>
    </w:p>
    <w:p>
      <w:pPr>
        <w:pStyle w:val="Compact"/>
        <w:numPr>
          <w:ilvl w:val="0"/>
          <w:numId w:val="1017"/>
        </w:numPr>
      </w:pPr>
      <w:r>
        <w:t xml:space="preserve">Date: 2026-05-30</w:t>
      </w:r>
    </w:p>
    <w:p>
      <w:pPr>
        <w:pStyle w:val="Compact"/>
        <w:numPr>
          <w:ilvl w:val="0"/>
          <w:numId w:val="1017"/>
        </w:numPr>
      </w:pPr>
      <w:r>
        <w:t xml:space="preserve">Deciders: Product owner (Chwezi Core Systems), Engineering lead</w:t>
      </w:r>
    </w:p>
    <w:bookmarkStart w:id="35" w:name="context-2"/>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immersive 3D shelf is a signature browsing mode: a hardware-accelerated, navigable arrangement of book spines and covers that aids discovery and memory. The product principle holds that</w:t>
      </w:r>
      <w:r>
        <w:t xml:space="preserve"> </w:t>
      </w:r>
      <w:r>
        <w:rPr>
          <w:i/>
          <w:iCs/>
        </w:rPr>
        <w:t xml:space="preserve">3D is functional, not gimmick</w:t>
      </w:r>
      <w:r>
        <w:t xml:space="preserve"> </w:t>
      </w:r>
      <w:r>
        <w:t xml:space="preserve">and that grid and list views remain first-class, so the 3D shelf must be valuable but never load-bearing. The Avalonia shell (ADR-0002) provides no native 3D scene graph. Two paths exist: build a native 3D renderer against the platform graphics APIs, or host a web rendering surface running an established WebGL engine. The web path carries a known platform risk — macOS WKWebView WebGL performance, memory behaviour, and C#-to-JavaScript bridging must be proven before the team commits — so the rendering technology was gated by a Phase 0/01 spike with a defined fallback.</w:t>
      </w:r>
    </w:p>
    <w:bookmarkEnd w:id="35"/>
    <w:bookmarkStart w:id="36" w:name="decision-drivers-2"/>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18"/>
        </w:numPr>
      </w:pPr>
      <w:r>
        <w:t xml:space="preserve">Reuse of a mature, well-documented 3D engine rather than a hand-built renderer.</w:t>
      </w:r>
    </w:p>
    <w:p>
      <w:pPr>
        <w:pStyle w:val="Compact"/>
        <w:numPr>
          <w:ilvl w:val="0"/>
          <w:numId w:val="1018"/>
        </w:numPr>
      </w:pPr>
      <w:r>
        <w:t xml:space="preserve">Acceptable performance and memory behaviour on macOS WKWebView, the highest-risk platform.</w:t>
      </w:r>
    </w:p>
    <w:p>
      <w:pPr>
        <w:pStyle w:val="Compact"/>
        <w:numPr>
          <w:ilvl w:val="0"/>
          <w:numId w:val="1018"/>
        </w:numPr>
      </w:pPr>
      <w:r>
        <w:t xml:space="preserve">A typed, schema-validated C#-to-JavaScript bridge for selection, navigation, and catalogue data, with every inbound message rejected unless it validates.</w:t>
      </w:r>
    </w:p>
    <w:p>
      <w:pPr>
        <w:pStyle w:val="Compact"/>
        <w:numPr>
          <w:ilvl w:val="0"/>
          <w:numId w:val="1018"/>
        </w:numPr>
      </w:pPr>
      <w:r>
        <w:t xml:space="preserve">A graceful fallback to first-class grid and list views if the spike fails.</w:t>
      </w:r>
    </w:p>
    <w:p>
      <w:pPr>
        <w:pStyle w:val="Compact"/>
        <w:numPr>
          <w:ilvl w:val="0"/>
          <w:numId w:val="1018"/>
        </w:numPr>
      </w:pPr>
      <w:r>
        <w:t xml:space="preserve">Minimal coupling so the 3D surface can be swapped or removed without disturbing the shell.</w:t>
      </w:r>
    </w:p>
    <w:bookmarkEnd w:id="36"/>
    <w:bookmarkStart w:id="40" w:name="considered-options-2"/>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Considered Options</w:t>
      </w:r>
    </w:p>
    <w:bookmarkStart w:id="37" w:name="X8b9ee1719edc2d1a7aeae4c37afa0353c23bdca"/>
    <w:p>
      <w:pPr>
        <w:pStyle w:val="Heading3"/>
      </w:pPr>
      <w:r>
        <w:rPr>
          <w:rStyle w:val="SectionNumber"/>
          <w:rFonts w:ascii="Spectral" w:hAnsi="Spectral" w:eastAsia="Spectral"/>
          <w:color w:val="132338"/>
        </w:rPr>
        <w:t xml:space="preserve">4.3.1</w:t>
      </w:r>
      <w:r>
        <w:rPr>
          <w:rFonts w:ascii="Spectral" w:hAnsi="Spectral" w:eastAsia="Spectral"/>
          <w:color w:val="132338"/>
        </w:rPr>
        <w:tab/>
      </w:r>
      <w:r>
        <w:rPr>
          <w:rFonts w:ascii="Spectral" w:hAnsi="Spectral" w:eastAsia="Spectral"/>
          <w:color w:val="132338"/>
        </w:rPr>
        <w:t xml:space="preserve">Option A — WebView-hosted Three.js with a C#-to-JavaScript bridge</w:t>
      </w:r>
    </w:p>
    <w:p>
      <w:pPr>
        <w:pStyle w:val="Compact"/>
        <w:numPr>
          <w:ilvl w:val="0"/>
          <w:numId w:val="1019"/>
        </w:numPr>
      </w:pPr>
      <w:r>
        <w:t xml:space="preserve">Pros: Three.js is a mature, widely supported WebGL engine; the embedded WebView already exists in the Avalonia shell; rapid scene iteration; the bridge isolates the 3D surface.</w:t>
      </w:r>
    </w:p>
    <w:p>
      <w:pPr>
        <w:pStyle w:val="Compact"/>
        <w:numPr>
          <w:ilvl w:val="0"/>
          <w:numId w:val="1019"/>
        </w:numPr>
      </w:pPr>
      <w:r>
        <w:t xml:space="preserve">Cons: macOS WKWebView WebGL performance is unproven for this scene and must be spike-validated; the bridge adds a serialisation boundary; one more technology to maintain.</w:t>
      </w:r>
    </w:p>
    <w:bookmarkEnd w:id="37"/>
    <w:bookmarkStart w:id="38" w:name="X39b0dd3cd56b5b939437ea4ed7da8f4c6f62ea3"/>
    <w:p>
      <w:pPr>
        <w:pStyle w:val="Heading3"/>
      </w:pPr>
      <w:r>
        <w:rPr>
          <w:rStyle w:val="SectionNumber"/>
          <w:rFonts w:ascii="Spectral" w:hAnsi="Spectral" w:eastAsia="Spectral"/>
          <w:color w:val="132338"/>
        </w:rPr>
        <w:t xml:space="preserve">4.3.2</w:t>
      </w:r>
      <w:r>
        <w:rPr>
          <w:rFonts w:ascii="Spectral" w:hAnsi="Spectral" w:eastAsia="Spectral"/>
          <w:color w:val="132338"/>
        </w:rPr>
        <w:tab/>
      </w:r>
      <w:r>
        <w:rPr>
          <w:rFonts w:ascii="Spectral" w:hAnsi="Spectral" w:eastAsia="Spectral"/>
          <w:color w:val="132338"/>
        </w:rPr>
        <w:t xml:space="preserve">Option B — Native 3D renderer bound to platform graphics APIs</w:t>
      </w:r>
    </w:p>
    <w:p>
      <w:pPr>
        <w:pStyle w:val="Compact"/>
        <w:numPr>
          <w:ilvl w:val="0"/>
          <w:numId w:val="1020"/>
        </w:numPr>
      </w:pPr>
      <w:r>
        <w:t xml:space="preserve">Pros: maximal control over performance and native integration; no WebView dependency.</w:t>
      </w:r>
    </w:p>
    <w:p>
      <w:pPr>
        <w:pStyle w:val="Compact"/>
        <w:numPr>
          <w:ilvl w:val="0"/>
          <w:numId w:val="1020"/>
        </w:numPr>
      </w:pPr>
      <w:r>
        <w:t xml:space="preserve">Cons: a hand-built cross-platform 3D renderer is high-cost and high-risk for a small team, disproportionate to an enhancement feature.</w:t>
      </w:r>
    </w:p>
    <w:bookmarkEnd w:id="38"/>
    <w:bookmarkStart w:id="39" w:name="option-c--no-3d-shelf-grid-and-list-only"/>
    <w:p>
      <w:pPr>
        <w:pStyle w:val="Heading3"/>
      </w:pPr>
      <w:r>
        <w:rPr>
          <w:rStyle w:val="SectionNumber"/>
          <w:rFonts w:ascii="Spectral" w:hAnsi="Spectral" w:eastAsia="Spectral"/>
          <w:color w:val="132338"/>
        </w:rPr>
        <w:t xml:space="preserve">4.3.3</w:t>
      </w:r>
      <w:r>
        <w:rPr>
          <w:rFonts w:ascii="Spectral" w:hAnsi="Spectral" w:eastAsia="Spectral"/>
          <w:color w:val="132338"/>
        </w:rPr>
        <w:tab/>
      </w:r>
      <w:r>
        <w:rPr>
          <w:rFonts w:ascii="Spectral" w:hAnsi="Spectral" w:eastAsia="Spectral"/>
          <w:color w:val="132338"/>
        </w:rPr>
        <w:t xml:space="preserve">Option C — No 3D shelf; grid and list only</w:t>
      </w:r>
    </w:p>
    <w:p>
      <w:pPr>
        <w:pStyle w:val="Compact"/>
        <w:numPr>
          <w:ilvl w:val="0"/>
          <w:numId w:val="1021"/>
        </w:numPr>
      </w:pPr>
      <w:r>
        <w:t xml:space="preserve">Pros: zero 3D risk; lowest cost.</w:t>
      </w:r>
    </w:p>
    <w:p>
      <w:pPr>
        <w:pStyle w:val="Compact"/>
        <w:numPr>
          <w:ilvl w:val="0"/>
          <w:numId w:val="1021"/>
        </w:numPr>
      </w:pPr>
      <w:r>
        <w:t xml:space="preserve">Cons: drops a signature differentiator the vision treats as a core way to make the library visible.</w:t>
      </w:r>
    </w:p>
    <w:bookmarkEnd w:id="39"/>
    <w:bookmarkEnd w:id="40"/>
    <w:bookmarkStart w:id="41" w:name="decision-outcome-2"/>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WebView-hosted Three.js with a typed C#-to-JavaScript bridge, hosted inside the Avalonia WebView surface from ADR-0002, gated by the Phase 01 spike. If the spike fails its acceptance thresholds, the 3D shelf falls back to the first-class grid and list views, which ship regardless.</w:t>
      </w:r>
    </w:p>
    <w:bookmarkEnd w:id="41"/>
    <w:bookmarkStart w:id="42" w:name="spike-and-amendment-record"/>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Spike and Amendment Record</w:t>
      </w:r>
    </w:p>
    <w:p>
      <w:pPr>
        <w:pStyle w:val="Compact"/>
        <w:numPr>
          <w:ilvl w:val="0"/>
          <w:numId w:val="1022"/>
        </w:numPr>
      </w:pPr>
      <w:r>
        <w:t xml:space="preserve">Phase 01 Spike 3 (bridge contract, 2026-05-30): PASS, 7 of 7 checks — typed</w:t>
      </w:r>
      <w:r>
        <w:t xml:space="preserve"> </w:t>
      </w:r>
      <w:r>
        <w:rPr>
          <w:rStyle w:val="VerbatimChar"/>
        </w:rPr>
        <w:t xml:space="preserve">BridgeCommand</w:t>
      </w:r>
      <w:r>
        <w:t xml:space="preserve">/</w:t>
      </w:r>
      <w:r>
        <w:rPr>
          <w:rStyle w:val="VerbatimChar"/>
        </w:rPr>
        <w:t xml:space="preserve">BridgeEvent</w:t>
      </w:r>
      <w:r>
        <w:t xml:space="preserve"> </w:t>
      </w:r>
      <w:r>
        <w:t xml:space="preserve">unions, closed inbound event set, rejection of unknown message types and malformed JSON (SI-3),</w:t>
      </w:r>
      <w:r>
        <w:t xml:space="preserve"> </w:t>
      </w:r>
      <w:r>
        <w:rPr>
          <w:rStyle w:val="VerbatimChar"/>
        </w:rPr>
        <w:t xml:space="preserve">ogma://</w:t>
      </w:r>
      <w:r>
        <w:t xml:space="preserve">-only asset references.</w:t>
      </w:r>
    </w:p>
    <w:p>
      <w:pPr>
        <w:pStyle w:val="Compact"/>
        <w:numPr>
          <w:ilvl w:val="0"/>
          <w:numId w:val="1022"/>
        </w:numPr>
      </w:pPr>
      <w:r>
        <w:t xml:space="preserve">Phase 01 Spike 4 (500-spine WebGL2 scene): scene built with WebGL2 capability check and 10 s mean-FPS sampler; the ≥ 60 FPS measurement (NFR-OGMA-006) requires the M-REF-01 macOS reference machine and remains a tracked open item (</w:t>
      </w:r>
      <w:r>
        <w:rPr>
          <w:rStyle w:val="VerbatimChar"/>
        </w:rPr>
        <w:t xml:space="preserve">TRACK-P01-S4-MACOS-FPS</w:t>
      </w:r>
      <w:r>
        <w:t xml:space="preserve">).</w:t>
      </w:r>
    </w:p>
    <w:bookmarkEnd w:id="42"/>
    <w:bookmarkStart w:id="43" w:name="evidence-of-implementation-2"/>
    <w:p>
      <w:pPr>
        <w:pStyle w:val="Heading2"/>
      </w:pPr>
      <w:r>
        <w:rPr>
          <w:rStyle w:val="SectionNumber"/>
          <w:rFonts w:ascii="Spectral" w:hAnsi="Spectral" w:eastAsia="Spectral"/>
          <w:color w:val="132338"/>
        </w:rPr>
        <w:t xml:space="preserve">4.6</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23"/>
        </w:numPr>
      </w:pPr>
      <w:r>
        <w:rPr>
          <w:rStyle w:val="VerbatimChar"/>
        </w:rPr>
        <w:t xml:space="preserve">src/OgmaLibrary.Bookshelf3D</w:t>
      </w:r>
      <w:r>
        <w:t xml:space="preserve"> </w:t>
      </w:r>
      <w:r>
        <w:t xml:space="preserve">holds the bridge contract and embedded scene; Three.js r181 is bundled locally in</w:t>
      </w:r>
      <w:r>
        <w:t xml:space="preserve"> </w:t>
      </w:r>
      <w:r>
        <w:rPr>
          <w:rStyle w:val="VerbatimChar"/>
        </w:rPr>
        <w:t xml:space="preserve">src/shelf3d</w:t>
      </w:r>
      <w:r>
        <w:t xml:space="preserve"> </w:t>
      </w:r>
      <w:r>
        <w:t xml:space="preserve">with no CDN or network egress.</w:t>
      </w:r>
    </w:p>
    <w:p>
      <w:pPr>
        <w:pStyle w:val="Compact"/>
        <w:numPr>
          <w:ilvl w:val="0"/>
          <w:numId w:val="1023"/>
        </w:numPr>
      </w:pPr>
      <w:r>
        <w:t xml:space="preserve">Phase 14 delivered the production foundation: C# and TypeScript discriminated bridge-message unions (scene, layout, theme, camera, interaction, WebGL2 status, performance warnings); validated inbound dispatch rejecting malformed book IDs, unknown message types, and non-finite camera/FPS values; a local-only</w:t>
      </w:r>
      <w:r>
        <w:t xml:space="preserve"> </w:t>
      </w:r>
      <w:r>
        <w:rPr>
          <w:rStyle w:val="VerbatimChar"/>
        </w:rPr>
        <w:t xml:space="preserve">ogma://assets/&lt;class&gt;/&lt;file&gt;</w:t>
      </w:r>
      <w:r>
        <w:t xml:space="preserve"> </w:t>
      </w:r>
      <w:r>
        <w:t xml:space="preserve">scheme handler with traversal protection and explicit MIME types;</w:t>
      </w:r>
      <w:r>
        <w:t xml:space="preserve"> </w:t>
      </w:r>
      <w:r>
        <w:rPr>
          <w:rStyle w:val="VerbatimChar"/>
        </w:rPr>
        <w:t xml:space="preserve">Bookshelf3DViewModel</w:t>
      </w:r>
      <w:r>
        <w:t xml:space="preserve">/</w:t>
      </w:r>
      <w:r>
        <w:rPr>
          <w:rStyle w:val="VerbatimChar"/>
        </w:rPr>
        <w:t xml:space="preserve">Bookshelf3DView</w:t>
      </w:r>
      <w:r>
        <w:t xml:space="preserve"> </w:t>
      </w:r>
      <w:r>
        <w:t xml:space="preserve">with localised toolbar, accessible fallback, and book-detail parity for click and double-click.</w:t>
      </w:r>
    </w:p>
    <w:p>
      <w:pPr>
        <w:pStyle w:val="Compact"/>
        <w:numPr>
          <w:ilvl w:val="0"/>
          <w:numId w:val="1023"/>
        </w:numPr>
      </w:pPr>
      <w:r>
        <w:t xml:space="preserve">Native WebView binding is isolated behind</w:t>
      </w:r>
      <w:r>
        <w:t xml:space="preserve"> </w:t>
      </w:r>
      <w:r>
        <w:rPr>
          <w:rStyle w:val="VerbatimChar"/>
        </w:rPr>
        <w:t xml:space="preserve">IWebViewBridge</w:t>
      </w:r>
      <w:r>
        <w:t xml:space="preserve"> </w:t>
      </w:r>
      <w:r>
        <w:t xml:space="preserve">(</w:t>
      </w:r>
      <w:r>
        <w:rPr>
          <w:rStyle w:val="VerbatimChar"/>
        </w:rPr>
        <w:t xml:space="preserve">WebView2Bridge</w:t>
      </w:r>
      <w:r>
        <w:t xml:space="preserve"> </w:t>
      </w:r>
      <w:r>
        <w:t xml:space="preserve">on Windows,</w:t>
      </w:r>
      <w:r>
        <w:t xml:space="preserve"> </w:t>
      </w:r>
      <w:r>
        <w:rPr>
          <w:rStyle w:val="VerbatimChar"/>
        </w:rPr>
        <w:t xml:space="preserve">WKWebViewBridge</w:t>
      </w:r>
      <w:r>
        <w:t xml:space="preserve"> </w:t>
      </w:r>
      <w:r>
        <w:t xml:space="preserve">on macOS, selected in</w:t>
      </w:r>
      <w:r>
        <w:t xml:space="preserve"> </w:t>
      </w:r>
      <w:r>
        <w:rPr>
          <w:rStyle w:val="VerbatimChar"/>
        </w:rPr>
        <w:t xml:space="preserve">CompositionRoot</w:t>
      </w:r>
      <w:r>
        <w:t xml:space="preserve">); a deterministic 500-book layout budget (</w:t>
      </w:r>
      <w:r>
        <w:rPr>
          <w:rStyle w:val="VerbatimChar"/>
        </w:rPr>
        <w:t xml:space="preserve">npm run perf:budget</w:t>
      </w:r>
      <w:r>
        <w:t xml:space="preserve">) has a recorded baseline (</w:t>
      </w:r>
      <w:r>
        <w:rPr>
          <w:rStyle w:val="VerbatimChar"/>
        </w:rPr>
        <w:t xml:space="preserve">docs/benchmarks/phase-14/layout-baseline-20260601.json</w:t>
      </w:r>
      <w:r>
        <w:t xml:space="preserve">).</w:t>
      </w:r>
    </w:p>
    <w:bookmarkEnd w:id="43"/>
    <w:bookmarkStart w:id="44" w:name="consequences-2"/>
    <w:p>
      <w:pPr>
        <w:pStyle w:val="Heading2"/>
      </w:pPr>
      <w:r>
        <w:rPr>
          <w:rStyle w:val="SectionNumber"/>
          <w:rFonts w:ascii="Spectral" w:hAnsi="Spectral" w:eastAsia="Spectral"/>
          <w:color w:val="132338"/>
        </w:rPr>
        <w:t xml:space="preserve">4.7</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24"/>
        </w:numPr>
      </w:pPr>
      <w:r>
        <w:t xml:space="preserve">Positive: a mature 3D engine is reused rather than hand-built; the bridge boundary isolates the 3D surface so it can be swapped or removed without disturbing the shell.</w:t>
      </w:r>
    </w:p>
    <w:p>
      <w:pPr>
        <w:pStyle w:val="Compact"/>
        <w:numPr>
          <w:ilvl w:val="0"/>
          <w:numId w:val="1024"/>
        </w:numPr>
      </w:pPr>
      <w:r>
        <w:t xml:space="preserve">Negative: the macOS WKWebView ≥ 60 FPS gate is still open; formal acceptance on W-REF-01/M-REF-01 is Phase 20 scope, and grid/list fallback remains the contingency.</w:t>
      </w:r>
    </w:p>
    <w:p>
      <w:pPr>
        <w:pStyle w:val="Compact"/>
        <w:numPr>
          <w:ilvl w:val="0"/>
          <w:numId w:val="1024"/>
        </w:numPr>
      </w:pPr>
      <w:r>
        <w:t xml:space="preserve">Negative: concrete WebView2 runtime packaging stays with Phase 22 packaging (ADR-0009).</w:t>
      </w:r>
    </w:p>
    <w:p>
      <w:pPr>
        <w:pStyle w:val="Compact"/>
        <w:numPr>
          <w:ilvl w:val="0"/>
          <w:numId w:val="1024"/>
        </w:numPr>
      </w:pPr>
      <w:r>
        <w:t xml:space="preserve">Affects: ADR-0002 (hosts the WebView surface); NFR-OGMA-006; grid and list views, which are unconditionally first-class.</w:t>
      </w:r>
    </w:p>
    <w:bookmarkEnd w:id="44"/>
    <w:bookmarkEnd w:id="45"/>
    <w:bookmarkStart w:id="56" w:name="X765d07e329deaab0969af1d2b856719f10b4ef5"/>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ADR-0004: Render and Extract PDF Content with PDFium Behind an Adapter</w:t>
      </w:r>
    </w:p>
    <w:p>
      <w:pPr>
        <w:pStyle w:val="Compact"/>
        <w:numPr>
          <w:ilvl w:val="0"/>
          <w:numId w:val="1025"/>
        </w:numPr>
      </w:pPr>
      <w:r>
        <w:t xml:space="preserve">ID:</w:t>
      </w:r>
      <w:r>
        <w:t xml:space="preserve"> </w:t>
      </w:r>
      <w:r>
        <w:rPr>
          <w:b/>
          <w:bCs/>
        </w:rPr>
        <w:t xml:space="preserve">ADR-0004</w:t>
      </w:r>
    </w:p>
    <w:p>
      <w:pPr>
        <w:pStyle w:val="Compact"/>
        <w:numPr>
          <w:ilvl w:val="0"/>
          <w:numId w:val="1025"/>
        </w:numPr>
      </w:pPr>
      <w:r>
        <w:t xml:space="preserve">Status: Accepted — ratified in implementation (wrapper fixed: PDFtoImage); formal owner counter-signature pending baseline v2.0 sign-off</w:t>
      </w:r>
    </w:p>
    <w:p>
      <w:pPr>
        <w:pStyle w:val="Compact"/>
        <w:numPr>
          <w:ilvl w:val="0"/>
          <w:numId w:val="1025"/>
        </w:numPr>
      </w:pPr>
      <w:r>
        <w:t xml:space="preserve">Date: 2026-05-30</w:t>
      </w:r>
    </w:p>
    <w:p>
      <w:pPr>
        <w:pStyle w:val="Compact"/>
        <w:numPr>
          <w:ilvl w:val="0"/>
          <w:numId w:val="1025"/>
        </w:numPr>
      </w:pPr>
      <w:r>
        <w:t xml:space="preserve">Deciders: Product owner (Chwezi Core Systems), Engineering lead</w:t>
      </w:r>
    </w:p>
    <w:bookmarkStart w:id="46" w:name="context-3"/>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reads, renders, and indexes PDF files as its primary corpus. The reader needs accurate page rendering and thumbnail generation; the catalogue needs reliable text extraction to feed full-text search (ADR-0006) and content-aware AI; and the import path must handle password-protected and malformed documents without crashing, because all imported documents are untrusted input. The PDF engine is therefore on the critical path for rendering quality, text fidelity, password handling, and security isolation. Several .NET-accessible engines exist, including PDFium (the engine behind Chromium's PDF viewer) exposed through community wrappers, and commercial managed libraries. The engine choice had to be validated by a concrete benchmark rather than reputation, and isolated so the project can switch engines without rewriting the reader and indexer.</w:t>
      </w:r>
    </w:p>
    <w:bookmarkEnd w:id="46"/>
    <w:bookmarkStart w:id="47" w:name="decision-drivers-3"/>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26"/>
        </w:numPr>
      </w:pPr>
      <w:r>
        <w:t xml:space="preserve">Rendering fidelity for the reader and thumbnails across varied real-world PDFs.</w:t>
      </w:r>
    </w:p>
    <w:p>
      <w:pPr>
        <w:pStyle w:val="Compact"/>
        <w:numPr>
          <w:ilvl w:val="0"/>
          <w:numId w:val="1026"/>
        </w:numPr>
      </w:pPr>
      <w:r>
        <w:t xml:space="preserve">Text-extraction quality sufficient to feed the FTS5 index and content-aware AI without manual correction on the golden corpus.</w:t>
      </w:r>
    </w:p>
    <w:p>
      <w:pPr>
        <w:pStyle w:val="Compact"/>
        <w:numPr>
          <w:ilvl w:val="0"/>
          <w:numId w:val="1026"/>
        </w:numPr>
      </w:pPr>
      <w:r>
        <w:t xml:space="preserve">Correct handling of password-protected documents and graceful failure on malformed ones.</w:t>
      </w:r>
    </w:p>
    <w:p>
      <w:pPr>
        <w:pStyle w:val="Compact"/>
        <w:numPr>
          <w:ilvl w:val="0"/>
          <w:numId w:val="1026"/>
        </w:numPr>
      </w:pPr>
      <w:r>
        <w:t xml:space="preserve">Security isolation: the engine runs inside the untrusted-document worker boundary.</w:t>
      </w:r>
    </w:p>
    <w:p>
      <w:pPr>
        <w:pStyle w:val="Compact"/>
        <w:numPr>
          <w:ilvl w:val="0"/>
          <w:numId w:val="1026"/>
        </w:numPr>
      </w:pPr>
      <w:r>
        <w:t xml:space="preserve">Replaceability: no licence lock-in that prevents switching engines.</w:t>
      </w:r>
    </w:p>
    <w:bookmarkEnd w:id="47"/>
    <w:bookmarkStart w:id="51" w:name="considered-options-3"/>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Considered Options</w:t>
      </w:r>
    </w:p>
    <w:bookmarkStart w:id="48" w:name="Xc0295a1171d1feea14ed24a5e86a98325319455"/>
    <w:p>
      <w:pPr>
        <w:pStyle w:val="Heading3"/>
      </w:pPr>
      <w:r>
        <w:rPr>
          <w:rStyle w:val="SectionNumber"/>
          <w:rFonts w:ascii="Spectral" w:hAnsi="Spectral" w:eastAsia="Spectral"/>
          <w:color w:val="132338"/>
        </w:rPr>
        <w:t xml:space="preserve">5.3.1</w:t>
      </w:r>
      <w:r>
        <w:rPr>
          <w:rFonts w:ascii="Spectral" w:hAnsi="Spectral" w:eastAsia="Spectral"/>
          <w:color w:val="132338"/>
        </w:rPr>
        <w:tab/>
      </w:r>
      <w:r>
        <w:rPr>
          <w:rFonts w:ascii="Spectral" w:hAnsi="Spectral" w:eastAsia="Spectral"/>
          <w:color w:val="132338"/>
        </w:rPr>
        <w:t xml:space="preserve">Option A — PDFium via a .NET wrapper, isolated behind an adapter</w:t>
      </w:r>
    </w:p>
    <w:p>
      <w:pPr>
        <w:pStyle w:val="Compact"/>
        <w:numPr>
          <w:ilvl w:val="0"/>
          <w:numId w:val="1027"/>
        </w:numPr>
      </w:pPr>
      <w:r>
        <w:t xml:space="preserve">Pros: battle-tested engine with broad format coverage and strong rendering fidelity; multiple wrappers exist so the project is not bound to one binding; permissive licensing; runs inside a sandboxed worker.</w:t>
      </w:r>
    </w:p>
    <w:p>
      <w:pPr>
        <w:pStyle w:val="Compact"/>
        <w:numPr>
          <w:ilvl w:val="0"/>
          <w:numId w:val="1027"/>
        </w:numPr>
      </w:pPr>
      <w:r>
        <w:t xml:space="preserve">Cons: wrapper quality varies, so at least two wrappers had to be benchmark-spiked; native interop adds a per-platform build and packaging dimension.</w:t>
      </w:r>
    </w:p>
    <w:bookmarkEnd w:id="48"/>
    <w:bookmarkStart w:id="49" w:name="Xb1f4a5846db1c1c40a056805eec771dceb47ccf"/>
    <w:p>
      <w:pPr>
        <w:pStyle w:val="Heading3"/>
      </w:pPr>
      <w:r>
        <w:rPr>
          <w:rStyle w:val="SectionNumber"/>
          <w:rFonts w:ascii="Spectral" w:hAnsi="Spectral" w:eastAsia="Spectral"/>
          <w:color w:val="132338"/>
        </w:rPr>
        <w:t xml:space="preserve">5.3.2</w:t>
      </w:r>
      <w:r>
        <w:rPr>
          <w:rFonts w:ascii="Spectral" w:hAnsi="Spectral" w:eastAsia="Spectral"/>
          <w:color w:val="132338"/>
        </w:rPr>
        <w:tab/>
      </w:r>
      <w:r>
        <w:rPr>
          <w:rFonts w:ascii="Spectral" w:hAnsi="Spectral" w:eastAsia="Spectral"/>
          <w:color w:val="132338"/>
        </w:rPr>
        <w:t xml:space="preserve">Option B — A commercial managed PDF library</w:t>
      </w:r>
    </w:p>
    <w:p>
      <w:pPr>
        <w:pStyle w:val="Compact"/>
        <w:numPr>
          <w:ilvl w:val="0"/>
          <w:numId w:val="1028"/>
        </w:numPr>
      </w:pPr>
      <w:r>
        <w:t xml:space="preserve">Pros: single supported managed dependency with a vendor support channel.</w:t>
      </w:r>
    </w:p>
    <w:p>
      <w:pPr>
        <w:pStyle w:val="Compact"/>
        <w:numPr>
          <w:ilvl w:val="0"/>
          <w:numId w:val="1028"/>
        </w:numPr>
      </w:pPr>
      <w:r>
        <w:t xml:space="preserve">Cons: licence cost and lock-in conflict with portable-ownership goals; engine internals are opaque; switching later is expensive.</w:t>
      </w:r>
    </w:p>
    <w:bookmarkEnd w:id="49"/>
    <w:bookmarkStart w:id="50" w:name="X1b29a7c4761a8d1e591171a5043078a75a2d561"/>
    <w:p>
      <w:pPr>
        <w:pStyle w:val="Heading3"/>
      </w:pPr>
      <w:r>
        <w:rPr>
          <w:rStyle w:val="SectionNumber"/>
          <w:rFonts w:ascii="Spectral" w:hAnsi="Spectral" w:eastAsia="Spectral"/>
          <w:color w:val="132338"/>
        </w:rPr>
        <w:t xml:space="preserve">5.3.3</w:t>
      </w:r>
      <w:r>
        <w:rPr>
          <w:rFonts w:ascii="Spectral" w:hAnsi="Spectral" w:eastAsia="Spectral"/>
          <w:color w:val="132338"/>
        </w:rPr>
        <w:tab/>
      </w:r>
      <w:r>
        <w:rPr>
          <w:rFonts w:ascii="Spectral" w:hAnsi="Spectral" w:eastAsia="Spectral"/>
          <w:color w:val="132338"/>
        </w:rPr>
        <w:t xml:space="preserve">Option C — A pure-managed open-source PDF library</w:t>
      </w:r>
    </w:p>
    <w:p>
      <w:pPr>
        <w:pStyle w:val="Compact"/>
        <w:numPr>
          <w:ilvl w:val="0"/>
          <w:numId w:val="1029"/>
        </w:numPr>
      </w:pPr>
      <w:r>
        <w:t xml:space="preserve">Pros: no native interop; simplest packaging.</w:t>
      </w:r>
    </w:p>
    <w:p>
      <w:pPr>
        <w:pStyle w:val="Compact"/>
        <w:numPr>
          <w:ilvl w:val="0"/>
          <w:numId w:val="1029"/>
        </w:numPr>
      </w:pPr>
      <w:r>
        <w:t xml:space="preserve">Cons: rendering fidelity and extraction breadth lag PDFium on complex real-world PDFs; password and edge-case handling less proven.</w:t>
      </w:r>
    </w:p>
    <w:bookmarkEnd w:id="50"/>
    <w:bookmarkEnd w:id="51"/>
    <w:bookmarkStart w:id="52" w:name="decision-outcome-3"/>
    <w:p>
      <w:pPr>
        <w:pStyle w:val="Heading2"/>
      </w:pPr>
      <w:r>
        <w:rPr>
          <w:rStyle w:val="SectionNumber"/>
          <w:rFonts w:ascii="Spectral" w:hAnsi="Spectral" w:eastAsia="Spectral"/>
          <w:color w:val="132338"/>
        </w:rPr>
        <w:t xml:space="preserve">5.4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PDFium, accessed through a .NET wrapper chosen by benchmark and isolated behind an internal adapter interface. All reader, thumbnail, and indexing code depends only on the adapter, never on the wrapper directly.</w:t>
      </w:r>
    </w:p>
    <w:bookmarkEnd w:id="52"/>
    <w:bookmarkStart w:id="53" w:name="spike-and-amendment-record-1"/>
    <w:p>
      <w:pPr>
        <w:pStyle w:val="Heading2"/>
      </w:pPr>
      <w:r>
        <w:rPr>
          <w:rStyle w:val="SectionNumber"/>
          <w:rFonts w:ascii="Spectral" w:hAnsi="Spectral" w:eastAsia="Spectral"/>
          <w:color w:val="132338"/>
        </w:rPr>
        <w:t xml:space="preserve">5.5</w:t>
      </w:r>
      <w:r>
        <w:rPr>
          <w:rFonts w:ascii="Spectral" w:hAnsi="Spectral" w:eastAsia="Spectral"/>
          <w:color w:val="132338"/>
        </w:rPr>
        <w:tab/>
      </w:r>
      <w:r>
        <w:rPr>
          <w:rFonts w:ascii="Spectral" w:hAnsi="Spectral" w:eastAsia="Spectral"/>
          <w:color w:val="132338"/>
        </w:rPr>
        <w:t xml:space="preserve">Spike and Amendment Record</w:t>
      </w:r>
    </w:p>
    <w:p>
      <w:pPr>
        <w:pStyle w:val="FirstParagraph"/>
      </w:pPr>
      <w:r>
        <w:t xml:space="preserve">Phase 01 Spike 2 (2026-05-30) benchmarked</w:t>
      </w:r>
      <w:r>
        <w:t xml:space="preserve"> </w:t>
      </w:r>
      <w:r>
        <w:rPr>
          <w:b/>
          <w:bCs/>
        </w:rPr>
        <w:t xml:space="preserve">PDFtoImage</w:t>
      </w:r>
      <w:r>
        <w:t xml:space="preserve"> </w:t>
      </w:r>
      <w:r>
        <w:t xml:space="preserve">(sungaila; wraps the bblanchon PDFium build) against</w:t>
      </w:r>
      <w:r>
        <w:t xml:space="preserve"> </w:t>
      </w:r>
      <w:r>
        <w:rPr>
          <w:b/>
          <w:bCs/>
        </w:rPr>
        <w:t xml:space="preserve">Docnet.Core</w:t>
      </w:r>
      <w:r>
        <w:t xml:space="preserve"> </w:t>
      </w:r>
      <w:r>
        <w:t xml:space="preserve">on three synthetic fixtures, 2 warm-up plus 10 timed iterations per page (dev-box trend, not gated to W-REF-01):</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Fixture</w:t>
            </w:r>
          </w:p>
        </w:tc>
        <w:tc>
          <w:tcPr>
            <w:shd w:fill="132338"/>
          </w:tcPr>
          <w:p>
            <w:pPr>
              <w:pStyle w:val="Compact"/>
            </w:pPr>
            <w:r>
              <w:rPr>
                <w:rFonts w:ascii="Public Sans" w:hAnsi="Public Sans" w:eastAsia="Public Sans"/>
                <w:b/>
                <w:color w:val="FFFFFF"/>
                <w:sz w:val="17"/>
              </w:rPr>
              <w:t xml:space="preserve">PDFtoImage P95</w:t>
            </w:r>
          </w:p>
        </w:tc>
        <w:tc>
          <w:tcPr>
            <w:shd w:fill="132338"/>
          </w:tcPr>
          <w:p>
            <w:pPr>
              <w:pStyle w:val="Compact"/>
            </w:pPr>
            <w:r>
              <w:rPr>
                <w:rFonts w:ascii="Public Sans" w:hAnsi="Public Sans" w:eastAsia="Public Sans"/>
                <w:b/>
                <w:color w:val="FFFFFF"/>
                <w:sz w:val="17"/>
              </w:rPr>
              <w:t xml:space="preserve">Docnet P95</w:t>
            </w:r>
          </w:p>
        </w:tc>
      </w:tr>
      <w:tr>
        <w:trPr>
          <w:cantSplit/>
        </w:trPr>
        <w:tc>
          <w:tcPr/>
          <w:p>
            <w:pPr>
              <w:pStyle w:val="Compact"/>
            </w:pPr>
            <w:r>
              <w:t xml:space="preserve">gc-simple-text (5 pp)</w:t>
            </w:r>
          </w:p>
        </w:tc>
        <w:tc>
          <w:tcPr/>
          <w:p>
            <w:pPr>
              <w:pStyle w:val="Compact"/>
            </w:pPr>
            <w:r>
              <w:t xml:space="preserve">124.1 ms</w:t>
            </w:r>
          </w:p>
        </w:tc>
        <w:tc>
          <w:tcPr/>
          <w:p>
            <w:pPr>
              <w:pStyle w:val="Compact"/>
            </w:pPr>
            <w:r>
              <w:t xml:space="preserve">215.4 ms</w:t>
            </w:r>
          </w:p>
        </w:tc>
      </w:tr>
      <w:tr>
        <w:trPr>
          <w:cantSplit/>
        </w:trPr>
        <w:tc>
          <w:tcPr/>
          <w:p>
            <w:pPr>
              <w:pStyle w:val="Compact"/>
            </w:pPr>
            <w:r>
              <w:t xml:space="preserve">gc-large (285 pp)</w:t>
            </w:r>
          </w:p>
        </w:tc>
        <w:tc>
          <w:tcPr/>
          <w:p>
            <w:pPr>
              <w:pStyle w:val="Compact"/>
            </w:pPr>
            <w:r>
              <w:t xml:space="preserve">156.9 ms</w:t>
            </w:r>
          </w:p>
        </w:tc>
        <w:tc>
          <w:tcPr/>
          <w:p>
            <w:pPr>
              <w:pStyle w:val="Compact"/>
            </w:pPr>
            <w:r>
              <w:t xml:space="preserve">174.8 ms</w:t>
            </w:r>
          </w:p>
        </w:tc>
      </w:tr>
      <w:tr>
        <w:trPr>
          <w:cantSplit/>
        </w:trPr>
        <w:tc>
          <w:tcPr/>
          <w:p>
            <w:pPr>
              <w:pStyle w:val="Compact"/>
            </w:pPr>
            <w:r>
              <w:t xml:space="preserve">gc-two-column (13 pp)</w:t>
            </w:r>
          </w:p>
        </w:tc>
        <w:tc>
          <w:tcPr/>
          <w:p>
            <w:pPr>
              <w:pStyle w:val="Compact"/>
            </w:pPr>
            <w:r>
              <w:t xml:space="preserve">139.1 ms</w:t>
            </w:r>
          </w:p>
        </w:tc>
        <w:tc>
          <w:tcPr/>
          <w:p>
            <w:pPr>
              <w:pStyle w:val="Compact"/>
            </w:pPr>
            <w:r>
              <w:t xml:space="preserve">257.2 ms</w:t>
            </w:r>
          </w:p>
        </w:tc>
      </w:tr>
    </w:tbl>
    <w:p>
      <w:pPr>
        <w:pStyle w:val="BodyText"/>
      </w:pPr>
      <w:r>
        <w:t xml:space="preserve">PDFtoImage won on all three fixtures, returns</w:t>
      </w:r>
      <w:r>
        <w:t xml:space="preserve"> </w:t>
      </w:r>
      <w:r>
        <w:rPr>
          <w:rStyle w:val="VerbatimChar"/>
        </w:rPr>
        <w:t xml:space="preserve">SKBitmap</w:t>
      </w:r>
      <w:r>
        <w:t xml:space="preserve"> </w:t>
      </w:r>
      <w:r>
        <w:t xml:space="preserve">directly (SkiaSharp is already a dependency), and is actively maintained. Licensing (PDFtoImage MIT; PDFium BSD 3-Clause) permits MSIX and notarized DMG redistribution.</w:t>
      </w:r>
    </w:p>
    <w:bookmarkEnd w:id="53"/>
    <w:bookmarkStart w:id="54" w:name="evidence-of-implementation-3"/>
    <w:p>
      <w:pPr>
        <w:pStyle w:val="Heading2"/>
      </w:pPr>
      <w:r>
        <w:rPr>
          <w:rStyle w:val="SectionNumber"/>
          <w:rFonts w:ascii="Spectral" w:hAnsi="Spectral" w:eastAsia="Spectral"/>
          <w:color w:val="132338"/>
        </w:rPr>
        <w:t xml:space="preserve">5.6</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30"/>
        </w:numPr>
      </w:pPr>
      <w:r>
        <w:rPr>
          <w:rStyle w:val="VerbatimChar"/>
        </w:rPr>
        <w:t xml:space="preserve">PdfiumAdapter</w:t>
      </w:r>
      <w:r>
        <w:t xml:space="preserve">/</w:t>
      </w:r>
      <w:r>
        <w:rPr>
          <w:rStyle w:val="VerbatimChar"/>
        </w:rPr>
        <w:t xml:space="preserve">PdfiumAdapterFactory</w:t>
      </w:r>
      <w:r>
        <w:t xml:space="preserve"> </w:t>
      </w:r>
      <w:r>
        <w:t xml:space="preserve">in</w:t>
      </w:r>
      <w:r>
        <w:t xml:space="preserve"> </w:t>
      </w:r>
      <w:r>
        <w:rPr>
          <w:rStyle w:val="VerbatimChar"/>
        </w:rPr>
        <w:t xml:space="preserve">src/OgmaLibrary.Infrastructure/Pdf</w:t>
      </w:r>
      <w:r>
        <w:t xml:space="preserve"> </w:t>
      </w:r>
      <w:r>
        <w:t xml:space="preserve">implement the renderer contract over PDFtoImage 5.2.1 with SkiaSharp; text extraction uses PdfPig; metadata write-back uses PDFsharp (ADR-0008).</w:t>
      </w:r>
    </w:p>
    <w:p>
      <w:pPr>
        <w:pStyle w:val="Compact"/>
        <w:numPr>
          <w:ilvl w:val="0"/>
          <w:numId w:val="1030"/>
        </w:numPr>
      </w:pPr>
      <w:r>
        <w:t xml:space="preserve">Password-protected documents open through</w:t>
      </w:r>
      <w:r>
        <w:t xml:space="preserve"> </w:t>
      </w:r>
      <w:r>
        <w:rPr>
          <w:rStyle w:val="VerbatimChar"/>
        </w:rPr>
        <w:t xml:space="preserve">IPasswordProvider</w:t>
      </w:r>
      <w:r>
        <w:t xml:space="preserve"> </w:t>
      </w:r>
      <w:r>
        <w:t xml:space="preserve">(</w:t>
      </w:r>
      <w:r>
        <w:rPr>
          <w:rStyle w:val="VerbatimChar"/>
        </w:rPr>
        <w:t xml:space="preserve">WindowsPasswordProvider</w:t>
      </w:r>
      <w:r>
        <w:t xml:space="preserve"> </w:t>
      </w:r>
      <w:r>
        <w:t xml:space="preserve">via DPAPI credential storage,</w:t>
      </w:r>
      <w:r>
        <w:t xml:space="preserve"> </w:t>
      </w:r>
      <w:r>
        <w:rPr>
          <w:rStyle w:val="VerbatimChar"/>
        </w:rPr>
        <w:t xml:space="preserve">MacOsKeychainPasswordProvider</w:t>
      </w:r>
      <w:r>
        <w:t xml:space="preserve">), bound in</w:t>
      </w:r>
      <w:r>
        <w:t xml:space="preserve"> </w:t>
      </w:r>
      <w:r>
        <w:rPr>
          <w:rStyle w:val="VerbatimChar"/>
        </w:rPr>
        <w:t xml:space="preserve">CompositionRoot</w:t>
      </w:r>
      <w:r>
        <w:t xml:space="preserve">.</w:t>
      </w:r>
    </w:p>
    <w:p>
      <w:pPr>
        <w:pStyle w:val="Compact"/>
        <w:numPr>
          <w:ilvl w:val="0"/>
          <w:numId w:val="1030"/>
        </w:numPr>
      </w:pPr>
      <w:r>
        <w:t xml:space="preserve">Rendering and OCR run inside the</w:t>
      </w:r>
      <w:r>
        <w:t xml:space="preserve"> </w:t>
      </w:r>
      <w:r>
        <w:rPr>
          <w:rStyle w:val="VerbatimChar"/>
        </w:rPr>
        <w:t xml:space="preserve">OgmaLibrary.Workers</w:t>
      </w:r>
      <w:r>
        <w:t xml:space="preserve"> </w:t>
      </w:r>
      <w:r>
        <w:t xml:space="preserve">boundary with per-file failure isolation; the golden-corpus harness (</w:t>
      </w:r>
      <w:r>
        <w:rPr>
          <w:rStyle w:val="VerbatimChar"/>
        </w:rPr>
        <w:t xml:space="preserve">SyntheticCorpusGenerator</w:t>
      </w:r>
      <w:r>
        <w:t xml:space="preserve">,</w:t>
      </w:r>
      <w:r>
        <w:t xml:space="preserve"> </w:t>
      </w:r>
      <w:r>
        <w:rPr>
          <w:rStyle w:val="VerbatimChar"/>
        </w:rPr>
        <w:t xml:space="preserve">ManifestVerifier</w:t>
      </w:r>
      <w:r>
        <w:t xml:space="preserve">) exercises malformed, password-protected, and oversized inputs.</w:t>
      </w:r>
    </w:p>
    <w:p>
      <w:pPr>
        <w:pStyle w:val="Compact"/>
        <w:numPr>
          <w:ilvl w:val="0"/>
          <w:numId w:val="1030"/>
        </w:numPr>
      </w:pPr>
      <w:r>
        <w:t xml:space="preserve">Residual (design-to-be): process-level sandbox hardening of the PDF workers is Phase 19 scope; today isolation is project-boundary plus resource bounds, not a separate OS process.</w:t>
      </w:r>
    </w:p>
    <w:bookmarkEnd w:id="54"/>
    <w:bookmarkStart w:id="55" w:name="consequences-3"/>
    <w:p>
      <w:pPr>
        <w:pStyle w:val="Heading2"/>
      </w:pPr>
      <w:r>
        <w:rPr>
          <w:rStyle w:val="SectionNumber"/>
          <w:rFonts w:ascii="Spectral" w:hAnsi="Spectral" w:eastAsia="Spectral"/>
          <w:color w:val="132338"/>
        </w:rPr>
        <w:t xml:space="preserve">5.7</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31"/>
        </w:numPr>
      </w:pPr>
      <w:r>
        <w:t xml:space="preserve">Positive: a proven rendering engine backs the reader, thumbnails, search, and content-aware AI; the adapter boundary makes the wrapper a replaceable detail.</w:t>
      </w:r>
    </w:p>
    <w:p>
      <w:pPr>
        <w:pStyle w:val="Compact"/>
        <w:numPr>
          <w:ilvl w:val="0"/>
          <w:numId w:val="1031"/>
        </w:numPr>
      </w:pPr>
      <w:r>
        <w:t xml:space="preserve">Negative: native PDFium interop must be built and signed per platform, adding to the Phase 22 packaging pipeline (ADR-0009); macOS arm64 runtime confirmation is tracked (</w:t>
      </w:r>
      <w:r>
        <w:rPr>
          <w:rStyle w:val="VerbatimChar"/>
        </w:rPr>
        <w:t xml:space="preserve">TRACK-P01-MACOS-NATIVE</w:t>
      </w:r>
      <w:r>
        <w:t xml:space="preserve">).</w:t>
      </w:r>
    </w:p>
    <w:p>
      <w:pPr>
        <w:pStyle w:val="Compact"/>
        <w:numPr>
          <w:ilvl w:val="0"/>
          <w:numId w:val="1031"/>
        </w:numPr>
      </w:pPr>
      <w:r>
        <w:t xml:space="preserve">Affects: ADR-0006 (text extraction feeds FTS5 and embeddings); ADR-0008 (write path); ADR-0009 (per-platform signing).</w:t>
      </w:r>
    </w:p>
    <w:bookmarkEnd w:id="55"/>
    <w:bookmarkEnd w:id="56"/>
    <w:bookmarkStart w:id="66" w:name="X8b675e236ffcb15c63d4a16682442996c3fdbee"/>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ADR-0005: Use a SQLite Catalogue of Record with a Sidecar Asset Folder</w:t>
      </w:r>
    </w:p>
    <w:p>
      <w:pPr>
        <w:pStyle w:val="Compact"/>
        <w:numPr>
          <w:ilvl w:val="0"/>
          <w:numId w:val="1032"/>
        </w:numPr>
      </w:pPr>
      <w:r>
        <w:t xml:space="preserve">ID:</w:t>
      </w:r>
      <w:r>
        <w:t xml:space="preserve"> </w:t>
      </w:r>
      <w:r>
        <w:rPr>
          <w:b/>
          <w:bCs/>
        </w:rPr>
        <w:t xml:space="preserve">ADR-0005</w:t>
      </w:r>
    </w:p>
    <w:p>
      <w:pPr>
        <w:pStyle w:val="Compact"/>
        <w:numPr>
          <w:ilvl w:val="0"/>
          <w:numId w:val="1032"/>
        </w:numPr>
      </w:pPr>
      <w:r>
        <w:t xml:space="preserve">Status: Accepted — ratified in implementation; formal owner counter-signature pending baseline v2.0 sign-off</w:t>
      </w:r>
    </w:p>
    <w:p>
      <w:pPr>
        <w:pStyle w:val="Compact"/>
        <w:numPr>
          <w:ilvl w:val="0"/>
          <w:numId w:val="1032"/>
        </w:numPr>
      </w:pPr>
      <w:r>
        <w:t xml:space="preserve">Date: 2026-05-30</w:t>
      </w:r>
    </w:p>
    <w:p>
      <w:pPr>
        <w:pStyle w:val="Compact"/>
        <w:numPr>
          <w:ilvl w:val="0"/>
          <w:numId w:val="1032"/>
        </w:numPr>
      </w:pPr>
      <w:r>
        <w:t xml:space="preserve">Deciders: Product owner (Chwezi Core Systems), Engineering lead</w:t>
      </w:r>
    </w:p>
    <w:bookmarkStart w:id="57" w:name="context-4"/>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is local-first: the catalogue, reading state, annotations, thumbnails, and indexes live on the user's machine. The product principle holds that</w:t>
      </w:r>
      <w:r>
        <w:t xml:space="preserve"> </w:t>
      </w:r>
      <w:r>
        <w:rPr>
          <w:i/>
          <w:iCs/>
        </w:rPr>
        <w:t xml:space="preserve">files remain the user's files</w:t>
      </w:r>
      <w:r>
        <w:t xml:space="preserve"> </w:t>
      </w:r>
      <w:r>
        <w:t xml:space="preserve">and the database augments the folder rather than replacing it, so the storage design must keep source PDFs in place and never lock content into a proprietary container. The catalogue must hold structured metadata (titles, tags, reading progress, annotations, AI history), support full-text search (ADR-0006), and support a portable export bundle (NFR-PROD-009). Derived assets — thumbnails, covers, extracted-text caches, embedding stores — are larger, regenerable, and do not belong in the same store as the catalogue of record. The choice was whether to store these derived assets as blobs inside the database or as files in a sidecar folder beside it.</w:t>
      </w:r>
    </w:p>
    <w:bookmarkEnd w:id="57"/>
    <w:bookmarkStart w:id="58" w:name="decision-drivers-4"/>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33"/>
        </w:numPr>
      </w:pPr>
      <w:r>
        <w:t xml:space="preserve">Source PDFs stay in the user's folder, untouched and unlocked.</w:t>
      </w:r>
    </w:p>
    <w:p>
      <w:pPr>
        <w:pStyle w:val="Compact"/>
        <w:numPr>
          <w:ilvl w:val="0"/>
          <w:numId w:val="1033"/>
        </w:numPr>
      </w:pPr>
      <w:r>
        <w:t xml:space="preserve">A single, queryable, transactional catalogue of record for structured metadata.</w:t>
      </w:r>
    </w:p>
    <w:p>
      <w:pPr>
        <w:pStyle w:val="Compact"/>
        <w:numPr>
          <w:ilvl w:val="0"/>
          <w:numId w:val="1033"/>
        </w:numPr>
      </w:pPr>
      <w:r>
        <w:t xml:space="preserve">Efficient full-text search without bloating the catalogue file.</w:t>
      </w:r>
    </w:p>
    <w:p>
      <w:pPr>
        <w:pStyle w:val="Compact"/>
        <w:numPr>
          <w:ilvl w:val="0"/>
          <w:numId w:val="1033"/>
        </w:numPr>
      </w:pPr>
      <w:r>
        <w:t xml:space="preserve">Cheap regeneration and storage of large derived assets.</w:t>
      </w:r>
    </w:p>
    <w:p>
      <w:pPr>
        <w:pStyle w:val="Compact"/>
        <w:numPr>
          <w:ilvl w:val="0"/>
          <w:numId w:val="1033"/>
        </w:numPr>
      </w:pPr>
      <w:r>
        <w:t xml:space="preserve">A portable export bundle that moves the library to another machine without loss.</w:t>
      </w:r>
    </w:p>
    <w:bookmarkEnd w:id="58"/>
    <w:bookmarkStart w:id="62" w:name="considered-options-4"/>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Considered Options</w:t>
      </w:r>
    </w:p>
    <w:bookmarkStart w:id="59" w:name="X41525551d7e4f0cb05c4c82ef29888d0b284426"/>
    <w:p>
      <w:pPr>
        <w:pStyle w:val="Heading3"/>
      </w:pPr>
      <w:r>
        <w:rPr>
          <w:rStyle w:val="SectionNumber"/>
          <w:rFonts w:ascii="Spectral" w:hAnsi="Spectral" w:eastAsia="Spectral"/>
          <w:color w:val="132338"/>
        </w:rPr>
        <w:t xml:space="preserve">6.3.1</w:t>
      </w:r>
      <w:r>
        <w:rPr>
          <w:rFonts w:ascii="Spectral" w:hAnsi="Spectral" w:eastAsia="Spectral"/>
          <w:color w:val="132338"/>
        </w:rPr>
        <w:tab/>
      </w:r>
      <w:r>
        <w:rPr>
          <w:rFonts w:ascii="Spectral" w:hAnsi="Spectral" w:eastAsia="Spectral"/>
          <w:color w:val="132338"/>
        </w:rPr>
        <w:t xml:space="preserve">Option A — SQLite catalogue of record plus a sidecar asset folder</w:t>
      </w:r>
    </w:p>
    <w:p>
      <w:pPr>
        <w:pStyle w:val="Compact"/>
        <w:numPr>
          <w:ilvl w:val="0"/>
          <w:numId w:val="1034"/>
        </w:numPr>
      </w:pPr>
      <w:r>
        <w:t xml:space="preserve">Pros: SQLite is an embedded, transactional, single-file store ideal for local-first; structured metadata stays compact and fast; large derived assets live as regenerable files; FTS5 external-content indexes text without duplicating it; catalogue plus sidecar form a clean portable bundle.</w:t>
      </w:r>
    </w:p>
    <w:p>
      <w:pPr>
        <w:pStyle w:val="Compact"/>
        <w:numPr>
          <w:ilvl w:val="0"/>
          <w:numId w:val="1034"/>
        </w:numPr>
      </w:pPr>
      <w:r>
        <w:t xml:space="preserve">Cons: two coordinated locations must be kept consistent and exported together; orphaned assets must be garbage-collected.</w:t>
      </w:r>
    </w:p>
    <w:bookmarkEnd w:id="59"/>
    <w:bookmarkStart w:id="60" w:name="Xa8f2ba50cdde441c5d2724955cb2bac5c9b4ee9"/>
    <w:p>
      <w:pPr>
        <w:pStyle w:val="Heading3"/>
      </w:pPr>
      <w:r>
        <w:rPr>
          <w:rStyle w:val="SectionNumber"/>
          <w:rFonts w:ascii="Spectral" w:hAnsi="Spectral" w:eastAsia="Spectral"/>
          <w:color w:val="132338"/>
        </w:rPr>
        <w:t xml:space="preserve">6.3.2</w:t>
      </w:r>
      <w:r>
        <w:rPr>
          <w:rFonts w:ascii="Spectral" w:hAnsi="Spectral" w:eastAsia="Spectral"/>
          <w:color w:val="132338"/>
        </w:rPr>
        <w:tab/>
      </w:r>
      <w:r>
        <w:rPr>
          <w:rFonts w:ascii="Spectral" w:hAnsi="Spectral" w:eastAsia="Spectral"/>
          <w:color w:val="132338"/>
        </w:rPr>
        <w:t xml:space="preserve">Option B — SQLite with all assets stored as BLOBs</w:t>
      </w:r>
    </w:p>
    <w:p>
      <w:pPr>
        <w:pStyle w:val="Compact"/>
        <w:numPr>
          <w:ilvl w:val="0"/>
          <w:numId w:val="1035"/>
        </w:numPr>
      </w:pPr>
      <w:r>
        <w:t xml:space="preserve">Pros: one file holds everything; simplest to copy.</w:t>
      </w:r>
    </w:p>
    <w:p>
      <w:pPr>
        <w:pStyle w:val="Compact"/>
        <w:numPr>
          <w:ilvl w:val="0"/>
          <w:numId w:val="1035"/>
        </w:numPr>
      </w:pPr>
      <w:r>
        <w:t xml:space="preserve">Cons: thumbnails, caches, and embeddings bloat the catalogue file and slow backups and queries; write amplification grows with asset volume; the single file becomes large and fragile.</w:t>
      </w:r>
    </w:p>
    <w:bookmarkEnd w:id="60"/>
    <w:bookmarkStart w:id="61" w:name="X6912e342fda1b4abaa3783bba7dff73c0c50adf"/>
    <w:p>
      <w:pPr>
        <w:pStyle w:val="Heading3"/>
      </w:pPr>
      <w:r>
        <w:rPr>
          <w:rStyle w:val="SectionNumber"/>
          <w:rFonts w:ascii="Spectral" w:hAnsi="Spectral" w:eastAsia="Spectral"/>
          <w:color w:val="132338"/>
        </w:rPr>
        <w:t xml:space="preserve">6.3.3</w:t>
      </w:r>
      <w:r>
        <w:rPr>
          <w:rFonts w:ascii="Spectral" w:hAnsi="Spectral" w:eastAsia="Spectral"/>
          <w:color w:val="132338"/>
        </w:rPr>
        <w:tab/>
      </w:r>
      <w:r>
        <w:rPr>
          <w:rFonts w:ascii="Spectral" w:hAnsi="Spectral" w:eastAsia="Spectral"/>
          <w:color w:val="132338"/>
        </w:rPr>
        <w:t xml:space="preserve">Option C — A document or embedded NoSQL store</w:t>
      </w:r>
    </w:p>
    <w:p>
      <w:pPr>
        <w:pStyle w:val="Compact"/>
        <w:numPr>
          <w:ilvl w:val="0"/>
          <w:numId w:val="1036"/>
        </w:numPr>
      </w:pPr>
      <w:r>
        <w:t xml:space="preserve">Pros: schema flexibility.</w:t>
      </w:r>
    </w:p>
    <w:p>
      <w:pPr>
        <w:pStyle w:val="Compact"/>
        <w:numPr>
          <w:ilvl w:val="0"/>
          <w:numId w:val="1036"/>
        </w:numPr>
      </w:pPr>
      <w:r>
        <w:t xml:space="preserve">Cons: weaker relational querying; no mature embedded full-text equivalent to FTS5; heavier footprint; less portable.</w:t>
      </w:r>
    </w:p>
    <w:bookmarkEnd w:id="61"/>
    <w:bookmarkEnd w:id="62"/>
    <w:bookmarkStart w:id="63" w:name="decision-outcome-4"/>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SQLite as the catalogue of record, accessed through EF Core, paired with a sidecar asset folder holding regenerable derived assets. Full-text search uses an FTS5 external-content table (ADR-0006). The catalogue database plus the sidecar folder constitute the portable export bundle. Source PDFs are never moved into the database. This also resolves the thumbnail-storage open question from design-report Section 17: thumbnails use the sidecar folder.</w:t>
      </w:r>
    </w:p>
    <w:bookmarkEnd w:id="63"/>
    <w:bookmarkStart w:id="64" w:name="evidence-of-implementation-4"/>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37"/>
        </w:numPr>
      </w:pPr>
      <w:r>
        <w:rPr>
          <w:rStyle w:val="VerbatimChar"/>
        </w:rPr>
        <w:t xml:space="preserve">CatalogueDbContext</w:t>
      </w:r>
      <w:r>
        <w:t xml:space="preserve"> </w:t>
      </w:r>
      <w:r>
        <w:t xml:space="preserve">(EF Core 10.0.9, SQLite provider) in</w:t>
      </w:r>
      <w:r>
        <w:t xml:space="preserve"> </w:t>
      </w:r>
      <w:r>
        <w:rPr>
          <w:rStyle w:val="VerbatimChar"/>
        </w:rPr>
        <w:t xml:space="preserve">src/OgmaLibrary.Infrastructure/Catalogue</w:t>
      </w:r>
      <w:r>
        <w:t xml:space="preserve">, with 11 migrations from</w:t>
      </w:r>
      <w:r>
        <w:t xml:space="preserve"> </w:t>
      </w:r>
      <w:r>
        <w:rPr>
          <w:rStyle w:val="VerbatimChar"/>
        </w:rPr>
        <w:t xml:space="preserve">InitialCatalogue</w:t>
      </w:r>
      <w:r>
        <w:t xml:space="preserve"> </w:t>
      </w:r>
      <w:r>
        <w:t xml:space="preserve">(20 tables including</w:t>
      </w:r>
      <w:r>
        <w:t xml:space="preserve"> </w:t>
      </w:r>
      <w:r>
        <w:rPr>
          <w:rStyle w:val="VerbatimChar"/>
        </w:rPr>
        <w:t xml:space="preserve">Books</w:t>
      </w:r>
      <w:r>
        <w:t xml:space="preserve">,</w:t>
      </w:r>
      <w:r>
        <w:t xml:space="preserve"> </w:t>
      </w:r>
      <w:r>
        <w:rPr>
          <w:rStyle w:val="VerbatimChar"/>
        </w:rPr>
        <w:t xml:space="preserve">BookFiles</w:t>
      </w:r>
      <w:r>
        <w:t xml:space="preserve">,</w:t>
      </w:r>
      <w:r>
        <w:t xml:space="preserve"> </w:t>
      </w:r>
      <w:r>
        <w:rPr>
          <w:rStyle w:val="VerbatimChar"/>
        </w:rPr>
        <w:t xml:space="preserve">Works</w:t>
      </w:r>
      <w:r>
        <w:t xml:space="preserve">,</w:t>
      </w:r>
      <w:r>
        <w:t xml:space="preserve"> </w:t>
      </w:r>
      <w:r>
        <w:rPr>
          <w:rStyle w:val="VerbatimChar"/>
        </w:rPr>
        <w:t xml:space="preserve">Editions</w:t>
      </w:r>
      <w:r>
        <w:t xml:space="preserve">,</w:t>
      </w:r>
      <w:r>
        <w:t xml:space="preserve"> </w:t>
      </w:r>
      <w:r>
        <w:rPr>
          <w:rStyle w:val="VerbatimChar"/>
        </w:rPr>
        <w:t xml:space="preserve">Shelves</w:t>
      </w:r>
      <w:r>
        <w:t xml:space="preserve">,</w:t>
      </w:r>
      <w:r>
        <w:t xml:space="preserve"> </w:t>
      </w:r>
      <w:r>
        <w:rPr>
          <w:rStyle w:val="VerbatimChar"/>
        </w:rPr>
        <w:t xml:space="preserve">Annotations</w:t>
      </w:r>
      <w:r>
        <w:t xml:space="preserve">,</w:t>
      </w:r>
      <w:r>
        <w:t xml:space="preserve"> </w:t>
      </w:r>
      <w:r>
        <w:rPr>
          <w:rStyle w:val="VerbatimChar"/>
        </w:rPr>
        <w:t xml:space="preserve">AiQueryHistory</w:t>
      </w:r>
      <w:r>
        <w:t xml:space="preserve">,</w:t>
      </w:r>
      <w:r>
        <w:t xml:space="preserve"> </w:t>
      </w:r>
      <w:r>
        <w:rPr>
          <w:rStyle w:val="VerbatimChar"/>
        </w:rPr>
        <w:t xml:space="preserve">AuditEvents</w:t>
      </w:r>
      <w:r>
        <w:t xml:space="preserve">,</w:t>
      </w:r>
      <w:r>
        <w:t xml:space="preserve"> </w:t>
      </w:r>
      <w:r>
        <w:rPr>
          <w:rStyle w:val="VerbatimChar"/>
        </w:rPr>
        <w:t xml:space="preserve">Jobs</w:t>
      </w:r>
      <w:r>
        <w:t xml:space="preserve">) through</w:t>
      </w:r>
      <w:r>
        <w:t xml:space="preserve"> </w:t>
      </w:r>
      <w:r>
        <w:rPr>
          <w:rStyle w:val="VerbatimChar"/>
        </w:rPr>
        <w:t xml:space="preserve">Phase18SchoolAdminTables</w:t>
      </w:r>
      <w:r>
        <w:t xml:space="preserve">;</w:t>
      </w:r>
      <w:r>
        <w:t xml:space="preserve"> </w:t>
      </w:r>
      <w:r>
        <w:rPr>
          <w:rStyle w:val="VerbatimChar"/>
        </w:rPr>
        <w:t xml:space="preserve">CatalogueMigrator</w:t>
      </w:r>
      <w:r>
        <w:t xml:space="preserve"> </w:t>
      </w:r>
      <w:r>
        <w:t xml:space="preserve">applies migrations at startup.</w:t>
      </w:r>
    </w:p>
    <w:p>
      <w:pPr>
        <w:pStyle w:val="Compact"/>
        <w:numPr>
          <w:ilvl w:val="0"/>
          <w:numId w:val="1037"/>
        </w:numPr>
      </w:pPr>
      <w:r>
        <w:rPr>
          <w:rStyle w:val="VerbatimChar"/>
        </w:rPr>
        <w:t xml:space="preserve">SidecarService</w:t>
      </w:r>
      <w:r>
        <w:t xml:space="preserve"> </w:t>
      </w:r>
      <w:r>
        <w:t xml:space="preserve">(</w:t>
      </w:r>
      <w:r>
        <w:rPr>
          <w:rStyle w:val="VerbatimChar"/>
        </w:rPr>
        <w:t xml:space="preserve">src/OgmaLibrary.Infrastructure/Sidecar</w:t>
      </w:r>
      <w:r>
        <w:t xml:space="preserve">) resolves 9 asset classes — covers (JPEG), thumbnails (JPEG), spines (JPEG), ocr (hOCR), text (gzip JSON), embeddings (binary), backups (PDF), export (ZIP), citations (text) — keyed by content hash with an optional variant suffix, closing the sidecar-naming context gap carried from the v1.0 HLD.</w:t>
      </w:r>
    </w:p>
    <w:p>
      <w:pPr>
        <w:pStyle w:val="Compact"/>
        <w:numPr>
          <w:ilvl w:val="0"/>
          <w:numId w:val="1037"/>
        </w:numPr>
      </w:pPr>
      <w:r>
        <w:t xml:space="preserve">Residual (design-to-be): optional at-rest encryption of the catalogue and backups is Phase 19 scope; asset garbage collection for orphaned sidecar files is tracked into Phase 19 hardening.</w:t>
      </w:r>
    </w:p>
    <w:bookmarkEnd w:id="64"/>
    <w:bookmarkStart w:id="65" w:name="consequences-4"/>
    <w:p>
      <w:pPr>
        <w:pStyle w:val="Heading2"/>
      </w:pPr>
      <w:r>
        <w:rPr>
          <w:rStyle w:val="SectionNumber"/>
          <w:rFonts w:ascii="Spectral" w:hAnsi="Spectral" w:eastAsia="Spectral"/>
          <w:color w:val="132338"/>
        </w:rPr>
        <w:t xml:space="preserve">6.6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38"/>
        </w:numPr>
      </w:pPr>
      <w:r>
        <w:t xml:space="preserve">Positive: the structured catalogue stays compact while large derived assets stay regenerable and out of the catalogue file; the catalogue-plus-sidecar pair is a documented portable bundle (NFR-PROD-009).</w:t>
      </w:r>
    </w:p>
    <w:p>
      <w:pPr>
        <w:pStyle w:val="Compact"/>
        <w:numPr>
          <w:ilvl w:val="0"/>
          <w:numId w:val="1038"/>
        </w:numPr>
      </w:pPr>
      <w:r>
        <w:t xml:space="preserve">Negative: database and sidecar must be exported together, and an orphan-asset garbage-collection routine is still owed (Phase 19).</w:t>
      </w:r>
    </w:p>
    <w:p>
      <w:pPr>
        <w:pStyle w:val="Compact"/>
        <w:numPr>
          <w:ilvl w:val="0"/>
          <w:numId w:val="1038"/>
        </w:numPr>
      </w:pPr>
      <w:r>
        <w:t xml:space="preserve">Affects: ADR-0006 (FTS5 external-content index); ADR-0008 (annotations database-first); ADR-0012 (per-profile classroom databases live under the sidecar root); NFR-PROD-009.</w:t>
      </w:r>
    </w:p>
    <w:bookmarkEnd w:id="65"/>
    <w:bookmarkEnd w:id="66"/>
    <w:bookmarkStart w:id="76" w:name="X7f04e7d3c0568634cdcdcb80e1192017056e880"/>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ADR-0006: Build Search as Hybrid Metadata, FTS5, and Semantic Embeddings</w:t>
      </w:r>
    </w:p>
    <w:p>
      <w:pPr>
        <w:pStyle w:val="Compact"/>
        <w:numPr>
          <w:ilvl w:val="0"/>
          <w:numId w:val="1039"/>
        </w:numPr>
      </w:pPr>
      <w:r>
        <w:t xml:space="preserve">ID:</w:t>
      </w:r>
      <w:r>
        <w:t xml:space="preserve"> </w:t>
      </w:r>
      <w:r>
        <w:rPr>
          <w:b/>
          <w:bCs/>
        </w:rPr>
        <w:t xml:space="preserve">ADR-0006</w:t>
      </w:r>
    </w:p>
    <w:p>
      <w:pPr>
        <w:pStyle w:val="Compact"/>
        <w:numPr>
          <w:ilvl w:val="0"/>
          <w:numId w:val="1039"/>
        </w:numPr>
      </w:pPr>
      <w:r>
        <w:t xml:space="preserve">Status: Accepted — ratified in implementation; formal owner counter-signature pending baseline v2.0 sign-off</w:t>
      </w:r>
    </w:p>
    <w:p>
      <w:pPr>
        <w:pStyle w:val="Compact"/>
        <w:numPr>
          <w:ilvl w:val="0"/>
          <w:numId w:val="1039"/>
        </w:numPr>
      </w:pPr>
      <w:r>
        <w:t xml:space="preserve">Date: 2026-05-30</w:t>
      </w:r>
    </w:p>
    <w:p>
      <w:pPr>
        <w:pStyle w:val="Compact"/>
        <w:numPr>
          <w:ilvl w:val="0"/>
          <w:numId w:val="1039"/>
        </w:numPr>
      </w:pPr>
      <w:r>
        <w:t xml:space="preserve">Deciders: Product owner (Chwezi Core Systems), Engineering lead, AI engineer</w:t>
      </w:r>
    </w:p>
    <w:bookmarkStart w:id="67" w:name="context-5"/>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promises to make a collection</w:t>
      </w:r>
      <w:r>
        <w:t xml:space="preserve"> </w:t>
      </w:r>
      <w:r>
        <w:rPr>
          <w:i/>
          <w:iCs/>
        </w:rPr>
        <w:t xml:space="preserve">usable</w:t>
      </w:r>
      <w:r>
        <w:t xml:space="preserve"> </w:t>
      </w:r>
      <w:r>
        <w:t xml:space="preserve">through search and</w:t>
      </w:r>
      <w:r>
        <w:t xml:space="preserve"> </w:t>
      </w:r>
      <w:r>
        <w:rPr>
          <w:i/>
          <w:iCs/>
        </w:rPr>
        <w:t xml:space="preserve">intelligent</w:t>
      </w:r>
      <w:r>
        <w:t xml:space="preserve"> </w:t>
      </w:r>
      <w:r>
        <w:t xml:space="preserve">through an AI advisor that recommends books from the user's own corpus with explanations and confidence. Three retrieval needs coexist: exact structured lookup over metadata (title, author, tag, year), full-text keyword search over extracted document text, and semantic similarity for recommendation and concept search where query words do not match document words. No single index serves all three well. The catalogue is SQLite with a sidecar folder (ADR-0005). Semantic similarity needs a vector store; at personal-library scale a brute-force cosine scan over stored embeddings is correct and simple, while a dedicated vector index is a later optimisation to be proven by a spike rather than adopted on faith.</w:t>
      </w:r>
    </w:p>
    <w:bookmarkEnd w:id="67"/>
    <w:bookmarkStart w:id="68" w:name="decision-drivers-5"/>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40"/>
        </w:numPr>
      </w:pPr>
      <w:r>
        <w:t xml:space="preserve">Cover exact metadata lookup, full-text keyword search, and semantic similarity from one design.</w:t>
      </w:r>
    </w:p>
    <w:p>
      <w:pPr>
        <w:pStyle w:val="Compact"/>
        <w:numPr>
          <w:ilvl w:val="0"/>
          <w:numId w:val="1040"/>
        </w:numPr>
      </w:pPr>
      <w:r>
        <w:t xml:space="preserve">Keep the index out of the catalogue file using the external-content pattern (ADR-0005).</w:t>
      </w:r>
    </w:p>
    <w:p>
      <w:pPr>
        <w:pStyle w:val="Compact"/>
        <w:numPr>
          <w:ilvl w:val="0"/>
          <w:numId w:val="1040"/>
        </w:numPr>
      </w:pPr>
      <w:r>
        <w:t xml:space="preserve">Meet the P95 search budgets: metadata ≤ 150 ms (NFR-OGMA-003), full-text ≤ 500 ms warm (NFR-OGMA-004) on W-REF-01.</w:t>
      </w:r>
    </w:p>
    <w:p>
      <w:pPr>
        <w:pStyle w:val="Compact"/>
        <w:numPr>
          <w:ilvl w:val="0"/>
          <w:numId w:val="1040"/>
        </w:numPr>
      </w:pPr>
      <w:r>
        <w:t xml:space="preserve">Start with the simplest correct semantic approach; defer vector-index complexity until measured.</w:t>
      </w:r>
    </w:p>
    <w:p>
      <w:pPr>
        <w:pStyle w:val="Compact"/>
        <w:numPr>
          <w:ilvl w:val="0"/>
          <w:numId w:val="1040"/>
        </w:numPr>
      </w:pPr>
      <w:r>
        <w:t xml:space="preserve">Keep retrieval fully local so offline search and local AI remain useful.</w:t>
      </w:r>
    </w:p>
    <w:bookmarkEnd w:id="68"/>
    <w:bookmarkStart w:id="72" w:name="considered-options-5"/>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Considered Options</w:t>
      </w:r>
    </w:p>
    <w:bookmarkStart w:id="69" w:name="Xfc4fef3aeda24d2aeb4545dfe19a69f69a25baf"/>
    <w:p>
      <w:pPr>
        <w:pStyle w:val="Heading3"/>
      </w:pPr>
      <w:r>
        <w:rPr>
          <w:rStyle w:val="SectionNumber"/>
          <w:rFonts w:ascii="Spectral" w:hAnsi="Spectral" w:eastAsia="Spectral"/>
          <w:color w:val="132338"/>
        </w:rPr>
        <w:t xml:space="preserve">7.3.1</w:t>
      </w:r>
      <w:r>
        <w:rPr>
          <w:rFonts w:ascii="Spectral" w:hAnsi="Spectral" w:eastAsia="Spectral"/>
          <w:color w:val="132338"/>
        </w:rPr>
        <w:tab/>
      </w:r>
      <w:r>
        <w:rPr>
          <w:rFonts w:ascii="Spectral" w:hAnsi="Spectral" w:eastAsia="Spectral"/>
          <w:color w:val="132338"/>
        </w:rPr>
        <w:t xml:space="preserve">Option A — Hybrid: SQLite metadata queries plus FTS5 plus semantic embeddings</w:t>
      </w:r>
    </w:p>
    <w:p>
      <w:pPr>
        <w:pStyle w:val="Compact"/>
        <w:numPr>
          <w:ilvl w:val="0"/>
          <w:numId w:val="1041"/>
        </w:numPr>
      </w:pPr>
      <w:r>
        <w:t xml:space="preserve">Pros: each retrieval need is served by the index suited to it; FTS5 external-content keeps the keyword index lean; embeddings enable concept search and explainable recommendation; all three run locally and offline.</w:t>
      </w:r>
    </w:p>
    <w:p>
      <w:pPr>
        <w:pStyle w:val="Compact"/>
        <w:numPr>
          <w:ilvl w:val="0"/>
          <w:numId w:val="1041"/>
        </w:numPr>
      </w:pPr>
      <w:r>
        <w:t xml:space="preserve">Cons: three retrieval paths must be orchestrated and their results merged and ranked; embedding generation and storage add a pipeline.</w:t>
      </w:r>
    </w:p>
    <w:bookmarkEnd w:id="69"/>
    <w:bookmarkStart w:id="70" w:name="option-b--fts5-keyword-search-only"/>
    <w:p>
      <w:pPr>
        <w:pStyle w:val="Heading3"/>
      </w:pPr>
      <w:r>
        <w:rPr>
          <w:rStyle w:val="SectionNumber"/>
          <w:rFonts w:ascii="Spectral" w:hAnsi="Spectral" w:eastAsia="Spectral"/>
          <w:color w:val="132338"/>
        </w:rPr>
        <w:t xml:space="preserve">7.3.2</w:t>
      </w:r>
      <w:r>
        <w:rPr>
          <w:rFonts w:ascii="Spectral" w:hAnsi="Spectral" w:eastAsia="Spectral"/>
          <w:color w:val="132338"/>
        </w:rPr>
        <w:tab/>
      </w:r>
      <w:r>
        <w:rPr>
          <w:rFonts w:ascii="Spectral" w:hAnsi="Spectral" w:eastAsia="Spectral"/>
          <w:color w:val="132338"/>
        </w:rPr>
        <w:t xml:space="preserve">Option B — FTS5 keyword search only</w:t>
      </w:r>
    </w:p>
    <w:p>
      <w:pPr>
        <w:pStyle w:val="Compact"/>
        <w:numPr>
          <w:ilvl w:val="0"/>
          <w:numId w:val="1042"/>
        </w:numPr>
      </w:pPr>
      <w:r>
        <w:t xml:space="preserve">Pros: simplest; one index.</w:t>
      </w:r>
    </w:p>
    <w:p>
      <w:pPr>
        <w:pStyle w:val="Compact"/>
        <w:numPr>
          <w:ilvl w:val="0"/>
          <w:numId w:val="1042"/>
        </w:numPr>
      </w:pPr>
      <w:r>
        <w:t xml:space="preserve">Cons: no semantic similarity — the advisor cannot recommend by concept, and queries that share no words with the text fail.</w:t>
      </w:r>
    </w:p>
    <w:bookmarkEnd w:id="70"/>
    <w:bookmarkStart w:id="71" w:name="option-c--embedding-vector-search-only"/>
    <w:p>
      <w:pPr>
        <w:pStyle w:val="Heading3"/>
      </w:pPr>
      <w:r>
        <w:rPr>
          <w:rStyle w:val="SectionNumber"/>
          <w:rFonts w:ascii="Spectral" w:hAnsi="Spectral" w:eastAsia="Spectral"/>
          <w:color w:val="132338"/>
        </w:rPr>
        <w:t xml:space="preserve">7.3.3</w:t>
      </w:r>
      <w:r>
        <w:rPr>
          <w:rFonts w:ascii="Spectral" w:hAnsi="Spectral" w:eastAsia="Spectral"/>
          <w:color w:val="132338"/>
        </w:rPr>
        <w:tab/>
      </w:r>
      <w:r>
        <w:rPr>
          <w:rFonts w:ascii="Spectral" w:hAnsi="Spectral" w:eastAsia="Spectral"/>
          <w:color w:val="132338"/>
        </w:rPr>
        <w:t xml:space="preserve">Option C — Embedding vector search only</w:t>
      </w:r>
    </w:p>
    <w:p>
      <w:pPr>
        <w:pStyle w:val="Compact"/>
        <w:numPr>
          <w:ilvl w:val="0"/>
          <w:numId w:val="1043"/>
        </w:numPr>
      </w:pPr>
      <w:r>
        <w:t xml:space="preserve">Pros: strong semantic recall.</w:t>
      </w:r>
    </w:p>
    <w:p>
      <w:pPr>
        <w:pStyle w:val="Compact"/>
        <w:numPr>
          <w:ilvl w:val="0"/>
          <w:numId w:val="1043"/>
        </w:numPr>
      </w:pPr>
      <w:r>
        <w:t xml:space="preserve">Cons: poor at exact metadata and exact-phrase lookup; slower and over-engineered for simple keyword needs.</w:t>
      </w:r>
    </w:p>
    <w:bookmarkEnd w:id="71"/>
    <w:bookmarkEnd w:id="72"/>
    <w:bookmarkStart w:id="73" w:name="decision-outcome-5"/>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a hybrid search architecture combining structured SQLite metadata queries, an FTS5 external-content full-text index over extracted text, and semantic embeddings for similarity. For the semantic path, start with a brute-force cosine-similarity scan; a dedicated vector index (for example sqlite-vec) is spiked later and adopted only if measured corpus growth pushes brute-force cosine past the P95 budget, recorded as an amendment here.</w:t>
      </w:r>
    </w:p>
    <w:bookmarkEnd w:id="73"/>
    <w:bookmarkStart w:id="74" w:name="evidence-of-implementation-5"/>
    <w:p>
      <w:pPr>
        <w:pStyle w:val="Heading2"/>
      </w:pPr>
      <w:r>
        <w:rPr>
          <w:rStyle w:val="SectionNumber"/>
          <w:rFonts w:ascii="Spectral" w:hAnsi="Spectral" w:eastAsia="Spectral"/>
          <w:color w:val="132338"/>
        </w:rPr>
        <w:t xml:space="preserve">7.5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44"/>
        </w:numPr>
      </w:pPr>
      <w:r>
        <w:t xml:space="preserve">The</w:t>
      </w:r>
      <w:r>
        <w:t xml:space="preserve"> </w:t>
      </w:r>
      <w:r>
        <w:rPr>
          <w:rStyle w:val="VerbatimChar"/>
        </w:rPr>
        <w:t xml:space="preserve">Phase10SearchIndexSchema</w:t>
      </w:r>
      <w:r>
        <w:t xml:space="preserve"> </w:t>
      </w:r>
      <w:r>
        <w:t xml:space="preserve">migration creates the</w:t>
      </w:r>
      <w:r>
        <w:t xml:space="preserve"> </w:t>
      </w:r>
      <w:r>
        <w:rPr>
          <w:rStyle w:val="VerbatimChar"/>
        </w:rPr>
        <w:t xml:space="preserve">SearchFts5</w:t>
      </w:r>
      <w:r>
        <w:t xml:space="preserve"> </w:t>
      </w:r>
      <w:r>
        <w:t xml:space="preserve">virtual table (</w:t>
      </w:r>
      <w:r>
        <w:rPr>
          <w:rStyle w:val="VerbatimChar"/>
        </w:rPr>
        <w:t xml:space="preserve">content='SearchChunks'</w:t>
      </w:r>
      <w:r>
        <w:t xml:space="preserve">) with</w:t>
      </w:r>
      <w:r>
        <w:t xml:space="preserve"> </w:t>
      </w:r>
      <w:r>
        <w:rPr>
          <w:rStyle w:val="VerbatimChar"/>
        </w:rPr>
        <w:t xml:space="preserve">SearchChunks_Fts_Insert</w:t>
      </w:r>
      <w:r>
        <w:t xml:space="preserve">/</w:t>
      </w:r>
      <w:r>
        <w:rPr>
          <w:rStyle w:val="VerbatimChar"/>
        </w:rPr>
        <w:t xml:space="preserve">Update</w:t>
      </w:r>
      <w:r>
        <w:t xml:space="preserve">/</w:t>
      </w:r>
      <w:r>
        <w:rPr>
          <w:rStyle w:val="VerbatimChar"/>
        </w:rPr>
        <w:t xml:space="preserve">Delete</w:t>
      </w:r>
      <w:r>
        <w:t xml:space="preserve"> </w:t>
      </w:r>
      <w:r>
        <w:t xml:space="preserve">triggers maintaining external-content consistency;</w:t>
      </w:r>
      <w:r>
        <w:t xml:space="preserve"> </w:t>
      </w:r>
      <w:r>
        <w:rPr>
          <w:rStyle w:val="VerbatimChar"/>
        </w:rPr>
        <w:t xml:space="preserve">FtsIndexService.CheckIntegrityAsync</w:t>
      </w:r>
      <w:r>
        <w:t xml:space="preserve"> </w:t>
      </w:r>
      <w:r>
        <w:t xml:space="preserve">verifies index/content agreement and supports rebuild.</w:t>
      </w:r>
    </w:p>
    <w:p>
      <w:pPr>
        <w:pStyle w:val="Compact"/>
        <w:numPr>
          <w:ilvl w:val="0"/>
          <w:numId w:val="1044"/>
        </w:numPr>
      </w:pPr>
      <w:r>
        <w:rPr>
          <w:rStyle w:val="VerbatimChar"/>
        </w:rPr>
        <w:t xml:space="preserve">src/OgmaLibrary.Infrastructure/Search</w:t>
      </w:r>
      <w:r>
        <w:t xml:space="preserve"> </w:t>
      </w:r>
      <w:r>
        <w:t xml:space="preserve">implements the full pipeline:</w:t>
      </w:r>
      <w:r>
        <w:t xml:space="preserve"> </w:t>
      </w:r>
      <w:r>
        <w:rPr>
          <w:rStyle w:val="VerbatimChar"/>
        </w:rPr>
        <w:t xml:space="preserve">ExtractionPipelineService</w:t>
      </w:r>
      <w:r>
        <w:t xml:space="preserve">,</w:t>
      </w:r>
      <w:r>
        <w:t xml:space="preserve"> </w:t>
      </w:r>
      <w:r>
        <w:rPr>
          <w:rStyle w:val="VerbatimChar"/>
        </w:rPr>
        <w:t xml:space="preserve">MetadataSearchService</w:t>
      </w:r>
      <w:r>
        <w:t xml:space="preserve">,</w:t>
      </w:r>
      <w:r>
        <w:t xml:space="preserve">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CombinedSearchService</w:t>
      </w:r>
      <w:r>
        <w:t xml:space="preserve">,</w:t>
      </w:r>
      <w:r>
        <w:t xml:space="preserve"> </w:t>
      </w:r>
      <w:r>
        <w:rPr>
          <w:rStyle w:val="VerbatimChar"/>
        </w:rPr>
        <w:t xml:space="preserve">EmbeddingGenerationService</w:t>
      </w:r>
      <w:r>
        <w:t xml:space="preserve">,</w:t>
      </w:r>
      <w:r>
        <w:t xml:space="preserve"> </w:t>
      </w:r>
      <w:r>
        <w:rPr>
          <w:rStyle w:val="VerbatimChar"/>
        </w:rPr>
        <w:t xml:space="preserve">EmbeddingErasureService</w:t>
      </w:r>
      <w:r>
        <w:t xml:space="preserve">, and</w:t>
      </w:r>
      <w:r>
        <w:t xml:space="preserve"> </w:t>
      </w:r>
      <w:r>
        <w:rPr>
          <w:rStyle w:val="VerbatimChar"/>
        </w:rPr>
        <w:t xml:space="preserve">IndexManagerService</w:t>
      </w:r>
      <w:r>
        <w:t xml:space="preserve"> </w:t>
      </w:r>
      <w:r>
        <w:t xml:space="preserve">(progress, pending OCR, failures, index size — FR-SEARCH-006).</w:t>
      </w:r>
    </w:p>
    <w:p>
      <w:pPr>
        <w:pStyle w:val="Compact"/>
        <w:numPr>
          <w:ilvl w:val="0"/>
          <w:numId w:val="1044"/>
        </w:numPr>
      </w:pPr>
      <w:r>
        <w:rPr>
          <w:rStyle w:val="VerbatimChar"/>
        </w:rPr>
        <w:t xml:space="preserve">HybridRankingService</w:t>
      </w:r>
      <w:r>
        <w:t xml:space="preserve"> </w:t>
      </w:r>
      <w:r>
        <w:t xml:space="preserve">(</w:t>
      </w:r>
      <w:r>
        <w:rPr>
          <w:rStyle w:val="VerbatimChar"/>
        </w:rPr>
        <w:t xml:space="preserve">src/OgmaLibrary.Application/Search</w:t>
      </w:r>
      <w:r>
        <w:t xml:space="preserve">) blends 5 weighted signals — exact match, recency, reading status, rating, semantic similarity — with weight normalisation and defaults (FR-SEARCH-005);</w:t>
      </w:r>
      <w:r>
        <w:t xml:space="preserve"> </w:t>
      </w:r>
      <w:r>
        <w:rPr>
          <w:rStyle w:val="VerbatimChar"/>
        </w:rPr>
        <w:t xml:space="preserve">EmbeddingGenerationWorker</w:t>
      </w:r>
      <w:r>
        <w:t xml:space="preserve"> </w:t>
      </w:r>
      <w:r>
        <w:t xml:space="preserve">produces vectors in the background; the</w:t>
      </w:r>
      <w:r>
        <w:t xml:space="preserve"> </w:t>
      </w:r>
      <w:r>
        <w:rPr>
          <w:rStyle w:val="VerbatimChar"/>
        </w:rPr>
        <w:t xml:space="preserve">Phase11EmbeddingSchema</w:t>
      </w:r>
      <w:r>
        <w:t xml:space="preserve"> </w:t>
      </w:r>
      <w:r>
        <w:t xml:space="preserve">migration stores model, dimensions, and vector references; the local path uses</w:t>
      </w:r>
      <w:r>
        <w:t xml:space="preserve"> </w:t>
      </w:r>
      <w:r>
        <w:rPr>
          <w:rStyle w:val="VerbatimChar"/>
        </w:rPr>
        <w:t xml:space="preserve">OllamaEmbeddingAdapter</w:t>
      </w:r>
      <w:r>
        <w:t xml:space="preserve">.</w:t>
      </w:r>
    </w:p>
    <w:p>
      <w:pPr>
        <w:pStyle w:val="Compact"/>
        <w:numPr>
          <w:ilvl w:val="0"/>
          <w:numId w:val="1044"/>
        </w:numPr>
      </w:pPr>
      <w:r>
        <w:t xml:space="preserve">Brute-force cosine remains the as-built semantic scan; no vector-index spike has been triggered, consistent with the decision rule.</w:t>
      </w:r>
    </w:p>
    <w:p>
      <w:pPr>
        <w:pStyle w:val="Compact"/>
        <w:numPr>
          <w:ilvl w:val="0"/>
          <w:numId w:val="1044"/>
        </w:numPr>
      </w:pPr>
      <w:r>
        <w:t xml:space="preserve">Residual (design-to-be): formal NFR-OGMA-003/004 acceptance on W-REF-01 is Phase 20 scope; all current latency numbers are trend-only.</w:t>
      </w:r>
    </w:p>
    <w:bookmarkEnd w:id="74"/>
    <w:bookmarkStart w:id="75" w:name="consequences-5"/>
    <w:p>
      <w:pPr>
        <w:pStyle w:val="Heading2"/>
      </w:pPr>
      <w:r>
        <w:rPr>
          <w:rStyle w:val="SectionNumber"/>
          <w:rFonts w:ascii="Spectral" w:hAnsi="Spectral" w:eastAsia="Spectral"/>
          <w:color w:val="132338"/>
        </w:rPr>
        <w:t xml:space="preserve">7.6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45"/>
        </w:numPr>
      </w:pPr>
      <w:r>
        <w:t xml:space="preserve">Positive: exact, keyword, and semantic retrieval are each served well, and the advisor can recommend by concept with supporting evidence.</w:t>
      </w:r>
    </w:p>
    <w:p>
      <w:pPr>
        <w:pStyle w:val="Compact"/>
        <w:numPr>
          <w:ilvl w:val="0"/>
          <w:numId w:val="1045"/>
        </w:numPr>
      </w:pPr>
      <w:r>
        <w:t xml:space="preserve">Negative: three retrieval paths must stay rank-tuned; embedding generation, storage, and erasure add a pipeline the sidecar holds.</w:t>
      </w:r>
    </w:p>
    <w:p>
      <w:pPr>
        <w:pStyle w:val="Compact"/>
        <w:numPr>
          <w:ilvl w:val="0"/>
          <w:numId w:val="1045"/>
        </w:numPr>
      </w:pPr>
      <w:r>
        <w:t xml:space="preserve">Affects: ADR-0005 (external-content index, embedding sidecar class); ADR-0007 (content-aware AI consumes retrieved context); ADR-0013 (classroom smart search executes against the host index).</w:t>
      </w:r>
    </w:p>
    <w:bookmarkEnd w:id="75"/>
    <w:bookmarkEnd w:id="76"/>
    <w:bookmarkStart w:id="86" w:name="Xc47df034aeae60d5a25dff91441fd04a3728d90"/>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ADR-0007: Route AI Through a Provider-Neutral Gateway with Four Privacy Tiers</w:t>
      </w:r>
    </w:p>
    <w:p>
      <w:pPr>
        <w:pStyle w:val="Compact"/>
        <w:numPr>
          <w:ilvl w:val="0"/>
          <w:numId w:val="1046"/>
        </w:numPr>
      </w:pPr>
      <w:r>
        <w:t xml:space="preserve">ID:</w:t>
      </w:r>
      <w:r>
        <w:t xml:space="preserve"> </w:t>
      </w:r>
      <w:r>
        <w:rPr>
          <w:b/>
          <w:bCs/>
        </w:rPr>
        <w:t xml:space="preserve">ADR-0007</w:t>
      </w:r>
    </w:p>
    <w:p>
      <w:pPr>
        <w:pStyle w:val="Compact"/>
        <w:numPr>
          <w:ilvl w:val="0"/>
          <w:numId w:val="1046"/>
        </w:numPr>
      </w:pPr>
      <w:r>
        <w:t xml:space="preserve">Status: Accepted — ratified in implementation; formal owner counter-signature pending baseline v2.0 sign-off</w:t>
      </w:r>
    </w:p>
    <w:p>
      <w:pPr>
        <w:pStyle w:val="Compact"/>
        <w:numPr>
          <w:ilvl w:val="0"/>
          <w:numId w:val="1046"/>
        </w:numPr>
      </w:pPr>
      <w:r>
        <w:t xml:space="preserve">Date: 2026-05-30</w:t>
      </w:r>
    </w:p>
    <w:p>
      <w:pPr>
        <w:pStyle w:val="Compact"/>
        <w:numPr>
          <w:ilvl w:val="0"/>
          <w:numId w:val="1046"/>
        </w:numPr>
      </w:pPr>
      <w:r>
        <w:t xml:space="preserve">Deciders: Product owner (Chwezi Core Systems), AI engineer, Engineering lead</w:t>
      </w:r>
    </w:p>
    <w:bookmarkStart w:id="77" w:name="context-6"/>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AI reading advisor is a core promise, but the product is local-first and privacy is an acceptance criterion, not decorative language. AI capability spans local on-device inference and several optional cloud providers, and the user must retain explicit, legible control over what leaves the device. The security baseline mandates a single egress chokepoint: all off-device calls route through one gateway and no UI or feature module opens its own provider connection. The compliance surface appears only at off-device transmission, so the AI layer must enforce consent, payload minimisation, payload preview, and audit at exactly one place, let providers be added or swapped without rewriting feature code, and default to the least data exposure.</w:t>
      </w:r>
    </w:p>
    <w:bookmarkEnd w:id="77"/>
    <w:bookmarkStart w:id="78" w:name="decision-drivers-6"/>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47"/>
        </w:numPr>
      </w:pPr>
      <w:r>
        <w:t xml:space="preserve">One enforceable egress chokepoint for every off-device call.</w:t>
      </w:r>
    </w:p>
    <w:p>
      <w:pPr>
        <w:pStyle w:val="Compact"/>
        <w:numPr>
          <w:ilvl w:val="0"/>
          <w:numId w:val="1047"/>
        </w:numPr>
      </w:pPr>
      <w:r>
        <w:t xml:space="preserve">Provider neutrality so cloud and local providers are interchangeable behind one interface.</w:t>
      </w:r>
    </w:p>
    <w:p>
      <w:pPr>
        <w:pStyle w:val="Compact"/>
        <w:numPr>
          <w:ilvl w:val="0"/>
          <w:numId w:val="1047"/>
        </w:numPr>
      </w:pPr>
      <w:r>
        <w:t xml:space="preserve">A privacy-tier model that makes data exposure explicit and user-selectable.</w:t>
      </w:r>
    </w:p>
    <w:p>
      <w:pPr>
        <w:pStyle w:val="Compact"/>
        <w:numPr>
          <w:ilvl w:val="0"/>
          <w:numId w:val="1047"/>
        </w:numPr>
      </w:pPr>
      <w:r>
        <w:t xml:space="preserve">Default to the lowest exposure: no transmission unless the active tier permits and the user confirms a previewed payload.</w:t>
      </w:r>
    </w:p>
    <w:p>
      <w:pPr>
        <w:pStyle w:val="Compact"/>
        <w:numPr>
          <w:ilvl w:val="0"/>
          <w:numId w:val="1047"/>
        </w:numPr>
      </w:pPr>
      <w:r>
        <w:t xml:space="preserve">Per-tier, per-provider consent, minimisation, and audit enforced in one place.</w:t>
      </w:r>
    </w:p>
    <w:bookmarkEnd w:id="78"/>
    <w:bookmarkStart w:id="82" w:name="considered-options-6"/>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Considered Options</w:t>
      </w:r>
    </w:p>
    <w:bookmarkStart w:id="79" w:name="X2e44ed7ffab9d6d61c38d755d4f7af2a720eaad"/>
    <w:p>
      <w:pPr>
        <w:pStyle w:val="Heading3"/>
      </w:pPr>
      <w:r>
        <w:rPr>
          <w:rStyle w:val="SectionNumber"/>
          <w:rFonts w:ascii="Spectral" w:hAnsi="Spectral" w:eastAsia="Spectral"/>
          <w:color w:val="132338"/>
        </w:rPr>
        <w:t xml:space="preserve">8.3.1</w:t>
      </w:r>
      <w:r>
        <w:rPr>
          <w:rFonts w:ascii="Spectral" w:hAnsi="Spectral" w:eastAsia="Spectral"/>
          <w:color w:val="132338"/>
        </w:rPr>
        <w:tab/>
      </w:r>
      <w:r>
        <w:rPr>
          <w:rFonts w:ascii="Spectral" w:hAnsi="Spectral" w:eastAsia="Spectral"/>
          <w:color w:val="132338"/>
        </w:rPr>
        <w:t xml:space="preserve">Option A — Provider-neutral gateway with four privacy tiers</w:t>
      </w:r>
    </w:p>
    <w:p>
      <w:pPr>
        <w:pStyle w:val="Compact"/>
        <w:numPr>
          <w:ilvl w:val="0"/>
          <w:numId w:val="1048"/>
        </w:numPr>
      </w:pPr>
      <w:r>
        <w:t xml:space="preserve">Pros: one interface abstracts local and cloud providers; one gateway enforces consent, minimisation, preview, and audit; the four-tier model makes exposure explicit; no feature module can bypass the chokepoint.</w:t>
      </w:r>
    </w:p>
    <w:p>
      <w:pPr>
        <w:pStyle w:val="Compact"/>
        <w:numPr>
          <w:ilvl w:val="0"/>
          <w:numId w:val="1048"/>
        </w:numPr>
      </w:pPr>
      <w:r>
        <w:t xml:space="preserve">Cons: every provider needs an adapter; the tier model and payload-preview contract must stay faithful to what is actually sent.</w:t>
      </w:r>
    </w:p>
    <w:bookmarkEnd w:id="79"/>
    <w:bookmarkStart w:id="80" w:name="X600a77deab4a54a7f837ce0f7f21a78961704b8"/>
    <w:p>
      <w:pPr>
        <w:pStyle w:val="Heading3"/>
      </w:pPr>
      <w:r>
        <w:rPr>
          <w:rStyle w:val="SectionNumber"/>
          <w:rFonts w:ascii="Spectral" w:hAnsi="Spectral" w:eastAsia="Spectral"/>
          <w:color w:val="132338"/>
        </w:rPr>
        <w:t xml:space="preserve">8.3.2</w:t>
      </w:r>
      <w:r>
        <w:rPr>
          <w:rFonts w:ascii="Spectral" w:hAnsi="Spectral" w:eastAsia="Spectral"/>
          <w:color w:val="132338"/>
        </w:rPr>
        <w:tab/>
      </w:r>
      <w:r>
        <w:rPr>
          <w:rFonts w:ascii="Spectral" w:hAnsi="Spectral" w:eastAsia="Spectral"/>
          <w:color w:val="132338"/>
        </w:rPr>
        <w:t xml:space="preserve">Option B — Direct per-feature provider calls</w:t>
      </w:r>
    </w:p>
    <w:p>
      <w:pPr>
        <w:pStyle w:val="Compact"/>
        <w:numPr>
          <w:ilvl w:val="0"/>
          <w:numId w:val="1049"/>
        </w:numPr>
      </w:pPr>
      <w:r>
        <w:t xml:space="preserve">Pros: less abstraction; fastest to wire one provider.</w:t>
      </w:r>
    </w:p>
    <w:p>
      <w:pPr>
        <w:pStyle w:val="Compact"/>
        <w:numPr>
          <w:ilvl w:val="0"/>
          <w:numId w:val="1049"/>
        </w:numPr>
      </w:pPr>
      <w:r>
        <w:t xml:space="preserve">Cons: multiple egress points defeat the chokepoint control; consent and audit scatter and drift; privacy control becomes unverifiable.</w:t>
      </w:r>
    </w:p>
    <w:bookmarkEnd w:id="80"/>
    <w:bookmarkStart w:id="81" w:name="X022be02aed918f83dec4de1a8b2d607bd2c0944"/>
    <w:p>
      <w:pPr>
        <w:pStyle w:val="Heading3"/>
      </w:pPr>
      <w:r>
        <w:rPr>
          <w:rStyle w:val="SectionNumber"/>
          <w:rFonts w:ascii="Spectral" w:hAnsi="Spectral" w:eastAsia="Spectral"/>
          <w:color w:val="132338"/>
        </w:rPr>
        <w:t xml:space="preserve">8.3.3</w:t>
      </w:r>
      <w:r>
        <w:rPr>
          <w:rFonts w:ascii="Spectral" w:hAnsi="Spectral" w:eastAsia="Spectral"/>
          <w:color w:val="132338"/>
        </w:rPr>
        <w:tab/>
      </w:r>
      <w:r>
        <w:rPr>
          <w:rFonts w:ascii="Spectral" w:hAnsi="Spectral" w:eastAsia="Spectral"/>
          <w:color w:val="132338"/>
        </w:rPr>
        <w:t xml:space="preserve">Option C — Single hard-coded cloud provider, no local tier</w:t>
      </w:r>
    </w:p>
    <w:p>
      <w:pPr>
        <w:pStyle w:val="Compact"/>
        <w:numPr>
          <w:ilvl w:val="0"/>
          <w:numId w:val="1050"/>
        </w:numPr>
      </w:pPr>
      <w:r>
        <w:t xml:space="preserve">Pros: simplest integration.</w:t>
      </w:r>
    </w:p>
    <w:p>
      <w:pPr>
        <w:pStyle w:val="Compact"/>
        <w:numPr>
          <w:ilvl w:val="0"/>
          <w:numId w:val="1050"/>
        </w:numPr>
      </w:pPr>
      <w:r>
        <w:t xml:space="preserve">Cons: violates local-first and offline-useful principles; forces off-device processing for all AI.</w:t>
      </w:r>
    </w:p>
    <w:bookmarkEnd w:id="81"/>
    <w:bookmarkEnd w:id="82"/>
    <w:bookmarkStart w:id="83" w:name="decision-outcome-6"/>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a provider-neutral gateway as the sole AI egress path with four privacy tiers: Tier 0 Offline (default — AI disabled), Tier 1 Metadata-only cloud (title, author, tags, categories, descriptions, notes), Tier 2 Content-aware cloud (retrieved chunks, explicit per-library/per-query opt-in), Tier 3 Local on-device model (Ollama; no egress). Before any off-device send the gateway presents a payload preview of the exact content, field set, and destination provider, transmits only after confirmation, and writes a local audit entry. Adding a provider means implementing the interface — never a new egress path.</w:t>
      </w:r>
    </w:p>
    <w:bookmarkEnd w:id="83"/>
    <w:bookmarkStart w:id="84" w:name="evidence-of-implementation-6"/>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51"/>
        </w:numPr>
      </w:pPr>
      <w:r>
        <w:rPr>
          <w:rStyle w:val="VerbatimChar"/>
        </w:rPr>
        <w:t xml:space="preserve">AiGateway : IAiGateway</w:t>
      </w:r>
      <w:r>
        <w:t xml:space="preserve"> </w:t>
      </w:r>
      <w:r>
        <w:t xml:space="preserve">(</w:t>
      </w:r>
      <w:r>
        <w:rPr>
          <w:rStyle w:val="VerbatimChar"/>
        </w:rPr>
        <w:t xml:space="preserve">src/OgmaLibrary.Infrastructure/AI</w:t>
      </w:r>
      <w:r>
        <w:t xml:space="preserve">) is the single send path;</w:t>
      </w:r>
      <w:r>
        <w:t xml:space="preserve"> </w:t>
      </w:r>
      <w:r>
        <w:rPr>
          <w:rStyle w:val="VerbatimChar"/>
        </w:rPr>
        <w:t xml:space="preserve">AiDisabledProvider</w:t>
      </w:r>
      <w:r>
        <w:t xml:space="preserve"> </w:t>
      </w:r>
      <w:r>
        <w:t xml:space="preserve">is the registered default so Tier 0 holds with no key present (FR-AI-001).</w:t>
      </w:r>
    </w:p>
    <w:p>
      <w:pPr>
        <w:pStyle w:val="Compact"/>
        <w:numPr>
          <w:ilvl w:val="0"/>
          <w:numId w:val="1051"/>
        </w:numPr>
      </w:pPr>
      <w:r>
        <w:t xml:space="preserve">Provider adapters behind</w:t>
      </w:r>
      <w:r>
        <w:t xml:space="preserve"> </w:t>
      </w:r>
      <w:r>
        <w:rPr>
          <w:rStyle w:val="VerbatimChar"/>
        </w:rPr>
        <w:t xml:space="preserve">IAiProvider</w:t>
      </w:r>
      <w:r>
        <w:t xml:space="preserve"> </w:t>
      </w:r>
      <w:r>
        <w:t xml:space="preserve">via</w:t>
      </w:r>
      <w:r>
        <w:t xml:space="preserve"> </w:t>
      </w:r>
      <w:r>
        <w:rPr>
          <w:rStyle w:val="VerbatimChar"/>
        </w:rPr>
        <w:t xml:space="preserve">AiProviderFactory</w:t>
      </w:r>
      <w:r>
        <w:t xml:space="preserve">:</w:t>
      </w:r>
      <w:r>
        <w:t xml:space="preserve"> </w:t>
      </w:r>
      <w:r>
        <w:rPr>
          <w:rStyle w:val="VerbatimChar"/>
        </w:rPr>
        <w:t xml:space="preserve">AnthropicProvider</w:t>
      </w:r>
      <w:r>
        <w:t xml:space="preserve">,</w:t>
      </w:r>
      <w:r>
        <w:t xml:space="preserve"> </w:t>
      </w:r>
      <w:r>
        <w:rPr>
          <w:rStyle w:val="VerbatimChar"/>
        </w:rPr>
        <w:t xml:space="preserve">OpenAiCompatProvider</w:t>
      </w:r>
      <w:r>
        <w:t xml:space="preserve"> </w:t>
      </w:r>
      <w:r>
        <w:t xml:space="preserve">(covers OpenAI- and DeepSeek-compatible endpoints),</w:t>
      </w:r>
      <w:r>
        <w:t xml:space="preserve"> </w:t>
      </w:r>
      <w:r>
        <w:rPr>
          <w:rStyle w:val="VerbatimChar"/>
        </w:rPr>
        <w:t xml:space="preserve">OllamaChatProvider</w:t>
      </w:r>
      <w:r>
        <w:t xml:space="preserve">; local embeddings through</w:t>
      </w:r>
      <w:r>
        <w:t xml:space="preserve"> </w:t>
      </w:r>
      <w:r>
        <w:rPr>
          <w:rStyle w:val="VerbatimChar"/>
        </w:rPr>
        <w:t xml:space="preserve">OllamaEmbeddingAdapter</w:t>
      </w:r>
      <w:r>
        <w:t xml:space="preserve">.</w:t>
      </w:r>
    </w:p>
    <w:p>
      <w:pPr>
        <w:pStyle w:val="Compact"/>
        <w:numPr>
          <w:ilvl w:val="0"/>
          <w:numId w:val="1051"/>
        </w:numPr>
      </w:pPr>
      <w:r>
        <w:rPr>
          <w:rStyle w:val="VerbatimChar"/>
        </w:rPr>
        <w:t xml:space="preserve">AiPrivacyService</w:t>
      </w:r>
      <w:r>
        <w:t xml:space="preserve"> </w:t>
      </w:r>
      <w:r>
        <w:t xml:space="preserve">and</w:t>
      </w:r>
      <w:r>
        <w:t xml:space="preserve"> </w:t>
      </w:r>
      <w:r>
        <w:rPr>
          <w:rStyle w:val="VerbatimChar"/>
        </w:rPr>
        <w:t xml:space="preserve">AiPayloadBuilder</w:t>
      </w:r>
      <w:r>
        <w:t xml:space="preserve"> </w:t>
      </w:r>
      <w:r>
        <w:t xml:space="preserve">enforce tier redaction and build the payload preview;</w:t>
      </w:r>
      <w:r>
        <w:t xml:space="preserve"> </w:t>
      </w:r>
      <w:r>
        <w:rPr>
          <w:rStyle w:val="VerbatimChar"/>
        </w:rPr>
        <w:t xml:space="preserve">AiCostCalculator</w:t>
      </w:r>
      <w:r>
        <w:t xml:space="preserve">/</w:t>
      </w:r>
      <w:r>
        <w:rPr>
          <w:rStyle w:val="VerbatimChar"/>
        </w:rPr>
        <w:t xml:space="preserve">AiCostFormatter</w:t>
      </w:r>
      <w:r>
        <w:t xml:space="preserve"> </w:t>
      </w:r>
      <w:r>
        <w:t xml:space="preserve">surface per-call cost (FR-AI-010); the</w:t>
      </w:r>
      <w:r>
        <w:t xml:space="preserve"> </w:t>
      </w:r>
      <w:r>
        <w:rPr>
          <w:rStyle w:val="VerbatimChar"/>
        </w:rPr>
        <w:t xml:space="preserve">Phase12AiGatewayTables</w:t>
      </w:r>
      <w:r>
        <w:t xml:space="preserve"> </w:t>
      </w:r>
      <w:r>
        <w:t xml:space="preserve">migration adds</w:t>
      </w:r>
      <w:r>
        <w:t xml:space="preserve"> </w:t>
      </w:r>
      <w:r>
        <w:rPr>
          <w:rStyle w:val="VerbatimChar"/>
        </w:rPr>
        <w:t xml:space="preserve">AiConsentRecords</w:t>
      </w:r>
      <w:r>
        <w:t xml:space="preserve"> </w:t>
      </w:r>
      <w:r>
        <w:t xml:space="preserve">and</w:t>
      </w:r>
      <w:r>
        <w:t xml:space="preserve"> </w:t>
      </w:r>
      <w:r>
        <w:rPr>
          <w:rStyle w:val="VerbatimChar"/>
        </w:rPr>
        <w:t xml:space="preserve">AiAuditEvents</w:t>
      </w:r>
      <w:r>
        <w:t xml:space="preserve">; the Privacy Center surface lists keys, calls, payloads, and delete controls (FR-AI-011), with history and embedding erasure via</w:t>
      </w:r>
      <w:r>
        <w:t xml:space="preserve"> </w:t>
      </w:r>
      <w:r>
        <w:rPr>
          <w:rStyle w:val="VerbatimChar"/>
        </w:rPr>
        <w:t xml:space="preserve">SchoolAiHistoryManagementService</w:t>
      </w:r>
      <w:r>
        <w:t xml:space="preserve">/</w:t>
      </w:r>
      <w:r>
        <w:rPr>
          <w:rStyle w:val="VerbatimChar"/>
        </w:rPr>
        <w:t xml:space="preserve">EmbeddingErasureService</w:t>
      </w:r>
      <w:r>
        <w:t xml:space="preserve">.</w:t>
      </w:r>
    </w:p>
    <w:p>
      <w:pPr>
        <w:pStyle w:val="Compact"/>
        <w:numPr>
          <w:ilvl w:val="0"/>
          <w:numId w:val="1051"/>
        </w:numPr>
      </w:pPr>
      <w:r>
        <w:t xml:space="preserve">The chokepoint is architecture-test enforced:</w:t>
      </w:r>
      <w:r>
        <w:t xml:space="preserve"> </w:t>
      </w:r>
      <w:r>
        <w:rPr>
          <w:rStyle w:val="VerbatimChar"/>
        </w:rPr>
        <w:t xml:space="preserve">Architecture_OnlyInfrastructureUsesHttpClient</w:t>
      </w:r>
      <w:r>
        <w:t xml:space="preserve"> </w:t>
      </w:r>
      <w:r>
        <w:t xml:space="preserve">(NetArchTest,</w:t>
      </w:r>
      <w:r>
        <w:t xml:space="preserve"> </w:t>
      </w:r>
      <w:r>
        <w:rPr>
          <w:rStyle w:val="VerbatimChar"/>
        </w:rPr>
        <w:t xml:space="preserve">tests/OgmaLibrary.Tests.Architecture</w:t>
      </w:r>
      <w:r>
        <w:t xml:space="preserve">) fails the build if any non-Infrastructure project references</w:t>
      </w:r>
      <w:r>
        <w:t xml:space="preserve"> </w:t>
      </w:r>
      <w:r>
        <w:rPr>
          <w:rStyle w:val="VerbatimChar"/>
        </w:rPr>
        <w:t xml:space="preserve">System.Net.Http</w:t>
      </w:r>
      <w:r>
        <w:t xml:space="preserve">.</w:t>
      </w:r>
    </w:p>
    <w:p>
      <w:pPr>
        <w:pStyle w:val="Compact"/>
        <w:numPr>
          <w:ilvl w:val="0"/>
          <w:numId w:val="1051"/>
        </w:numPr>
      </w:pPr>
      <w:r>
        <w:t xml:space="preserve">Deliberate stub:</w:t>
      </w:r>
      <w:r>
        <w:t xml:space="preserve"> </w:t>
      </w:r>
      <w:r>
        <w:rPr>
          <w:rStyle w:val="VerbatimChar"/>
        </w:rPr>
        <w:t xml:space="preserve">AdvisorService</w:t>
      </w:r>
      <w:r>
        <w:t xml:space="preserve"> </w:t>
      </w:r>
      <w:r>
        <w:t xml:space="preserve">throws</w:t>
      </w:r>
      <w:r>
        <w:t xml:space="preserve"> </w:t>
      </w:r>
      <w:r>
        <w:rPr>
          <w:rStyle w:val="VerbatimChar"/>
        </w:rPr>
        <w:t xml:space="preserve">NotImplementedException</w:t>
      </w:r>
      <w:r>
        <w:t xml:space="preserve"> </w:t>
      </w:r>
      <w:r>
        <w:t xml:space="preserve">for the V2 answer mode (FR-AI-008) — a scoped deferral, not an omission; the classroom answer path (FR-ADMIN-011) is grounded separately per ADR-0013.</w:t>
      </w:r>
    </w:p>
    <w:bookmarkEnd w:id="84"/>
    <w:bookmarkStart w:id="85" w:name="consequences-6"/>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52"/>
        </w:numPr>
      </w:pPr>
      <w:r>
        <w:t xml:space="preserve">Positive: a single chokepoint makes consent, minimisation, preview, and audit verifiable and centrally enforced; providers are interchangeable via composition-root configuration.</w:t>
      </w:r>
    </w:p>
    <w:p>
      <w:pPr>
        <w:pStyle w:val="Compact"/>
        <w:numPr>
          <w:ilvl w:val="0"/>
          <w:numId w:val="1052"/>
        </w:numPr>
      </w:pPr>
      <w:r>
        <w:t xml:space="preserve">Negative: each provider needs an adapter, and the payload preview must be kept honest as providers evolve; a Phase 13 evaluation harness exists to regression-test this.</w:t>
      </w:r>
    </w:p>
    <w:p>
      <w:pPr>
        <w:pStyle w:val="Compact"/>
        <w:numPr>
          <w:ilvl w:val="0"/>
          <w:numId w:val="1052"/>
        </w:numPr>
      </w:pPr>
      <w:r>
        <w:t xml:space="preserve">Affects: the entire off-device control set; ADR-0006 (Tier 2 consumes retrieved context); ADR-0013 (the same gateway operates on the host for classrooms); the DPIA screening of each off-device tier.</w:t>
      </w:r>
    </w:p>
    <w:bookmarkEnd w:id="85"/>
    <w:bookmarkEnd w:id="86"/>
    <w:bookmarkStart w:id="96" w:name="X49246eeafffe46e70963767d9118f3c8d376c6a"/>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ADR-0008: Store Annotations and Metadata Database-First, Write Back to PDF Later</w:t>
      </w:r>
    </w:p>
    <w:p>
      <w:pPr>
        <w:pStyle w:val="Compact"/>
        <w:numPr>
          <w:ilvl w:val="0"/>
          <w:numId w:val="1053"/>
        </w:numPr>
      </w:pPr>
      <w:r>
        <w:t xml:space="preserve">ID:</w:t>
      </w:r>
      <w:r>
        <w:t xml:space="preserve"> </w:t>
      </w:r>
      <w:r>
        <w:rPr>
          <w:b/>
          <w:bCs/>
        </w:rPr>
        <w:t xml:space="preserve">ADR-0008</w:t>
      </w:r>
    </w:p>
    <w:p>
      <w:pPr>
        <w:pStyle w:val="Compact"/>
        <w:numPr>
          <w:ilvl w:val="0"/>
          <w:numId w:val="1053"/>
        </w:numPr>
      </w:pPr>
      <w:r>
        <w:t xml:space="preserve">Status: Accepted — ratified in implementation; formal owner counter-signature pending baseline v2.0 sign-off</w:t>
      </w:r>
    </w:p>
    <w:p>
      <w:pPr>
        <w:pStyle w:val="Compact"/>
        <w:numPr>
          <w:ilvl w:val="0"/>
          <w:numId w:val="1053"/>
        </w:numPr>
      </w:pPr>
      <w:r>
        <w:t xml:space="preserve">Date: 2026-05-30</w:t>
      </w:r>
    </w:p>
    <w:p>
      <w:pPr>
        <w:pStyle w:val="Compact"/>
        <w:numPr>
          <w:ilvl w:val="0"/>
          <w:numId w:val="1053"/>
        </w:numPr>
      </w:pPr>
      <w:r>
        <w:t xml:space="preserve">Deciders: Product owner (Chwezi Core Systems), Engineering lead</w:t>
      </w:r>
    </w:p>
    <w:bookmarkStart w:id="87" w:name="context-7"/>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lets users repair metadata, highlight, bookmark, and annotate their PDFs. Two storage targets exist: the application's own catalogue database (ADR-0005) and the source PDF file itself. Writing back into the source PDF is attractive for portability across other readers, but it mutates the user's original file — the highest-stakes operation in a product whose principles are</w:t>
      </w:r>
      <w:r>
        <w:t xml:space="preserve"> </w:t>
      </w:r>
      <w:r>
        <w:rPr>
          <w:i/>
          <w:iCs/>
        </w:rPr>
        <w:t xml:space="preserve">files remain the user's files</w:t>
      </w:r>
      <w:r>
        <w:t xml:space="preserve"> </w:t>
      </w:r>
      <w:r>
        <w:t xml:space="preserve">and</w:t>
      </w:r>
      <w:r>
        <w:t xml:space="preserve"> </w:t>
      </w:r>
      <w:r>
        <w:rPr>
          <w:i/>
          <w:iCs/>
        </w:rPr>
        <w:t xml:space="preserve">metadata is reversible</w:t>
      </w:r>
      <w:r>
        <w:t xml:space="preserve"> </w:t>
      </w:r>
      <w:r>
        <w:t xml:space="preserve">(backup, diff, verify, restore). PDF write-back depends on the chosen engine's write path (ADR-0004) and runs against untrusted, sometimes malformed documents, so getting it wrong risks corrupting irreplaceable originals. The vision places PDF write-back of highlight annotations out of MVP scope.</w:t>
      </w:r>
    </w:p>
    <w:bookmarkEnd w:id="87"/>
    <w:bookmarkStart w:id="88" w:name="decision-drivers-7"/>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54"/>
        </w:numPr>
      </w:pPr>
      <w:r>
        <w:t xml:space="preserve">Protect the user's original files from unsafe or premature mutation.</w:t>
      </w:r>
    </w:p>
    <w:p>
      <w:pPr>
        <w:pStyle w:val="Compact"/>
        <w:numPr>
          <w:ilvl w:val="0"/>
          <w:numId w:val="1054"/>
        </w:numPr>
      </w:pPr>
      <w:r>
        <w:t xml:space="preserve">Deliver annotations, bookmarks, and metadata repair early without depending on a write path.</w:t>
      </w:r>
    </w:p>
    <w:p>
      <w:pPr>
        <w:pStyle w:val="Compact"/>
        <w:numPr>
          <w:ilvl w:val="0"/>
          <w:numId w:val="1054"/>
        </w:numPr>
      </w:pPr>
      <w:r>
        <w:t xml:space="preserve">Honour the reversibility principle: backup, diff, verify, restore on every destructive operation.</w:t>
      </w:r>
    </w:p>
    <w:p>
      <w:pPr>
        <w:pStyle w:val="Compact"/>
        <w:numPr>
          <w:ilvl w:val="0"/>
          <w:numId w:val="1054"/>
        </w:numPr>
      </w:pPr>
      <w:r>
        <w:t xml:space="preserve">Sequence the risky write-back capability after the safe, reversible foundation is proven.</w:t>
      </w:r>
    </w:p>
    <w:p>
      <w:pPr>
        <w:pStyle w:val="Compact"/>
        <w:numPr>
          <w:ilvl w:val="0"/>
          <w:numId w:val="1054"/>
        </w:numPr>
      </w:pPr>
      <w:r>
        <w:t xml:space="preserve">Keep write-back off by default and contained to the validated library root.</w:t>
      </w:r>
    </w:p>
    <w:bookmarkEnd w:id="88"/>
    <w:bookmarkStart w:id="92" w:name="considered-options-7"/>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Considered Options</w:t>
      </w:r>
    </w:p>
    <w:bookmarkStart w:id="89" w:name="Xaf29faed4dfec578bd12e2334449681e09e714a"/>
    <w:p>
      <w:pPr>
        <w:pStyle w:val="Heading3"/>
      </w:pPr>
      <w:r>
        <w:rPr>
          <w:rStyle w:val="SectionNumber"/>
          <w:rFonts w:ascii="Spectral" w:hAnsi="Spectral" w:eastAsia="Spectral"/>
          <w:color w:val="132338"/>
        </w:rPr>
        <w:t xml:space="preserve">9.3.1</w:t>
      </w:r>
      <w:r>
        <w:rPr>
          <w:rFonts w:ascii="Spectral" w:hAnsi="Spectral" w:eastAsia="Spectral"/>
          <w:color w:val="132338"/>
        </w:rPr>
        <w:tab/>
      </w:r>
      <w:r>
        <w:rPr>
          <w:rFonts w:ascii="Spectral" w:hAnsi="Spectral" w:eastAsia="Spectral"/>
          <w:color w:val="132338"/>
        </w:rPr>
        <w:t xml:space="preserve">Option A — Database-first now; optional, guarded PDF write-back later</w:t>
      </w:r>
    </w:p>
    <w:p>
      <w:pPr>
        <w:pStyle w:val="Compact"/>
        <w:numPr>
          <w:ilvl w:val="0"/>
          <w:numId w:val="1055"/>
        </w:numPr>
      </w:pPr>
      <w:r>
        <w:t xml:space="preserve">Pros: annotations, bookmarks, reading state, and metadata repair ship early and reversibly; originals stay untouched until the safety protocol exists; write-back is opt-in behind backup-diff-verify-restore.</w:t>
      </w:r>
    </w:p>
    <w:p>
      <w:pPr>
        <w:pStyle w:val="Compact"/>
        <w:numPr>
          <w:ilvl w:val="0"/>
          <w:numId w:val="1055"/>
        </w:numPr>
      </w:pPr>
      <w:r>
        <w:t xml:space="preserve">Cons: until write-back ships, annotations live only inside Ogma and are invisible to other PDF readers.</w:t>
      </w:r>
    </w:p>
    <w:bookmarkEnd w:id="89"/>
    <w:bookmarkStart w:id="90" w:name="X2fef91114c2332c57dbca83e19f72ca033af975"/>
    <w:p>
      <w:pPr>
        <w:pStyle w:val="Heading3"/>
      </w:pPr>
      <w:r>
        <w:rPr>
          <w:rStyle w:val="SectionNumber"/>
          <w:rFonts w:ascii="Spectral" w:hAnsi="Spectral" w:eastAsia="Spectral"/>
          <w:color w:val="132338"/>
        </w:rPr>
        <w:t xml:space="preserve">9.3.2</w:t>
      </w:r>
      <w:r>
        <w:rPr>
          <w:rFonts w:ascii="Spectral" w:hAnsi="Spectral" w:eastAsia="Spectral"/>
          <w:color w:val="132338"/>
        </w:rPr>
        <w:tab/>
      </w:r>
      <w:r>
        <w:rPr>
          <w:rFonts w:ascii="Spectral" w:hAnsi="Spectral" w:eastAsia="Spectral"/>
          <w:color w:val="132338"/>
        </w:rPr>
        <w:t xml:space="preserve">Option B — Write back to PDF from the start</w:t>
      </w:r>
    </w:p>
    <w:p>
      <w:pPr>
        <w:pStyle w:val="Compact"/>
        <w:numPr>
          <w:ilvl w:val="0"/>
          <w:numId w:val="1056"/>
        </w:numPr>
      </w:pPr>
      <w:r>
        <w:t xml:space="preserve">Pros: annotations portable to other readers immediately.</w:t>
      </w:r>
    </w:p>
    <w:p>
      <w:pPr>
        <w:pStyle w:val="Compact"/>
        <w:numPr>
          <w:ilvl w:val="0"/>
          <w:numId w:val="1056"/>
        </w:numPr>
      </w:pPr>
      <w:r>
        <w:t xml:space="preserve">Cons: mutates irreplaceable originals before the reversible-edit safety net exists; a write bug can corrupt user files.</w:t>
      </w:r>
    </w:p>
    <w:bookmarkEnd w:id="90"/>
    <w:bookmarkStart w:id="91" w:name="Xe2438220d01512dd761c9d7817b172b3e3eee4f"/>
    <w:p>
      <w:pPr>
        <w:pStyle w:val="Heading3"/>
      </w:pPr>
      <w:r>
        <w:rPr>
          <w:rStyle w:val="SectionNumber"/>
          <w:rFonts w:ascii="Spectral" w:hAnsi="Spectral" w:eastAsia="Spectral"/>
          <w:color w:val="132338"/>
        </w:rPr>
        <w:t xml:space="preserve">9.3.3</w:t>
      </w:r>
      <w:r>
        <w:rPr>
          <w:rFonts w:ascii="Spectral" w:hAnsi="Spectral" w:eastAsia="Spectral"/>
          <w:color w:val="132338"/>
        </w:rPr>
        <w:tab/>
      </w:r>
      <w:r>
        <w:rPr>
          <w:rFonts w:ascii="Spectral" w:hAnsi="Spectral" w:eastAsia="Spectral"/>
          <w:color w:val="132338"/>
        </w:rPr>
        <w:t xml:space="preserve">Option C — PDF write-back only, no database annotation store</w:t>
      </w:r>
    </w:p>
    <w:p>
      <w:pPr>
        <w:pStyle w:val="Compact"/>
        <w:numPr>
          <w:ilvl w:val="0"/>
          <w:numId w:val="1057"/>
        </w:numPr>
      </w:pPr>
      <w:r>
        <w:t xml:space="preserve">Pros: single source of truth in the file.</w:t>
      </w:r>
    </w:p>
    <w:p>
      <w:pPr>
        <w:pStyle w:val="Compact"/>
        <w:numPr>
          <w:ilvl w:val="0"/>
          <w:numId w:val="1057"/>
        </w:numPr>
      </w:pPr>
      <w:r>
        <w:t xml:space="preserve">Cons: forfeits fast, reversible, searchable annotation storage; every edit touches the original; reading state and AI history still need a database anyway.</w:t>
      </w:r>
    </w:p>
    <w:bookmarkEnd w:id="91"/>
    <w:bookmarkEnd w:id="92"/>
    <w:bookmarkStart w:id="93" w:name="decision-outcome-7"/>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Store annotations, bookmarks, reading state, and metadata changes in the catalogue database first (ADR-0005). PDF</w:t>
      </w:r>
      <w:r>
        <w:t xml:space="preserve"> </w:t>
      </w:r>
      <w:r>
        <w:rPr>
          <w:b/>
          <w:bCs/>
        </w:rPr>
        <w:t xml:space="preserve">metadata</w:t>
      </w:r>
      <w:r>
        <w:t xml:space="preserve"> </w:t>
      </w:r>
      <w:r>
        <w:t xml:space="preserve">write-back is an opt-in capability that creates a backup, presents a field-level diff, verifies the written file opens, and restores the original on any failure (NFR-PROD-010). PDF write-back of</w:t>
      </w:r>
      <w:r>
        <w:t xml:space="preserve"> </w:t>
      </w:r>
      <w:r>
        <w:rPr>
          <w:b/>
          <w:bCs/>
        </w:rPr>
        <w:t xml:space="preserve">highlight annotations</w:t>
      </w:r>
      <w:r>
        <w:t xml:space="preserve"> </w:t>
      </w:r>
      <w:r>
        <w:t xml:space="preserve">remains deferred.</w:t>
      </w:r>
    </w:p>
    <w:bookmarkEnd w:id="93"/>
    <w:bookmarkStart w:id="94" w:name="evidence-of-implementation-7"/>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58"/>
        </w:numPr>
      </w:pPr>
      <w:r>
        <w:t xml:space="preserve">The</w:t>
      </w:r>
      <w:r>
        <w:t xml:space="preserve"> </w:t>
      </w:r>
      <w:r>
        <w:rPr>
          <w:rStyle w:val="VerbatimChar"/>
        </w:rPr>
        <w:t xml:space="preserve">Phase09Annotations</w:t>
      </w:r>
      <w:r>
        <w:t xml:space="preserve"> </w:t>
      </w:r>
      <w:r>
        <w:t xml:space="preserve">migration adds</w:t>
      </w:r>
      <w:r>
        <w:t xml:space="preserve"> </w:t>
      </w:r>
      <w:r>
        <w:rPr>
          <w:rStyle w:val="VerbatimChar"/>
        </w:rPr>
        <w:t xml:space="preserve">AnnotationsV2</w:t>
      </w:r>
      <w:r>
        <w:t xml:space="preserve">,</w:t>
      </w:r>
      <w:r>
        <w:t xml:space="preserve"> </w:t>
      </w:r>
      <w:r>
        <w:rPr>
          <w:rStyle w:val="VerbatimChar"/>
        </w:rPr>
        <w:t xml:space="preserve">AnnotationLayers</w:t>
      </w:r>
      <w:r>
        <w:t xml:space="preserve">, and</w:t>
      </w:r>
      <w:r>
        <w:t xml:space="preserve"> </w:t>
      </w:r>
      <w:r>
        <w:rPr>
          <w:rStyle w:val="VerbatimChar"/>
        </w:rPr>
        <w:t xml:space="preserve">ReadingMemory</w:t>
      </w:r>
      <w:r>
        <w:t xml:space="preserve">;</w:t>
      </w:r>
      <w:r>
        <w:t xml:space="preserve"> </w:t>
      </w:r>
      <w:r>
        <w:rPr>
          <w:rStyle w:val="VerbatimChar"/>
        </w:rPr>
        <w:t xml:space="preserve">AnnotationService</w:t>
      </w:r>
      <w:r>
        <w:t xml:space="preserve">,</w:t>
      </w:r>
      <w:r>
        <w:t xml:space="preserve"> </w:t>
      </w:r>
      <w:r>
        <w:rPr>
          <w:rStyle w:val="VerbatimChar"/>
        </w:rPr>
        <w:t xml:space="preserve">BookmarkService</w:t>
      </w:r>
      <w:r>
        <w:t xml:space="preserve">,</w:t>
      </w:r>
      <w:r>
        <w:t xml:space="preserve"> </w:t>
      </w:r>
      <w:r>
        <w:rPr>
          <w:rStyle w:val="VerbatimChar"/>
        </w:rPr>
        <w:t xml:space="preserve">AnnotationLayerService</w:t>
      </w:r>
      <w:r>
        <w:t xml:space="preserve">,</w:t>
      </w:r>
      <w:r>
        <w:t xml:space="preserve"> </w:t>
      </w:r>
      <w:r>
        <w:rPr>
          <w:rStyle w:val="VerbatimChar"/>
        </w:rPr>
        <w:t xml:space="preserve">CitationService</w:t>
      </w:r>
      <w:r>
        <w:t xml:space="preserve">, and</w:t>
      </w:r>
      <w:r>
        <w:t xml:space="preserve"> </w:t>
      </w:r>
      <w:r>
        <w:rPr>
          <w:rStyle w:val="VerbatimChar"/>
        </w:rPr>
        <w:t xml:space="preserve">ReadingMemoryService</w:t>
      </w:r>
      <w:r>
        <w:t xml:space="preserve"> </w:t>
      </w:r>
      <w:r>
        <w:t xml:space="preserve">in</w:t>
      </w:r>
      <w:r>
        <w:t xml:space="preserve"> </w:t>
      </w:r>
      <w:r>
        <w:rPr>
          <w:rStyle w:val="VerbatimChar"/>
        </w:rPr>
        <w:t xml:space="preserve">src/OgmaLibrary.Reader</w:t>
      </w:r>
      <w:r>
        <w:t xml:space="preserve"> </w:t>
      </w:r>
      <w:r>
        <w:t xml:space="preserve">persist to the catalogue before reporting saved (NFR-OGMA-008).</w:t>
      </w:r>
    </w:p>
    <w:p>
      <w:pPr>
        <w:pStyle w:val="Compact"/>
        <w:numPr>
          <w:ilvl w:val="0"/>
          <w:numId w:val="1058"/>
        </w:numPr>
      </w:pPr>
      <w:r>
        <w:rPr>
          <w:rStyle w:val="VerbatimChar"/>
        </w:rPr>
        <w:t xml:space="preserve">PdfWriteBackService</w:t>
      </w:r>
      <w:r>
        <w:t xml:space="preserve"> </w:t>
      </w:r>
      <w:r>
        <w:t xml:space="preserve">(PDFsharp) implements DocInfo metadata write-back under the backup → diff → verify → restore protocol, with backups in the</w:t>
      </w:r>
      <w:r>
        <w:t xml:space="preserve"> </w:t>
      </w:r>
      <w:r>
        <w:rPr>
          <w:rStyle w:val="VerbatimChar"/>
        </w:rPr>
        <w:t xml:space="preserve">backups</w:t>
      </w:r>
      <w:r>
        <w:t xml:space="preserve"> </w:t>
      </w:r>
      <w:r>
        <w:t xml:space="preserve">sidecar class and a write-back audit entry (FR-META-005).</w:t>
      </w:r>
    </w:p>
    <w:p>
      <w:pPr>
        <w:pStyle w:val="Compact"/>
        <w:numPr>
          <w:ilvl w:val="0"/>
          <w:numId w:val="1058"/>
        </w:numPr>
      </w:pPr>
      <w:r>
        <w:t xml:space="preserve">Annotation write-back to PDF is not implemented — by decision, not by gap; a future reversal is a new superseding ADR.</w:t>
      </w:r>
    </w:p>
    <w:bookmarkEnd w:id="94"/>
    <w:bookmarkStart w:id="95" w:name="consequences-7"/>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59"/>
        </w:numPr>
      </w:pPr>
      <w:r>
        <w:t xml:space="preserve">Positive: users get reversible annotations and metadata repair with zero risk to original files; the high-risk annotation write path stays deferred until the engine's write capability is proven.</w:t>
      </w:r>
    </w:p>
    <w:p>
      <w:pPr>
        <w:pStyle w:val="Compact"/>
        <w:numPr>
          <w:ilvl w:val="0"/>
          <w:numId w:val="1059"/>
        </w:numPr>
      </w:pPr>
      <w:r>
        <w:t xml:space="preserve">Negative: Ogma annotations are not visible in third-party PDF readers; if annotation write-back is ever added it must reconcile database and file-embedded annotations without duplication.</w:t>
      </w:r>
    </w:p>
    <w:p>
      <w:pPr>
        <w:pStyle w:val="Compact"/>
        <w:numPr>
          <w:ilvl w:val="0"/>
          <w:numId w:val="1059"/>
        </w:numPr>
      </w:pPr>
      <w:r>
        <w:t xml:space="preserve">Affects: ADR-0005 (records of record); ADR-0004 (PDF write path); NFR-PROD-010 and NFR-OGMA-008.</w:t>
      </w:r>
    </w:p>
    <w:bookmarkEnd w:id="95"/>
    <w:bookmarkEnd w:id="96"/>
    <w:bookmarkStart w:id="106" w:name="X9917744422e7df36a89eb70e211a80b6bf13714"/>
    <w:p>
      <w:pPr>
        <w:pStyle w:val="Heading1"/>
      </w:pPr>
      <w:r>
        <w:rPr>
          <w:rStyle w:val="SectionNumber"/>
          <w:rFonts w:ascii="Spectral" w:hAnsi="Spectral" w:eastAsia="Spectral"/>
          <w:color w:val="132338"/>
        </w:rPr>
        <w:t xml:space="preserve">10</w:t>
      </w:r>
      <w:r>
        <w:rPr>
          <w:rFonts w:ascii="Spectral" w:hAnsi="Spectral" w:eastAsia="Spectral"/>
          <w:color w:val="132338"/>
        </w:rPr>
        <w:tab/>
      </w:r>
      <w:r>
        <w:rPr>
          <w:rFonts w:ascii="Spectral" w:hAnsi="Spectral" w:eastAsia="Spectral"/>
          <w:color w:val="132338"/>
        </w:rPr>
        <w:t xml:space="preserve">ADR-0009: Distribute with Velopack for Direct Channels and MSIX for Store and Enterprise</w:t>
      </w:r>
    </w:p>
    <w:p>
      <w:pPr>
        <w:pStyle w:val="Compact"/>
        <w:numPr>
          <w:ilvl w:val="0"/>
          <w:numId w:val="1060"/>
        </w:numPr>
      </w:pPr>
      <w:r>
        <w:t xml:space="preserve">ID:</w:t>
      </w:r>
      <w:r>
        <w:t xml:space="preserve"> </w:t>
      </w:r>
      <w:r>
        <w:rPr>
          <w:b/>
          <w:bCs/>
        </w:rPr>
        <w:t xml:space="preserve">ADR-0009</w:t>
      </w:r>
    </w:p>
    <w:p>
      <w:pPr>
        <w:pStyle w:val="Compact"/>
        <w:numPr>
          <w:ilvl w:val="0"/>
          <w:numId w:val="1060"/>
        </w:numPr>
      </w:pPr>
      <w:r>
        <w:t xml:space="preserve">Status: Accepted — decision ratified at Phase 00; implementation is Phase 22 scope (no packaging configuration exists in the repository yet); formal owner counter-signature pending baseline v2.0 sign-off</w:t>
      </w:r>
    </w:p>
    <w:p>
      <w:pPr>
        <w:pStyle w:val="Compact"/>
        <w:numPr>
          <w:ilvl w:val="0"/>
          <w:numId w:val="1060"/>
        </w:numPr>
      </w:pPr>
      <w:r>
        <w:t xml:space="preserve">Date: 2026-05-30</w:t>
      </w:r>
    </w:p>
    <w:p>
      <w:pPr>
        <w:pStyle w:val="Compact"/>
        <w:numPr>
          <w:ilvl w:val="0"/>
          <w:numId w:val="1060"/>
        </w:numPr>
      </w:pPr>
      <w:r>
        <w:t xml:space="preserve">Deciders: Product owner (Chwezi Core Systems), Engineering lead</w:t>
      </w:r>
    </w:p>
    <w:bookmarkStart w:id="97" w:name="context-8"/>
    <w:p>
      <w:pPr>
        <w:pStyle w:val="Heading2"/>
      </w:pPr>
      <w:r>
        <w:rPr>
          <w:rStyle w:val="SectionNumber"/>
          <w:rFonts w:ascii="Spectral" w:hAnsi="Spectral" w:eastAsia="Spectral"/>
          <w:color w:val="132338"/>
        </w:rPr>
        <w:t xml:space="preserve">10.1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ships to Windows and macOS as a signed desktop application with an auto-update path. The security baseline requires code-signed public builds, signature verification before an update installs, an authenticated integrity-checked update channel, and an update descriptor signature-verified independently of transport. Two distribution contexts coexist: a direct download channel the team controls on both platforms, and managed channels — the Microsoft Store and enterprise deployment — that expect a packaged, policy-deployable format on Windows. macOS direct distribution additionally requires Developer ID signing and Apple notarization. The packaging choice must serve both contexts without two unrelated release pipelines.</w:t>
      </w:r>
    </w:p>
    <w:bookmarkEnd w:id="97"/>
    <w:bookmarkStart w:id="98" w:name="decision-drivers-8"/>
    <w:p>
      <w:pPr>
        <w:pStyle w:val="Heading2"/>
      </w:pPr>
      <w:r>
        <w:rPr>
          <w:rStyle w:val="SectionNumber"/>
          <w:rFonts w:ascii="Spectral" w:hAnsi="Spectral" w:eastAsia="Spectral"/>
          <w:color w:val="132338"/>
        </w:rPr>
        <w:t xml:space="preserve">10.2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61"/>
        </w:numPr>
      </w:pPr>
      <w:r>
        <w:t xml:space="preserve">Code-signed builds with verified, signature-checked, integrity-checked updates (NFR-PROD-012).</w:t>
      </w:r>
    </w:p>
    <w:p>
      <w:pPr>
        <w:pStyle w:val="Compact"/>
        <w:numPr>
          <w:ilvl w:val="0"/>
          <w:numId w:val="1061"/>
        </w:numPr>
      </w:pPr>
      <w:r>
        <w:t xml:space="preserve">A direct download channel the team controls for both Windows and macOS.</w:t>
      </w:r>
    </w:p>
    <w:p>
      <w:pPr>
        <w:pStyle w:val="Compact"/>
        <w:numPr>
          <w:ilvl w:val="0"/>
          <w:numId w:val="1061"/>
        </w:numPr>
      </w:pPr>
      <w:r>
        <w:t xml:space="preserve">A Store- and enterprise-deployable package format on Windows.</w:t>
      </w:r>
    </w:p>
    <w:p>
      <w:pPr>
        <w:pStyle w:val="Compact"/>
        <w:numPr>
          <w:ilvl w:val="0"/>
          <w:numId w:val="1061"/>
        </w:numPr>
      </w:pPr>
      <w:r>
        <w:t xml:space="preserve">macOS Developer ID signing and notarization for direct distribution.</w:t>
      </w:r>
    </w:p>
    <w:p>
      <w:pPr>
        <w:pStyle w:val="Compact"/>
        <w:numPr>
          <w:ilvl w:val="0"/>
          <w:numId w:val="1061"/>
        </w:numPr>
      </w:pPr>
      <w:r>
        <w:t xml:space="preserve">One coherent release pipeline rather than disconnected per-channel toolchains.</w:t>
      </w:r>
    </w:p>
    <w:bookmarkEnd w:id="98"/>
    <w:bookmarkStart w:id="102" w:name="considered-options-8"/>
    <w:p>
      <w:pPr>
        <w:pStyle w:val="Heading2"/>
      </w:pPr>
      <w:r>
        <w:rPr>
          <w:rStyle w:val="SectionNumber"/>
          <w:rFonts w:ascii="Spectral" w:hAnsi="Spectral" w:eastAsia="Spectral"/>
          <w:color w:val="132338"/>
        </w:rPr>
        <w:t xml:space="preserve">10.3</w:t>
      </w:r>
      <w:r>
        <w:rPr>
          <w:rFonts w:ascii="Spectral" w:hAnsi="Spectral" w:eastAsia="Spectral"/>
          <w:color w:val="132338"/>
        </w:rPr>
        <w:tab/>
      </w:r>
      <w:r>
        <w:rPr>
          <w:rFonts w:ascii="Spectral" w:hAnsi="Spectral" w:eastAsia="Spectral"/>
          <w:color w:val="132338"/>
        </w:rPr>
        <w:t xml:space="preserve">Considered Options</w:t>
      </w:r>
    </w:p>
    <w:bookmarkStart w:id="99" w:name="X62d1736addacd7dbac56ba614143bc0be39f745"/>
    <w:p>
      <w:pPr>
        <w:pStyle w:val="Heading3"/>
      </w:pPr>
      <w:r>
        <w:rPr>
          <w:rStyle w:val="SectionNumber"/>
          <w:rFonts w:ascii="Spectral" w:hAnsi="Spectral" w:eastAsia="Spectral"/>
          <w:color w:val="132338"/>
        </w:rPr>
        <w:t xml:space="preserve">10.3.1</w:t>
      </w:r>
      <w:r>
        <w:rPr>
          <w:rFonts w:ascii="Spectral" w:hAnsi="Spectral" w:eastAsia="Spectral"/>
          <w:color w:val="132338"/>
        </w:rPr>
        <w:tab/>
      </w:r>
      <w:r>
        <w:rPr>
          <w:rFonts w:ascii="Spectral" w:hAnsi="Spectral" w:eastAsia="Spectral"/>
          <w:color w:val="132338"/>
        </w:rPr>
        <w:t xml:space="preserve">Option A — Velopack for direct distribution plus MSIX for Store and enterprise</w:t>
      </w:r>
    </w:p>
    <w:p>
      <w:pPr>
        <w:pStyle w:val="Compact"/>
        <w:numPr>
          <w:ilvl w:val="0"/>
          <w:numId w:val="1062"/>
        </w:numPr>
      </w:pPr>
      <w:r>
        <w:t xml:space="preserve">Pros: Velopack provides cross-platform direct installers and delta auto-updates with signature verification; MSIX provides the Store- and enterprise-policy-deployable Windows package; both are produced from one build.</w:t>
      </w:r>
    </w:p>
    <w:p>
      <w:pPr>
        <w:pStyle w:val="Compact"/>
        <w:numPr>
          <w:ilvl w:val="0"/>
          <w:numId w:val="1062"/>
        </w:numPr>
      </w:pPr>
      <w:r>
        <w:t xml:space="preserve">Cons: two packaging targets must be produced, signed, and tested each release.</w:t>
      </w:r>
    </w:p>
    <w:bookmarkEnd w:id="99"/>
    <w:bookmarkStart w:id="100" w:name="option-b--velopack-only"/>
    <w:p>
      <w:pPr>
        <w:pStyle w:val="Heading3"/>
      </w:pPr>
      <w:r>
        <w:rPr>
          <w:rStyle w:val="SectionNumber"/>
          <w:rFonts w:ascii="Spectral" w:hAnsi="Spectral" w:eastAsia="Spectral"/>
          <w:color w:val="132338"/>
        </w:rPr>
        <w:t xml:space="preserve">10.3.2</w:t>
      </w:r>
      <w:r>
        <w:rPr>
          <w:rFonts w:ascii="Spectral" w:hAnsi="Spectral" w:eastAsia="Spectral"/>
          <w:color w:val="132338"/>
        </w:rPr>
        <w:tab/>
      </w:r>
      <w:r>
        <w:rPr>
          <w:rFonts w:ascii="Spectral" w:hAnsi="Spectral" w:eastAsia="Spectral"/>
          <w:color w:val="132338"/>
        </w:rPr>
        <w:t xml:space="preserve">Option B — Velopack only</w:t>
      </w:r>
    </w:p>
    <w:p>
      <w:pPr>
        <w:pStyle w:val="Compact"/>
        <w:numPr>
          <w:ilvl w:val="0"/>
          <w:numId w:val="1063"/>
        </w:numPr>
      </w:pPr>
      <w:r>
        <w:t xml:space="preserve">Pros: one packaging tool; full control of the update feed.</w:t>
      </w:r>
    </w:p>
    <w:p>
      <w:pPr>
        <w:pStyle w:val="Compact"/>
        <w:numPr>
          <w:ilvl w:val="0"/>
          <w:numId w:val="1063"/>
        </w:numPr>
      </w:pPr>
      <w:r>
        <w:t xml:space="preserve">Cons: no Microsoft Store presence and a weaker enterprise policy-deployment story on Windows.</w:t>
      </w:r>
    </w:p>
    <w:bookmarkEnd w:id="100"/>
    <w:bookmarkStart w:id="101" w:name="Xaca000219fb05250eb95050e66190b197f020e6"/>
    <w:p>
      <w:pPr>
        <w:pStyle w:val="Heading3"/>
      </w:pPr>
      <w:r>
        <w:rPr>
          <w:rStyle w:val="SectionNumber"/>
          <w:rFonts w:ascii="Spectral" w:hAnsi="Spectral" w:eastAsia="Spectral"/>
          <w:color w:val="132338"/>
        </w:rPr>
        <w:t xml:space="preserve">10.3.3</w:t>
      </w:r>
      <w:r>
        <w:rPr>
          <w:rFonts w:ascii="Spectral" w:hAnsi="Spectral" w:eastAsia="Spectral"/>
          <w:color w:val="132338"/>
        </w:rPr>
        <w:tab/>
      </w:r>
      <w:r>
        <w:rPr>
          <w:rFonts w:ascii="Spectral" w:hAnsi="Spectral" w:eastAsia="Spectral"/>
          <w:color w:val="132338"/>
        </w:rPr>
        <w:t xml:space="preserve">Option C — MSIX only on Windows, native pkg on macOS, no unified updater</w:t>
      </w:r>
    </w:p>
    <w:p>
      <w:pPr>
        <w:pStyle w:val="Compact"/>
        <w:numPr>
          <w:ilvl w:val="0"/>
          <w:numId w:val="1064"/>
        </w:numPr>
      </w:pPr>
      <w:r>
        <w:t xml:space="preserve">Pros: most native to each platform's managed channel.</w:t>
      </w:r>
    </w:p>
    <w:p>
      <w:pPr>
        <w:pStyle w:val="Compact"/>
        <w:numPr>
          <w:ilvl w:val="0"/>
          <w:numId w:val="1064"/>
        </w:numPr>
      </w:pPr>
      <w:r>
        <w:t xml:space="preserve">Cons: no controlled cross-platform direct-download auto-update feed; loses delta updates and a single update path.</w:t>
      </w:r>
    </w:p>
    <w:bookmarkEnd w:id="101"/>
    <w:bookmarkEnd w:id="102"/>
    <w:bookmarkStart w:id="103" w:name="decision-outcome-8"/>
    <w:p>
      <w:pPr>
        <w:pStyle w:val="Heading2"/>
      </w:pPr>
      <w:r>
        <w:rPr>
          <w:rStyle w:val="SectionNumber"/>
          <w:rFonts w:ascii="Spectral" w:hAnsi="Spectral" w:eastAsia="Spectral"/>
          <w:color w:val="132338"/>
        </w:rPr>
        <w:t xml:space="preserve">10.4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Velopack for direct Windows and macOS distribution and MSIX for the Microsoft Store and enterprise policy deployment on Windows. macOS builds are Developer ID signed and notarized. Both packaging targets are produced from the same build pipeline; update descriptors are signature-verified independently of transport regardless of channel.</w:t>
      </w:r>
    </w:p>
    <w:bookmarkEnd w:id="103"/>
    <w:bookmarkStart w:id="104" w:name="evidence-of-implementation-8"/>
    <w:p>
      <w:pPr>
        <w:pStyle w:val="Heading2"/>
      </w:pPr>
      <w:r>
        <w:rPr>
          <w:rStyle w:val="SectionNumber"/>
          <w:rFonts w:ascii="Spectral" w:hAnsi="Spectral" w:eastAsia="Spectral"/>
          <w:color w:val="132338"/>
        </w:rPr>
        <w:t xml:space="preserve">10.5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65"/>
        </w:numPr>
      </w:pPr>
      <w:r>
        <w:t xml:space="preserve">This ADR is</w:t>
      </w:r>
      <w:r>
        <w:t xml:space="preserve"> </w:t>
      </w:r>
      <w:r>
        <w:rPr>
          <w:b/>
          <w:bCs/>
        </w:rPr>
        <w:t xml:space="preserve">decision-ratified but not yet implementation-ratified</w:t>
      </w:r>
      <w:r>
        <w:t xml:space="preserve">: as of 2026-07-06 the repository contains no Velopack or MSIX configuration. Packaging, signing, and store submission are Phase 22 scope, per</w:t>
      </w:r>
      <w:r>
        <w:t xml:space="preserve"> </w:t>
      </w:r>
      <w:r>
        <w:rPr>
          <w:rStyle w:val="VerbatimChar"/>
        </w:rPr>
        <w:t xml:space="preserve">_context/build-status.md</w:t>
      </w:r>
      <w:r>
        <w:t xml:space="preserve">.</w:t>
      </w:r>
    </w:p>
    <w:p>
      <w:pPr>
        <w:pStyle w:val="Compact"/>
        <w:numPr>
          <w:ilvl w:val="0"/>
          <w:numId w:val="1065"/>
        </w:numPr>
      </w:pPr>
      <w:r>
        <w:t xml:space="preserve">Implementation constraints already accumulated for Phase 22 and binding on it: bundle Tesseract native assets and</w:t>
      </w:r>
      <w:r>
        <w:t xml:space="preserve"> </w:t>
      </w:r>
      <w:r>
        <w:rPr>
          <w:rStyle w:val="VerbatimChar"/>
        </w:rPr>
        <w:t xml:space="preserve">tessdata/eng.traineddata</w:t>
      </w:r>
      <w:r>
        <w:t xml:space="preserve"> </w:t>
      </w:r>
      <w:r>
        <w:t xml:space="preserve">(ADR-0011); sign native PDFium interop per platform (ADR-0004); package the WebView2 runtime dependency (ADR-0003); add the host-mode firewall rule for UDP 5353 to the installer (ADR-0010); add PDFtoImage and PDFium to</w:t>
      </w:r>
      <w:r>
        <w:t xml:space="preserve"> </w:t>
      </w:r>
      <w:r>
        <w:rPr>
          <w:rStyle w:val="VerbatimChar"/>
        </w:rPr>
        <w:t xml:space="preserve">THIRD-PARTY-NOTICES.md</w:t>
      </w:r>
      <w:r>
        <w:t xml:space="preserve">.</w:t>
      </w:r>
    </w:p>
    <w:p>
      <w:pPr>
        <w:pStyle w:val="Compact"/>
        <w:numPr>
          <w:ilvl w:val="0"/>
          <w:numId w:val="1065"/>
        </w:numPr>
      </w:pPr>
      <w:r>
        <w:t xml:space="preserve">Premium PNG icon procurement from the owner is outstanding and is a release blocker by policy (placeholders in</w:t>
      </w:r>
      <w:r>
        <w:t xml:space="preserve"> </w:t>
      </w:r>
      <w:r>
        <w:rPr>
          <w:rStyle w:val="VerbatimChar"/>
        </w:rPr>
        <w:t xml:space="preserve">IconCatalog.cs</w:t>
      </w:r>
      <w:r>
        <w:t xml:space="preserve">).</w:t>
      </w:r>
    </w:p>
    <w:bookmarkEnd w:id="104"/>
    <w:bookmarkStart w:id="105" w:name="consequences-8"/>
    <w:p>
      <w:pPr>
        <w:pStyle w:val="Heading2"/>
      </w:pPr>
      <w:r>
        <w:rPr>
          <w:rStyle w:val="SectionNumber"/>
          <w:rFonts w:ascii="Spectral" w:hAnsi="Spectral" w:eastAsia="Spectral"/>
          <w:color w:val="132338"/>
        </w:rPr>
        <w:t xml:space="preserve">10.6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66"/>
        </w:numPr>
      </w:pPr>
      <w:r>
        <w:t xml:space="preserve">Positive: the direct channel gets controlled, signed, delta auto-updates on both platforms; the Store and enterprise channels get a policy-deployable Windows package.</w:t>
      </w:r>
    </w:p>
    <w:p>
      <w:pPr>
        <w:pStyle w:val="Compact"/>
        <w:numPr>
          <w:ilvl w:val="0"/>
          <w:numId w:val="1066"/>
        </w:numPr>
      </w:pPr>
      <w:r>
        <w:t xml:space="preserve">Negative: two packaging targets must be built, signed, and tested each release; Authenticode and Apple Developer ID signing material must be provisioned, secured, and rotated.</w:t>
      </w:r>
    </w:p>
    <w:p>
      <w:pPr>
        <w:pStyle w:val="Compact"/>
        <w:numPr>
          <w:ilvl w:val="0"/>
          <w:numId w:val="1066"/>
        </w:numPr>
      </w:pPr>
      <w:r>
        <w:t xml:space="preserve">Affects: NFR-PROD-012 (signing and secure update verification); ADR-0001, ADR-0003, ADR-0004, ADR-0010, ADR-0011 (assets that must ship in the packages); Phase 22.</w:t>
      </w:r>
    </w:p>
    <w:bookmarkEnd w:id="105"/>
    <w:bookmarkEnd w:id="106"/>
    <w:bookmarkStart w:id="118" w:name="Xcb35468c863ae2d30c599443dff461306bbb69b"/>
    <w:p>
      <w:pPr>
        <w:pStyle w:val="Heading1"/>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ADR-0010: Opt-In Library Host Mode Amends CI-2 for the Classroom Track</w:t>
      </w:r>
    </w:p>
    <w:p>
      <w:pPr>
        <w:pStyle w:val="Compact"/>
        <w:numPr>
          <w:ilvl w:val="0"/>
          <w:numId w:val="1067"/>
        </w:numPr>
      </w:pPr>
      <w:r>
        <w:t xml:space="preserve">ID:</w:t>
      </w:r>
      <w:r>
        <w:t xml:space="preserve"> </w:t>
      </w:r>
      <w:r>
        <w:rPr>
          <w:b/>
          <w:bCs/>
        </w:rPr>
        <w:t xml:space="preserve">ADR-0010</w:t>
      </w:r>
    </w:p>
    <w:p>
      <w:pPr>
        <w:pStyle w:val="Compact"/>
        <w:numPr>
          <w:ilvl w:val="0"/>
          <w:numId w:val="1067"/>
        </w:numPr>
      </w:pPr>
      <w:r>
        <w:t xml:space="preserve">Status: Accepted — ratified in implementation (Phase 16 host mode is built); formal owner counter-signature pending baseline v2.0 sign-off</w:t>
      </w:r>
    </w:p>
    <w:p>
      <w:pPr>
        <w:pStyle w:val="Compact"/>
        <w:numPr>
          <w:ilvl w:val="0"/>
          <w:numId w:val="1067"/>
        </w:numPr>
      </w:pPr>
      <w:r>
        <w:t xml:space="preserve">Date: 2026-05-30</w:t>
      </w:r>
    </w:p>
    <w:p>
      <w:pPr>
        <w:pStyle w:val="Compact"/>
        <w:numPr>
          <w:ilvl w:val="0"/>
          <w:numId w:val="1067"/>
        </w:numPr>
      </w:pPr>
      <w:r>
        <w:t xml:space="preserve">Deciders: Product owner (Chwezi Core Systems), Engineering lead</w:t>
      </w:r>
    </w:p>
    <w:bookmarkStart w:id="107" w:name="context-9"/>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signed v1.0 baseline contains constraint CI-2: "The application opens no inbound network listener and exposes no server endpoint." The owner's expanded vision introduces a classroom use case in which a central computer (the Library Host) holds the PDF folder and catalogue of record, and student computers on the local area network browse, read, and search against it. This requires exactly the inbound listener CI-2 forbids. The resolution is not to delete CI-2 but to scope it: CI-2 remains the mandatory default for the single-user standalone product, and a deliberately designed, opt-in</w:t>
      </w:r>
      <w:r>
        <w:t xml:space="preserve"> </w:t>
      </w:r>
      <w:r>
        <w:rPr>
          <w:b/>
          <w:bCs/>
        </w:rPr>
        <w:t xml:space="preserve">Library Host mode</w:t>
      </w:r>
      <w:r>
        <w:t xml:space="preserve"> </w:t>
      </w:r>
      <w:r>
        <w:t xml:space="preserve">introduces a LAN server surface with its own threat model, transport security, isolation controls, and activation gate. The same Avalonia/.NET 10 binary runs in one of three runtime modes — Standalone (default, no listener), Library Host, Client/Classroom — as configuration, not separate products.</w:t>
      </w:r>
    </w:p>
    <w:bookmarkEnd w:id="107"/>
    <w:bookmarkStart w:id="108" w:name="decision-drivers-9"/>
    <w:p>
      <w:pPr>
        <w:pStyle w:val="Heading2"/>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68"/>
        </w:numPr>
      </w:pPr>
      <w:r>
        <w:t xml:space="preserve">Preserve CI-2 for the single-user product: no listener opens unless an administrator explicitly activates host mode.</w:t>
      </w:r>
    </w:p>
    <w:p>
      <w:pPr>
        <w:pStyle w:val="Compact"/>
        <w:numPr>
          <w:ilvl w:val="0"/>
          <w:numId w:val="1068"/>
        </w:numPr>
      </w:pPr>
      <w:r>
        <w:t xml:space="preserve">Introduce a bounded, authenticated LAN server surface so classrooms share a curated collection without exporting PDFs to student machines.</w:t>
      </w:r>
    </w:p>
    <w:p>
      <w:pPr>
        <w:pStyle w:val="Compact"/>
        <w:numPr>
          <w:ilvl w:val="0"/>
          <w:numId w:val="1068"/>
        </w:numPr>
      </w:pPr>
      <w:r>
        <w:t xml:space="preserve">Isolate the inbound listener from the credential store and the untrusted-PDF worker boundary.</w:t>
      </w:r>
    </w:p>
    <w:p>
      <w:pPr>
        <w:pStyle w:val="Compact"/>
        <w:numPr>
          <w:ilvl w:val="0"/>
          <w:numId w:val="1068"/>
        </w:numPr>
      </w:pPr>
      <w:r>
        <w:t xml:space="preserve">Keep PDFs on the host by default: serve page renders or validated streams rather than distributing raw files.</w:t>
      </w:r>
    </w:p>
    <w:p>
      <w:pPr>
        <w:pStyle w:val="Compact"/>
        <w:numPr>
          <w:ilvl w:val="0"/>
          <w:numId w:val="1068"/>
        </w:numPr>
      </w:pPr>
      <w:r>
        <w:t xml:space="preserve">Preserve student privacy: per-student reading state and AI history stay private to the student.</w:t>
      </w:r>
    </w:p>
    <w:p>
      <w:pPr>
        <w:pStyle w:val="Compact"/>
        <w:numPr>
          <w:ilvl w:val="0"/>
          <w:numId w:val="1068"/>
        </w:numPr>
      </w:pPr>
      <w:r>
        <w:t xml:space="preserve">Prove the transport by spike before committing Phase 16 implementation.</w:t>
      </w:r>
    </w:p>
    <w:bookmarkEnd w:id="108"/>
    <w:bookmarkStart w:id="113" w:name="considered-options-9"/>
    <w:p>
      <w:pPr>
        <w:pStyle w:val="Heading2"/>
      </w:pPr>
      <w:r>
        <w:rPr>
          <w:rStyle w:val="SectionNumber"/>
          <w:rFonts w:ascii="Spectral" w:hAnsi="Spectral" w:eastAsia="Spectral"/>
          <w:color w:val="132338"/>
        </w:rPr>
        <w:t xml:space="preserve">11.3</w:t>
      </w:r>
      <w:r>
        <w:rPr>
          <w:rFonts w:ascii="Spectral" w:hAnsi="Spectral" w:eastAsia="Spectral"/>
          <w:color w:val="132338"/>
        </w:rPr>
        <w:tab/>
      </w:r>
      <w:r>
        <w:rPr>
          <w:rFonts w:ascii="Spectral" w:hAnsi="Spectral" w:eastAsia="Spectral"/>
          <w:color w:val="132338"/>
        </w:rPr>
        <w:t xml:space="preserve">Considered Options</w:t>
      </w:r>
    </w:p>
    <w:bookmarkStart w:id="109" w:name="X4be59655be170f9207a41937702e45bf5b6d472"/>
    <w:p>
      <w:pPr>
        <w:pStyle w:val="Heading3"/>
      </w:pPr>
      <w:r>
        <w:rPr>
          <w:rStyle w:val="SectionNumber"/>
          <w:rFonts w:ascii="Spectral" w:hAnsi="Spectral" w:eastAsia="Spectral"/>
          <w:color w:val="132338"/>
        </w:rPr>
        <w:t xml:space="preserve">11.3.1</w:t>
      </w:r>
      <w:r>
        <w:rPr>
          <w:rFonts w:ascii="Spectral" w:hAnsi="Spectral" w:eastAsia="Spectral"/>
          <w:color w:val="132338"/>
        </w:rPr>
        <w:tab/>
      </w:r>
      <w:r>
        <w:rPr>
          <w:rFonts w:ascii="Spectral" w:hAnsi="Spectral" w:eastAsia="Spectral"/>
          <w:color w:val="132338"/>
        </w:rPr>
        <w:t xml:space="preserve">Option A — Opt-in host mode scoping CI-2, with isolation and trust-pinned transport</w:t>
      </w:r>
    </w:p>
    <w:p>
      <w:pPr>
        <w:pStyle w:val="Compact"/>
        <w:numPr>
          <w:ilvl w:val="0"/>
          <w:numId w:val="1069"/>
        </w:numPr>
      </w:pPr>
      <w:r>
        <w:t xml:space="preserve">Pros: CI-2 preserved as the default; the listener is bounded to one context isolated from credentials and workers; encrypted authenticated transport; zero-config mDNS discovery with manual-address fallback; extensible to ADR-0012/ADR-0013 without structural revision.</w:t>
      </w:r>
    </w:p>
    <w:p>
      <w:pPr>
        <w:pStyle w:val="Compact"/>
        <w:numPr>
          <w:ilvl w:val="0"/>
          <w:numId w:val="1069"/>
        </w:numPr>
      </w:pPr>
      <w:r>
        <w:t xml:space="preserve">Cons: the host's inbound surface becomes the highest-risk asset and requires a full STRIDE threat model in Phase 19; certificate trust provisioning adds an admin setup step; desktop-class capacity (~20–40 concurrent clients) must be benchmarked in Phase 20.</w:t>
      </w:r>
    </w:p>
    <w:bookmarkEnd w:id="109"/>
    <w:bookmarkStart w:id="110" w:name="Xdeaf13eef02bf277c13434b78b6bc58f1f64960"/>
    <w:p>
      <w:pPr>
        <w:pStyle w:val="Heading3"/>
      </w:pPr>
      <w:r>
        <w:rPr>
          <w:rStyle w:val="SectionNumber"/>
          <w:rFonts w:ascii="Spectral" w:hAnsi="Spectral" w:eastAsia="Spectral"/>
          <w:color w:val="132338"/>
        </w:rPr>
        <w:t xml:space="preserve">11.3.2</w:t>
      </w:r>
      <w:r>
        <w:rPr>
          <w:rFonts w:ascii="Spectral" w:hAnsi="Spectral" w:eastAsia="Spectral"/>
          <w:color w:val="132338"/>
        </w:rPr>
        <w:tab/>
      </w:r>
      <w:r>
        <w:rPr>
          <w:rFonts w:ascii="Spectral" w:hAnsi="Spectral" w:eastAsia="Spectral"/>
          <w:color w:val="132338"/>
        </w:rPr>
        <w:t xml:space="preserve">Option B — A separate host binary / separate product</w:t>
      </w:r>
    </w:p>
    <w:p>
      <w:pPr>
        <w:pStyle w:val="Compact"/>
        <w:numPr>
          <w:ilvl w:val="0"/>
          <w:numId w:val="1070"/>
        </w:numPr>
      </w:pPr>
      <w:r>
        <w:t xml:space="preserve">Pros: the standalone threat surface is untouched.</w:t>
      </w:r>
    </w:p>
    <w:p>
      <w:pPr>
        <w:pStyle w:val="Compact"/>
        <w:numPr>
          <w:ilvl w:val="0"/>
          <w:numId w:val="1070"/>
        </w:numPr>
      </w:pPr>
      <w:r>
        <w:t xml:space="preserve">Cons: two codebases diverge immediately; catalogue, reader, PDF, and search logic maintained twice; contradicts one-codebase-three-modes.</w:t>
      </w:r>
    </w:p>
    <w:bookmarkEnd w:id="110"/>
    <w:bookmarkStart w:id="111" w:name="Xf3c2ade908fc69d5713c8067c182c2422b39bbd"/>
    <w:p>
      <w:pPr>
        <w:pStyle w:val="Heading3"/>
      </w:pPr>
      <w:r>
        <w:rPr>
          <w:rStyle w:val="SectionNumber"/>
          <w:rFonts w:ascii="Spectral" w:hAnsi="Spectral" w:eastAsia="Spectral"/>
          <w:color w:val="132338"/>
        </w:rPr>
        <w:t xml:space="preserve">11.3.3</w:t>
      </w:r>
      <w:r>
        <w:rPr>
          <w:rFonts w:ascii="Spectral" w:hAnsi="Spectral" w:eastAsia="Spectral"/>
          <w:color w:val="132338"/>
        </w:rPr>
        <w:tab/>
      </w:r>
      <w:r>
        <w:rPr>
          <w:rFonts w:ascii="Spectral" w:hAnsi="Spectral" w:eastAsia="Spectral"/>
          <w:color w:val="132338"/>
        </w:rPr>
        <w:t xml:space="preserve">Option C — Peer-to-peer file sharing without a host role</w:t>
      </w:r>
    </w:p>
    <w:p>
      <w:pPr>
        <w:pStyle w:val="Compact"/>
        <w:numPr>
          <w:ilvl w:val="0"/>
          <w:numId w:val="1071"/>
        </w:numPr>
      </w:pPr>
      <w:r>
        <w:t xml:space="preserve">Pros: no single inbound listener.</w:t>
      </w:r>
    </w:p>
    <w:p>
      <w:pPr>
        <w:pStyle w:val="Compact"/>
        <w:numPr>
          <w:ilvl w:val="0"/>
          <w:numId w:val="1071"/>
        </w:numPr>
      </w:pPr>
      <w:r>
        <w:t xml:space="preserve">Cons: no central catalogue of record; the PDF corpus replicates to every student machine; no single AI-key egress point for ADR-0013; audit and curation unworkable.</w:t>
      </w:r>
    </w:p>
    <w:bookmarkEnd w:id="111"/>
    <w:bookmarkStart w:id="112" w:name="X0ae94d9fb831c638a4095714b573d863bc69861"/>
    <w:p>
      <w:pPr>
        <w:pStyle w:val="Heading3"/>
      </w:pPr>
      <w:r>
        <w:rPr>
          <w:rStyle w:val="SectionNumber"/>
          <w:rFonts w:ascii="Spectral" w:hAnsi="Spectral" w:eastAsia="Spectral"/>
          <w:color w:val="132338"/>
        </w:rPr>
        <w:t xml:space="preserve">11.3.4</w:t>
      </w:r>
      <w:r>
        <w:rPr>
          <w:rFonts w:ascii="Spectral" w:hAnsi="Spectral" w:eastAsia="Spectral"/>
          <w:color w:val="132338"/>
        </w:rPr>
        <w:tab/>
      </w:r>
      <w:r>
        <w:rPr>
          <w:rFonts w:ascii="Spectral" w:hAnsi="Spectral" w:eastAsia="Spectral"/>
          <w:color w:val="132338"/>
        </w:rPr>
        <w:t xml:space="preserve">Option D — Cloud relay through an Ogma-operated service</w:t>
      </w:r>
    </w:p>
    <w:p>
      <w:pPr>
        <w:pStyle w:val="Compact"/>
        <w:numPr>
          <w:ilvl w:val="0"/>
          <w:numId w:val="1072"/>
        </w:numPr>
      </w:pPr>
      <w:r>
        <w:t xml:space="preserve">Pros: avoids LAN networking and self-signed certificates.</w:t>
      </w:r>
    </w:p>
    <w:p>
      <w:pPr>
        <w:pStyle w:val="Compact"/>
        <w:numPr>
          <w:ilvl w:val="0"/>
          <w:numId w:val="1072"/>
        </w:numPr>
      </w:pPr>
      <w:r>
        <w:t xml:space="preserve">Cons: requires internet; minors' data leaves the school's premises, raising GDPR/DPPA obligations; contradicts local-first and the owner's stated LAN use case; depends on a backend that does not exist.</w:t>
      </w:r>
    </w:p>
    <w:bookmarkEnd w:id="112"/>
    <w:bookmarkEnd w:id="113"/>
    <w:bookmarkStart w:id="114" w:name="decision-outcome-9"/>
    <w:p>
      <w:pPr>
        <w:pStyle w:val="Heading2"/>
      </w:pPr>
      <w:r>
        <w:rPr>
          <w:rStyle w:val="SectionNumber"/>
          <w:rFonts w:ascii="Spectral" w:hAnsi="Spectral" w:eastAsia="Spectral"/>
          <w:color w:val="132338"/>
        </w:rPr>
        <w:t xml:space="preserve">11.4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Introduce opt-in Library Host mode as a scoped amendment to CI-2: off by default; bounded to a dedicated host context that is the only place with an inbound listener; HTTPS-only transport over the LAN with a host-generated certificate and client-side trust pinning; zero-config mDNS/DNS-SD discovery with manual entry as fallback; PDF content stays on the host by default (page renders or validated streams, an admin setting per deployment); no inbound client write to the shared catalogue except authorised, audited use cases; host credential entries separated from standalone AI keys.</w:t>
      </w:r>
    </w:p>
    <w:bookmarkEnd w:id="114"/>
    <w:bookmarkStart w:id="115" w:name="spike-and-amendment-record-2"/>
    <w:p>
      <w:pPr>
        <w:pStyle w:val="Heading2"/>
      </w:pPr>
      <w:r>
        <w:rPr>
          <w:rStyle w:val="SectionNumber"/>
          <w:rFonts w:ascii="Spectral" w:hAnsi="Spectral" w:eastAsia="Spectral"/>
          <w:color w:val="132338"/>
        </w:rPr>
        <w:t xml:space="preserve">11.5</w:t>
      </w:r>
      <w:r>
        <w:rPr>
          <w:rFonts w:ascii="Spectral" w:hAnsi="Spectral" w:eastAsia="Spectral"/>
          <w:color w:val="132338"/>
        </w:rPr>
        <w:tab/>
      </w:r>
      <w:r>
        <w:rPr>
          <w:rFonts w:ascii="Spectral" w:hAnsi="Spectral" w:eastAsia="Spectral"/>
          <w:color w:val="132338"/>
        </w:rPr>
        <w:t xml:space="preserve">Spike and Amendment Record</w:t>
      </w:r>
    </w:p>
    <w:p>
      <w:pPr>
        <w:pStyle w:val="FirstParagraph"/>
      </w:pPr>
      <w:r>
        <w:t xml:space="preserve">Phase 01 Spike 7 (2026-05-30) fixed the transport stack: a minimal .NET 10</w:t>
      </w:r>
      <w:r>
        <w:t xml:space="preserve"> </w:t>
      </w:r>
      <w:r>
        <w:rPr>
          <w:b/>
          <w:bCs/>
        </w:rPr>
        <w:t xml:space="preserve">Kestrel HTTPS</w:t>
      </w:r>
      <w:r>
        <w:t xml:space="preserve"> </w:t>
      </w:r>
      <w:r>
        <w:t xml:space="preserve">server streamed a 10 MB payload at 196.75 MB/s over loopback — 39 times the ≥ 5 MB/s acceptance bar — and</w:t>
      </w:r>
      <w:r>
        <w:t xml:space="preserve"> </w:t>
      </w:r>
      <w:r>
        <w:rPr>
          <w:b/>
          <w:bCs/>
        </w:rPr>
        <w:t xml:space="preserve">Makaretu.Dns.Multicast</w:t>
      </w:r>
      <w:r>
        <w:t xml:space="preserve"> </w:t>
      </w:r>
      <w:r>
        <w:t xml:space="preserve">advertising</w:t>
      </w:r>
      <w:r>
        <w:t xml:space="preserve"> </w:t>
      </w:r>
      <w:r>
        <w:rPr>
          <w:rStyle w:val="VerbatimChar"/>
        </w:rPr>
        <w:t xml:space="preserve">_ogma._tcp</w:t>
      </w:r>
      <w:r>
        <w:t xml:space="preserve"> </w:t>
      </w:r>
      <w:r>
        <w:t xml:space="preserve">compiled and loaded cleanly. mDNS latency was not measured because the dev-box firewall blocked UDP 5353; the installer must therefore add a UDP 5353 firewall rule (constraint carried to Phase 22, ADR-0009), with manual host-address entry as the documented fallback (</w:t>
      </w:r>
      <w:r>
        <w:rPr>
          <w:rStyle w:val="VerbatimChar"/>
        </w:rPr>
        <w:t xml:space="preserve">TRACK-P01-S7-MDNS</w:t>
      </w:r>
      <w:r>
        <w:t xml:space="preserve">).</w:t>
      </w:r>
    </w:p>
    <w:bookmarkEnd w:id="115"/>
    <w:bookmarkStart w:id="116" w:name="evidence-of-implementation-9"/>
    <w:p>
      <w:pPr>
        <w:pStyle w:val="Heading2"/>
      </w:pPr>
      <w:r>
        <w:rPr>
          <w:rStyle w:val="SectionNumber"/>
          <w:rFonts w:ascii="Spectral" w:hAnsi="Spectral" w:eastAsia="Spectral"/>
          <w:color w:val="132338"/>
        </w:rPr>
        <w:t xml:space="preserve">11.6</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73"/>
        </w:numPr>
      </w:pPr>
      <w:r>
        <w:rPr>
          <w:rStyle w:val="VerbatimChar"/>
        </w:rPr>
        <w:t xml:space="preserve">KestrelHostModeListener</w:t>
      </w:r>
      <w:r>
        <w:t xml:space="preserve"> </w:t>
      </w:r>
      <w:r>
        <w:t xml:space="preserve">(</w:t>
      </w:r>
      <w:r>
        <w:rPr>
          <w:rStyle w:val="VerbatimChar"/>
        </w:rPr>
        <w:t xml:space="preserve">src/OgmaLibrary.Infrastructure/LanHost</w:t>
      </w:r>
      <w:r>
        <w:t xml:space="preserve">) implements the opt-in listener and its full versioned endpoint set (</w:t>
      </w:r>
      <w:r>
        <w:rPr>
          <w:rStyle w:val="VerbatimChar"/>
        </w:rPr>
        <w:t xml:space="preserve">/api/v1/health</w:t>
      </w:r>
      <w:r>
        <w:t xml:space="preserve">,</w:t>
      </w:r>
      <w:r>
        <w:t xml:space="preserve"> </w:t>
      </w:r>
      <w:r>
        <w:rPr>
          <w:rStyle w:val="VerbatimChar"/>
        </w:rPr>
        <w:t xml:space="preserve">/api/v1/auth/session</w:t>
      </w:r>
      <w:r>
        <w:t xml:space="preserve">, catalogue, search, assets, page render, file stream, AI proxy, profile sync);</w:t>
      </w:r>
      <w:r>
        <w:t xml:space="preserve"> </w:t>
      </w:r>
      <w:r>
        <w:rPr>
          <w:rStyle w:val="VerbatimChar"/>
        </w:rPr>
        <w:t xml:space="preserve">LibraryHostService</w:t>
      </w:r>
      <w:r>
        <w:t xml:space="preserve"> </w:t>
      </w:r>
      <w:r>
        <w:t xml:space="preserve">owns activation; the</w:t>
      </w:r>
      <w:r>
        <w:t xml:space="preserve"> </w:t>
      </w:r>
      <w:r>
        <w:rPr>
          <w:rStyle w:val="VerbatimChar"/>
        </w:rPr>
        <w:t xml:space="preserve">Phase16LanHostTables</w:t>
      </w:r>
      <w:r>
        <w:t xml:space="preserve"> </w:t>
      </w:r>
      <w:r>
        <w:t xml:space="preserve">migration adds</w:t>
      </w:r>
      <w:r>
        <w:t xml:space="preserve"> </w:t>
      </w:r>
      <w:r>
        <w:rPr>
          <w:rStyle w:val="VerbatimChar"/>
        </w:rPr>
        <w:t xml:space="preserve">HostModeSettings</w:t>
      </w:r>
      <w:r>
        <w:t xml:space="preserve"> </w:t>
      </w:r>
      <w:r>
        <w:t xml:space="preserve">(</w:t>
      </w:r>
      <w:r>
        <w:rPr>
          <w:rStyle w:val="VerbatimChar"/>
        </w:rPr>
        <w:t xml:space="preserve">IsEnabled</w:t>
      </w:r>
      <w:r>
        <w:t xml:space="preserve"> </w:t>
      </w:r>
      <w:r>
        <w:t xml:space="preserve">defaults off,</w:t>
      </w:r>
      <w:r>
        <w:t xml:space="preserve"> </w:t>
      </w:r>
      <w:r>
        <w:rPr>
          <w:rStyle w:val="VerbatimChar"/>
        </w:rPr>
        <w:t xml:space="preserve">Port</w:t>
      </w:r>
      <w:r>
        <w:t xml:space="preserve">,</w:t>
      </w:r>
      <w:r>
        <w:t xml:space="preserve"> </w:t>
      </w:r>
      <w:r>
        <w:rPr>
          <w:rStyle w:val="VerbatimChar"/>
        </w:rPr>
        <w:t xml:space="preserve">ContentMode</w:t>
      </w:r>
      <w:r>
        <w:t xml:space="preserve">,</w:t>
      </w:r>
      <w:r>
        <w:t xml:space="preserve"> </w:t>
      </w:r>
      <w:r>
        <w:rPr>
          <w:rStyle w:val="VerbatimChar"/>
        </w:rPr>
        <w:t xml:space="preserve">DisplayName</w:t>
      </w:r>
      <w:r>
        <w:t xml:space="preserve">) and</w:t>
      </w:r>
      <w:r>
        <w:t xml:space="preserve"> </w:t>
      </w:r>
      <w:r>
        <w:rPr>
          <w:rStyle w:val="VerbatimChar"/>
        </w:rPr>
        <w:t xml:space="preserve">HostClientSessions</w:t>
      </w:r>
      <w:r>
        <w:t xml:space="preserve"> </w:t>
      </w:r>
      <w:r>
        <w:t xml:space="preserve">(with</w:t>
      </w:r>
      <w:r>
        <w:t xml:space="preserve"> </w:t>
      </w:r>
      <w:r>
        <w:rPr>
          <w:rStyle w:val="VerbatimChar"/>
        </w:rPr>
        <w:t xml:space="preserve">ExpiresUtc</w:t>
      </w:r>
      <w:r>
        <w:t xml:space="preserve">/</w:t>
      </w:r>
      <w:r>
        <w:rPr>
          <w:rStyle w:val="VerbatimChar"/>
        </w:rPr>
        <w:t xml:space="preserve">RevokedUtc</w:t>
      </w:r>
      <w:r>
        <w:t xml:space="preserve"> </w:t>
      </w:r>
      <w:r>
        <w:t xml:space="preserve">for session revocation, FR-LAN-007).</w:t>
      </w:r>
    </w:p>
    <w:p>
      <w:pPr>
        <w:pStyle w:val="Compact"/>
        <w:numPr>
          <w:ilvl w:val="0"/>
          <w:numId w:val="1073"/>
        </w:numPr>
      </w:pPr>
      <w:r>
        <w:rPr>
          <w:rStyle w:val="VerbatimChar"/>
        </w:rPr>
        <w:t xml:space="preserve">LocalCertificateProvisioner</w:t>
      </w:r>
      <w:r>
        <w:t xml:space="preserve"> </w:t>
      </w:r>
      <w:r>
        <w:t xml:space="preserve">generates the host certificate (DPAPI-protected on Windows);</w:t>
      </w:r>
      <w:r>
        <w:t xml:space="preserve"> </w:t>
      </w:r>
      <w:r>
        <w:rPr>
          <w:rStyle w:val="VerbatimChar"/>
        </w:rPr>
        <w:t xml:space="preserve">MdnsAdvertiser</w:t>
      </w:r>
      <w:r>
        <w:t xml:space="preserve"> </w:t>
      </w:r>
      <w:r>
        <w:t xml:space="preserve">advertises</w:t>
      </w:r>
      <w:r>
        <w:t xml:space="preserve"> </w:t>
      </w:r>
      <w:r>
        <w:rPr>
          <w:rStyle w:val="VerbatimChar"/>
        </w:rPr>
        <w:t xml:space="preserve">_ogma._tcp</w:t>
      </w:r>
      <w:r>
        <w:t xml:space="preserve">;</w:t>
      </w:r>
      <w:r>
        <w:t xml:space="preserve"> </w:t>
      </w:r>
      <w:r>
        <w:rPr>
          <w:rStyle w:val="VerbatimChar"/>
        </w:rPr>
        <w:t xml:space="preserve">LanBookFileResolver</w:t>
      </w:r>
      <w:r>
        <w:t xml:space="preserve"> </w:t>
      </w:r>
      <w:r>
        <w:t xml:space="preserve">validates every served path against the published library root (FR-LAN-006, FR-LAN-009);</w:t>
      </w:r>
      <w:r>
        <w:t xml:space="preserve"> </w:t>
      </w:r>
      <w:r>
        <w:rPr>
          <w:rStyle w:val="VerbatimChar"/>
        </w:rPr>
        <w:t xml:space="preserve">LanPageRenderLimiter</w:t>
      </w:r>
      <w:r>
        <w:t xml:space="preserve"> </w:t>
      </w:r>
      <w:r>
        <w:t xml:space="preserve">bounds concurrent renders;</w:t>
      </w:r>
      <w:r>
        <w:t xml:space="preserve"> </w:t>
      </w:r>
      <w:r>
        <w:rPr>
          <w:rStyle w:val="VerbatimChar"/>
        </w:rPr>
        <w:t xml:space="preserve">LanClientAddressPolicy</w:t>
      </w:r>
      <w:r>
        <w:t xml:space="preserve"> </w:t>
      </w:r>
      <w:r>
        <w:t xml:space="preserve">restricts to LAN addresses.</w:t>
      </w:r>
    </w:p>
    <w:p>
      <w:pPr>
        <w:pStyle w:val="Compact"/>
        <w:numPr>
          <w:ilvl w:val="0"/>
          <w:numId w:val="1073"/>
        </w:numPr>
      </w:pPr>
      <w:r>
        <w:t xml:space="preserve">Residual (design-to-be): the STRIDE threat model, penetration exercise, and at-rest encryption are Phase 19; concurrency and render-throughput budgets are Phase 20; minors'-data DPIA per deployment jurisdiction accompanies any classroom rollout.</w:t>
      </w:r>
    </w:p>
    <w:bookmarkEnd w:id="116"/>
    <w:bookmarkStart w:id="117" w:name="consequences-9"/>
    <w:p>
      <w:pPr>
        <w:pStyle w:val="Heading2"/>
      </w:pPr>
      <w:r>
        <w:rPr>
          <w:rStyle w:val="SectionNumber"/>
          <w:rFonts w:ascii="Spectral" w:hAnsi="Spectral" w:eastAsia="Spectral"/>
          <w:color w:val="132338"/>
        </w:rPr>
        <w:t xml:space="preserve">11.7</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74"/>
        </w:numPr>
      </w:pPr>
      <w:r>
        <w:t xml:space="preserve">Positive: CI-2 holds for the standalone product; the classroom use case is realised in a single codebase; the corpus stays on the host; student privacy is structurally enforced.</w:t>
      </w:r>
    </w:p>
    <w:p>
      <w:pPr>
        <w:pStyle w:val="Compact"/>
        <w:numPr>
          <w:ilvl w:val="0"/>
          <w:numId w:val="1074"/>
        </w:numPr>
      </w:pPr>
      <w:r>
        <w:t xml:space="preserve">Negative: the host inbound surface is the new highest-risk asset (Phase 19 scope); certificate-trust UX must be error-resistant; desktop-class capacity constraints bind deployments.</w:t>
      </w:r>
    </w:p>
    <w:p>
      <w:pPr>
        <w:pStyle w:val="Compact"/>
        <w:numPr>
          <w:ilvl w:val="0"/>
          <w:numId w:val="1074"/>
        </w:numPr>
      </w:pPr>
      <w:r>
        <w:t xml:space="preserve">Affects: SRS CI-2 (scoped, not deleted); ADR-0007 (the gateway operates on the host for the class); ADR-0012 and ADR-0013 (build on this foundation); Phase 19 threat model; Phase 20 capacity budgets; Phase 22 installer firewall rule.</w:t>
      </w:r>
    </w:p>
    <w:bookmarkEnd w:id="117"/>
    <w:bookmarkEnd w:id="118"/>
    <w:bookmarkStart w:id="128" w:name="X5a7716fcb55d55166b65e8e19b0f1cabfb7222c"/>
    <w:p>
      <w:pPr>
        <w:pStyle w:val="Heading1"/>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ADR-0011: Run OCR Locally with Tesseract, Never Through AI Providers</w:t>
      </w:r>
    </w:p>
    <w:p>
      <w:pPr>
        <w:pStyle w:val="Compact"/>
        <w:numPr>
          <w:ilvl w:val="0"/>
          <w:numId w:val="1075"/>
        </w:numPr>
      </w:pPr>
      <w:r>
        <w:t xml:space="preserve">ID:</w:t>
      </w:r>
      <w:r>
        <w:t xml:space="preserve"> </w:t>
      </w:r>
      <w:r>
        <w:rPr>
          <w:b/>
          <w:bCs/>
        </w:rPr>
        <w:t xml:space="preserve">ADR-0011</w:t>
      </w:r>
    </w:p>
    <w:p>
      <w:pPr>
        <w:pStyle w:val="Compact"/>
        <w:numPr>
          <w:ilvl w:val="0"/>
          <w:numId w:val="1075"/>
        </w:numPr>
      </w:pPr>
      <w:r>
        <w:t xml:space="preserve">Status: Accepted — ratified in implementation (Phase 15); formal owner counter-signature pending baseline v2.0 sign-off</w:t>
      </w:r>
    </w:p>
    <w:p>
      <w:pPr>
        <w:pStyle w:val="Compact"/>
        <w:numPr>
          <w:ilvl w:val="0"/>
          <w:numId w:val="1075"/>
        </w:numPr>
      </w:pPr>
      <w:r>
        <w:t xml:space="preserve">Date: 2026-06-01</w:t>
      </w:r>
    </w:p>
    <w:p>
      <w:pPr>
        <w:pStyle w:val="Compact"/>
        <w:numPr>
          <w:ilvl w:val="0"/>
          <w:numId w:val="1075"/>
        </w:numPr>
      </w:pPr>
      <w:r>
        <w:t xml:space="preserve">Deciders: Engineering lead, AI engineer</w:t>
      </w:r>
    </w:p>
    <w:bookmarkStart w:id="119" w:name="context-10"/>
    <w:p>
      <w:pPr>
        <w:pStyle w:val="Heading2"/>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Scanned, image-only PDFs must become searchable (FR-READ-010) without cloud OCR egress, because OCR text is document content and content leaving the device is governed by the privacy tiers (ADR-0007) — routing OCR through a cloud provider would silently promote every scanned book to content-aware exposure. The OCR pipeline must run as a resumable background job, reuse the existing PDF renderer for page images (ADR-0004), and keep the engine replaceable for future community or school-lab deployments.</w:t>
      </w:r>
    </w:p>
    <w:bookmarkEnd w:id="119"/>
    <w:bookmarkStart w:id="120" w:name="decision-drivers-10"/>
    <w:p>
      <w:pPr>
        <w:pStyle w:val="Heading2"/>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76"/>
        </w:numPr>
      </w:pPr>
      <w:r>
        <w:t xml:space="preserve">OCR must be local and offline by default; no document content leaves the device for indexing.</w:t>
      </w:r>
    </w:p>
    <w:p>
      <w:pPr>
        <w:pStyle w:val="Compact"/>
        <w:numPr>
          <w:ilvl w:val="0"/>
          <w:numId w:val="1076"/>
        </w:numPr>
      </w:pPr>
      <w:r>
        <w:t xml:space="preserve">The pipeline must be a resumable, per-file-isolated background job that never blocks reading.</w:t>
      </w:r>
    </w:p>
    <w:p>
      <w:pPr>
        <w:pStyle w:val="Compact"/>
        <w:numPr>
          <w:ilvl w:val="0"/>
          <w:numId w:val="1076"/>
        </w:numPr>
      </w:pPr>
      <w:r>
        <w:t xml:space="preserve">The engine must sit behind an application contract so it can be replaced without touching workers or UI.</w:t>
      </w:r>
    </w:p>
    <w:p>
      <w:pPr>
        <w:pStyle w:val="Compact"/>
        <w:numPr>
          <w:ilvl w:val="0"/>
          <w:numId w:val="1076"/>
        </w:numPr>
      </w:pPr>
      <w:r>
        <w:t xml:space="preserve">Language data must ship without committing large binaries to git.</w:t>
      </w:r>
    </w:p>
    <w:bookmarkEnd w:id="120"/>
    <w:bookmarkStart w:id="124" w:name="considered-options-10"/>
    <w:p>
      <w:pPr>
        <w:pStyle w:val="Heading2"/>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Considered Options</w:t>
      </w:r>
    </w:p>
    <w:bookmarkStart w:id="121" w:name="Xcf8fffefb05e21e8c69efa59b694a5c725922c1"/>
    <w:p>
      <w:pPr>
        <w:pStyle w:val="Heading3"/>
      </w:pPr>
      <w:r>
        <w:rPr>
          <w:rStyle w:val="SectionNumber"/>
          <w:rFonts w:ascii="Spectral" w:hAnsi="Spectral" w:eastAsia="Spectral"/>
          <w:color w:val="132338"/>
        </w:rPr>
        <w:t xml:space="preserve">12.3.1</w:t>
      </w:r>
      <w:r>
        <w:rPr>
          <w:rFonts w:ascii="Spectral" w:hAnsi="Spectral" w:eastAsia="Spectral"/>
          <w:color w:val="132338"/>
        </w:rPr>
        <w:tab/>
      </w:r>
      <w:r>
        <w:rPr>
          <w:rFonts w:ascii="Spectral" w:hAnsi="Spectral" w:eastAsia="Spectral"/>
          <w:color w:val="132338"/>
        </w:rPr>
        <w:t xml:space="preserve">Option A — Local Tesseract behind an</w:t>
      </w:r>
      <w:r>
        <w:rPr>
          <w:rFonts w:ascii="Spectral" w:hAnsi="Spectral" w:eastAsia="Spectral"/>
          <w:color w:val="132338"/>
        </w:rPr>
        <w:t xml:space="preserve"> </w:t>
      </w:r>
      <w:r>
        <w:rPr>
          <w:rStyle w:val="VerbatimChar"/>
          <w:rFonts w:ascii="Spectral" w:hAnsi="Spectral" w:eastAsia="Spectral"/>
          <w:color w:val="132338"/>
        </w:rPr>
        <w:t xml:space="preserve">IOcrProvider</w:t>
      </w:r>
      <w:r>
        <w:rPr>
          <w:rFonts w:ascii="Spectral" w:hAnsi="Spectral" w:eastAsia="Spectral"/>
          <w:color w:val="132338"/>
        </w:rPr>
        <w:t xml:space="preserve"> </w:t>
      </w:r>
      <w:r>
        <w:rPr>
          <w:rFonts w:ascii="Spectral" w:hAnsi="Spectral" w:eastAsia="Spectral"/>
          <w:color w:val="132338"/>
        </w:rPr>
        <w:t xml:space="preserve">contract</w:t>
      </w:r>
    </w:p>
    <w:p>
      <w:pPr>
        <w:pStyle w:val="Compact"/>
        <w:numPr>
          <w:ilvl w:val="0"/>
          <w:numId w:val="1077"/>
        </w:numPr>
      </w:pPr>
      <w:r>
        <w:t xml:space="preserve">Pros: mature open-source engine; fully offline; English data ships via the</w:t>
      </w:r>
      <w:r>
        <w:t xml:space="preserve"> </w:t>
      </w:r>
      <w:r>
        <w:rPr>
          <w:rStyle w:val="VerbatimChar"/>
        </w:rPr>
        <w:t xml:space="preserve">Tesseract.Data.English</w:t>
      </w:r>
      <w:r>
        <w:t xml:space="preserve"> </w:t>
      </w:r>
      <w:r>
        <w:t xml:space="preserve">package; adapter isolation keeps the engine replaceable; per-page confidence supports OCR-derived marking.</w:t>
      </w:r>
    </w:p>
    <w:p>
      <w:pPr>
        <w:pStyle w:val="Compact"/>
        <w:numPr>
          <w:ilvl w:val="0"/>
          <w:numId w:val="1077"/>
        </w:numPr>
      </w:pPr>
      <w:r>
        <w:t xml:space="preserve">Cons: native binaries and language data must be verified present in MSIX/DMG packaging; accuracy trails commercial cloud OCR on difficult scans.</w:t>
      </w:r>
    </w:p>
    <w:bookmarkEnd w:id="121"/>
    <w:bookmarkStart w:id="122" w:name="Xfe4f9c740b4d2470d73bb94918209abd7e0a809"/>
    <w:p>
      <w:pPr>
        <w:pStyle w:val="Heading3"/>
      </w:pPr>
      <w:r>
        <w:rPr>
          <w:rStyle w:val="SectionNumber"/>
          <w:rFonts w:ascii="Spectral" w:hAnsi="Spectral" w:eastAsia="Spectral"/>
          <w:color w:val="132338"/>
        </w:rPr>
        <w:t xml:space="preserve">12.3.2</w:t>
      </w:r>
      <w:r>
        <w:rPr>
          <w:rFonts w:ascii="Spectral" w:hAnsi="Spectral" w:eastAsia="Spectral"/>
          <w:color w:val="132338"/>
        </w:rPr>
        <w:tab/>
      </w:r>
      <w:r>
        <w:rPr>
          <w:rFonts w:ascii="Spectral" w:hAnsi="Spectral" w:eastAsia="Spectral"/>
          <w:color w:val="132338"/>
        </w:rPr>
        <w:t xml:space="preserve">Option B — Cloud OCR through the AI gateway</w:t>
      </w:r>
    </w:p>
    <w:p>
      <w:pPr>
        <w:pStyle w:val="Compact"/>
        <w:numPr>
          <w:ilvl w:val="0"/>
          <w:numId w:val="1078"/>
        </w:numPr>
      </w:pPr>
      <w:r>
        <w:t xml:space="preserve">Pros: potentially higher accuracy; no native assets to package.</w:t>
      </w:r>
    </w:p>
    <w:p>
      <w:pPr>
        <w:pStyle w:val="Compact"/>
        <w:numPr>
          <w:ilvl w:val="0"/>
          <w:numId w:val="1078"/>
        </w:numPr>
      </w:pPr>
      <w:r>
        <w:t xml:space="preserve">Cons: transmits full document content off-device for a background indexing job, collapsing the privacy-tier model; requires connectivity; per-page cost.</w:t>
      </w:r>
    </w:p>
    <w:bookmarkEnd w:id="122"/>
    <w:bookmarkStart w:id="123" w:name="X6199571d05bfb00dd463b27ff505a7885854034"/>
    <w:p>
      <w:pPr>
        <w:pStyle w:val="Heading3"/>
      </w:pPr>
      <w:r>
        <w:rPr>
          <w:rStyle w:val="SectionNumber"/>
          <w:rFonts w:ascii="Spectral" w:hAnsi="Spectral" w:eastAsia="Spectral"/>
          <w:color w:val="132338"/>
        </w:rPr>
        <w:t xml:space="preserve">12.3.3</w:t>
      </w:r>
      <w:r>
        <w:rPr>
          <w:rFonts w:ascii="Spectral" w:hAnsi="Spectral" w:eastAsia="Spectral"/>
          <w:color w:val="132338"/>
        </w:rPr>
        <w:tab/>
      </w:r>
      <w:r>
        <w:rPr>
          <w:rFonts w:ascii="Spectral" w:hAnsi="Spectral" w:eastAsia="Spectral"/>
          <w:color w:val="132338"/>
        </w:rPr>
        <w:t xml:space="preserve">Option C — No OCR; scanned PDFs remain unsearchable</w:t>
      </w:r>
    </w:p>
    <w:p>
      <w:pPr>
        <w:pStyle w:val="Compact"/>
        <w:numPr>
          <w:ilvl w:val="0"/>
          <w:numId w:val="1079"/>
        </w:numPr>
      </w:pPr>
      <w:r>
        <w:t xml:space="preserve">Pros: zero cost and risk.</w:t>
      </w:r>
    </w:p>
    <w:p>
      <w:pPr>
        <w:pStyle w:val="Compact"/>
        <w:numPr>
          <w:ilvl w:val="0"/>
          <w:numId w:val="1079"/>
        </w:numPr>
      </w:pPr>
      <w:r>
        <w:t xml:space="preserve">Cons: fails FR-READ-010 and leaves a large class of real-world libraries (scanned books) outside full-text search.</w:t>
      </w:r>
    </w:p>
    <w:bookmarkEnd w:id="123"/>
    <w:bookmarkEnd w:id="124"/>
    <w:bookmarkStart w:id="125" w:name="decision-outcome-10"/>
    <w:p>
      <w:pPr>
        <w:pStyle w:val="Heading2"/>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Use the</w:t>
      </w:r>
      <w:r>
        <w:t xml:space="preserve"> </w:t>
      </w:r>
      <w:r>
        <w:rPr>
          <w:rStyle w:val="VerbatimChar"/>
        </w:rPr>
        <w:t xml:space="preserve">Tesseract</w:t>
      </w:r>
      <w:r>
        <w:t xml:space="preserve"> </w:t>
      </w:r>
      <w:r>
        <w:t xml:space="preserve">NuGet package (5.2.0) as the local OCR engine behind the</w:t>
      </w:r>
      <w:r>
        <w:t xml:space="preserve"> </w:t>
      </w:r>
      <w:r>
        <w:rPr>
          <w:rStyle w:val="VerbatimChar"/>
        </w:rPr>
        <w:t xml:space="preserve">IOcrProvider</w:t>
      </w:r>
      <w:r>
        <w:t xml:space="preserve"> </w:t>
      </w:r>
      <w:r>
        <w:t xml:space="preserve">application contract. OCR jobs render pages through the PDF renderer, process one page at a time, store text with</w:t>
      </w:r>
      <w:r>
        <w:t xml:space="preserve"> </w:t>
      </w:r>
      <w:r>
        <w:rPr>
          <w:rStyle w:val="VerbatimChar"/>
        </w:rPr>
        <w:t xml:space="preserve">ExtractedPages.Source = "OCR"</w:t>
      </w:r>
      <w:r>
        <w:t xml:space="preserve">, and mark the book OCR-derived only after completion. Missing native binaries or language data fail the individual OCR job, never desktop startup.</w:t>
      </w:r>
    </w:p>
    <w:bookmarkEnd w:id="125"/>
    <w:bookmarkStart w:id="126" w:name="evidence-of-implementation-10"/>
    <w:p>
      <w:pPr>
        <w:pStyle w:val="Heading2"/>
      </w:pPr>
      <w:r>
        <w:rPr>
          <w:rStyle w:val="SectionNumber"/>
          <w:rFonts w:ascii="Spectral" w:hAnsi="Spectral" w:eastAsia="Spectral"/>
          <w:color w:val="132338"/>
        </w:rPr>
        <w:t xml:space="preserve">12.5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80"/>
        </w:numPr>
      </w:pPr>
      <w:r>
        <w:rPr>
          <w:rStyle w:val="VerbatimChar"/>
        </w:rPr>
        <w:t xml:space="preserve">TesseractOcrProvider</w:t>
      </w:r>
      <w:r>
        <w:t xml:space="preserve"> </w:t>
      </w:r>
      <w:r>
        <w:t xml:space="preserve">(</w:t>
      </w:r>
      <w:r>
        <w:rPr>
          <w:rStyle w:val="VerbatimChar"/>
        </w:rPr>
        <w:t xml:space="preserve">src/OgmaLibrary.Infrastructure/Ocr</w:t>
      </w:r>
      <w:r>
        <w:t xml:space="preserve">) implements</w:t>
      </w:r>
      <w:r>
        <w:t xml:space="preserve"> </w:t>
      </w:r>
      <w:r>
        <w:rPr>
          <w:rStyle w:val="VerbatimChar"/>
        </w:rPr>
        <w:t xml:space="preserve">IOcrProvider</w:t>
      </w:r>
      <w:r>
        <w:t xml:space="preserve">;</w:t>
      </w:r>
      <w:r>
        <w:t xml:space="preserve"> </w:t>
      </w:r>
      <w:r>
        <w:rPr>
          <w:rStyle w:val="VerbatimChar"/>
        </w:rPr>
        <w:t xml:space="preserve">OcrWorker</w:t>
      </w:r>
      <w:r>
        <w:t xml:space="preserve"> </w:t>
      </w:r>
      <w:r>
        <w:t xml:space="preserve">and</w:t>
      </w:r>
      <w:r>
        <w:t xml:space="preserve"> </w:t>
      </w:r>
      <w:r>
        <w:rPr>
          <w:rStyle w:val="VerbatimChar"/>
        </w:rPr>
        <w:t xml:space="preserve">OcrJobProcessor</w:t>
      </w:r>
      <w:r>
        <w:t xml:space="preserve"> </w:t>
      </w:r>
      <w:r>
        <w:t xml:space="preserve">run OCR as hosted background jobs registered in</w:t>
      </w:r>
      <w:r>
        <w:t xml:space="preserve"> </w:t>
      </w:r>
      <w:r>
        <w:rPr>
          <w:rStyle w:val="VerbatimChar"/>
        </w:rPr>
        <w:t xml:space="preserve">CompositionRoot</w:t>
      </w:r>
      <w:r>
        <w:t xml:space="preserve">; the</w:t>
      </w:r>
      <w:r>
        <w:t xml:space="preserve"> </w:t>
      </w:r>
      <w:r>
        <w:rPr>
          <w:rStyle w:val="VerbatimChar"/>
        </w:rPr>
        <w:t xml:space="preserve">Phase15OcrPowerReaderSchema</w:t>
      </w:r>
      <w:r>
        <w:t xml:space="preserve"> </w:t>
      </w:r>
      <w:r>
        <w:t xml:space="preserve">migration adds the</w:t>
      </w:r>
      <w:r>
        <w:t xml:space="preserve"> </w:t>
      </w:r>
      <w:r>
        <w:rPr>
          <w:rStyle w:val="VerbatimChar"/>
        </w:rPr>
        <w:t xml:space="preserve">Source</w:t>
      </w:r>
      <w:r>
        <w:t xml:space="preserve"> </w:t>
      </w:r>
      <w:r>
        <w:t xml:space="preserve">column and OCR-derived flags to the extraction schema.</w:t>
      </w:r>
    </w:p>
    <w:p>
      <w:pPr>
        <w:pStyle w:val="Compact"/>
        <w:numPr>
          <w:ilvl w:val="0"/>
          <w:numId w:val="1080"/>
        </w:numPr>
      </w:pPr>
      <w:r>
        <w:t xml:space="preserve">OCR output is stored in the</w:t>
      </w:r>
      <w:r>
        <w:t xml:space="preserve"> </w:t>
      </w:r>
      <w:r>
        <w:rPr>
          <w:rStyle w:val="VerbatimChar"/>
        </w:rPr>
        <w:t xml:space="preserve">ocr</w:t>
      </w:r>
      <w:r>
        <w:t xml:space="preserve"> </w:t>
      </w:r>
      <w:r>
        <w:t xml:space="preserve">sidecar class as hOCR files (</w:t>
      </w:r>
      <w:r>
        <w:rPr>
          <w:rStyle w:val="VerbatimChar"/>
        </w:rPr>
        <w:t xml:space="preserve">SidecarService</w:t>
      </w:r>
      <w:r>
        <w:t xml:space="preserve">), indexed for search, and surfaced as OCR-derived in results so ranking and users can distinguish it from native text-layer text.</w:t>
      </w:r>
    </w:p>
    <w:p>
      <w:pPr>
        <w:pStyle w:val="Compact"/>
        <w:numPr>
          <w:ilvl w:val="0"/>
          <w:numId w:val="1080"/>
        </w:numPr>
      </w:pPr>
      <w:r>
        <w:t xml:space="preserve">English language data ships through</w:t>
      </w:r>
      <w:r>
        <w:t xml:space="preserve"> </w:t>
      </w:r>
      <w:r>
        <w:rPr>
          <w:rStyle w:val="VerbatimChar"/>
        </w:rPr>
        <w:t xml:space="preserve">Tesseract.Data.English</w:t>
      </w:r>
      <w:r>
        <w:t xml:space="preserve"> </w:t>
      </w:r>
      <w:r>
        <w:t xml:space="preserve">into</w:t>
      </w:r>
      <w:r>
        <w:t xml:space="preserve"> </w:t>
      </w:r>
      <w:r>
        <w:rPr>
          <w:rStyle w:val="VerbatimChar"/>
        </w:rPr>
        <w:t xml:space="preserve">AppContext.BaseDirectory/tessdata</w:t>
      </w:r>
      <w:r>
        <w:t xml:space="preserve">; additional languages arrive later as packages or on-demand downloads.</w:t>
      </w:r>
    </w:p>
    <w:p>
      <w:pPr>
        <w:pStyle w:val="Compact"/>
        <w:numPr>
          <w:ilvl w:val="0"/>
          <w:numId w:val="1080"/>
        </w:numPr>
      </w:pPr>
      <w:r>
        <w:t xml:space="preserve">Residual (design-to-be): Phase 22 packaging must verify native Tesseract assets and</w:t>
      </w:r>
      <w:r>
        <w:t xml:space="preserve"> </w:t>
      </w:r>
      <w:r>
        <w:rPr>
          <w:rStyle w:val="VerbatimChar"/>
        </w:rPr>
        <w:t xml:space="preserve">tessdata/eng.traineddata</w:t>
      </w:r>
      <w:r>
        <w:t xml:space="preserve"> </w:t>
      </w:r>
      <w:r>
        <w:t xml:space="preserve">are present in MSIX and DMG outputs (constraint recorded in ADR-0009).</w:t>
      </w:r>
    </w:p>
    <w:bookmarkEnd w:id="126"/>
    <w:bookmarkStart w:id="127" w:name="consequences-10"/>
    <w:p>
      <w:pPr>
        <w:pStyle w:val="Heading2"/>
      </w:pPr>
      <w:r>
        <w:rPr>
          <w:rStyle w:val="SectionNumber"/>
          <w:rFonts w:ascii="Spectral" w:hAnsi="Spectral" w:eastAsia="Spectral"/>
          <w:color w:val="132338"/>
        </w:rPr>
        <w:t xml:space="preserve">12.6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81"/>
        </w:numPr>
      </w:pPr>
      <w:r>
        <w:t xml:space="preserve">Positive: OCR stays local and offline by default; the engine is replaceable by registering another</w:t>
      </w:r>
      <w:r>
        <w:t xml:space="preserve"> </w:t>
      </w:r>
      <w:r>
        <w:rPr>
          <w:rStyle w:val="VerbatimChar"/>
        </w:rPr>
        <w:t xml:space="preserve">IOcrProvider</w:t>
      </w:r>
      <w:r>
        <w:t xml:space="preserve">; scanned collections become searchable without any privacy-tier promotion.</w:t>
      </w:r>
    </w:p>
    <w:p>
      <w:pPr>
        <w:pStyle w:val="Compact"/>
        <w:numPr>
          <w:ilvl w:val="0"/>
          <w:numId w:val="1081"/>
        </w:numPr>
      </w:pPr>
      <w:r>
        <w:t xml:space="preserve">Negative: packaging carries native-asset verification duties; multi-language OCR is deferred.</w:t>
      </w:r>
    </w:p>
    <w:p>
      <w:pPr>
        <w:pStyle w:val="Compact"/>
        <w:numPr>
          <w:ilvl w:val="0"/>
          <w:numId w:val="1081"/>
        </w:numPr>
      </w:pPr>
      <w:r>
        <w:t xml:space="preserve">Affects: ADR-0004 (page rendering feed); ADR-0006 (OCR text feeds the FTS5 index); ADR-0007 (preserves the tier model by keeping content on-device); ADR-0009 (packaging assets); FR-READ-010, NFR-OGMA-009.</w:t>
      </w:r>
    </w:p>
    <w:bookmarkEnd w:id="127"/>
    <w:bookmarkEnd w:id="128"/>
    <w:bookmarkStart w:id="138" w:name="X3599c33eb99fd451ea96ec375e3792d757ded86"/>
    <w:p>
      <w:pPr>
        <w:pStyle w:val="Heading1"/>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ADR-0012: Classroom Identity, Roles, and Per-Student Private State</w:t>
      </w:r>
    </w:p>
    <w:p>
      <w:pPr>
        <w:pStyle w:val="Compact"/>
        <w:numPr>
          <w:ilvl w:val="0"/>
          <w:numId w:val="1082"/>
        </w:numPr>
      </w:pPr>
      <w:r>
        <w:t xml:space="preserve">ID:</w:t>
      </w:r>
      <w:r>
        <w:t xml:space="preserve"> </w:t>
      </w:r>
      <w:r>
        <w:rPr>
          <w:b/>
          <w:bCs/>
        </w:rPr>
        <w:t xml:space="preserve">ADR-0012</w:t>
      </w:r>
    </w:p>
    <w:p>
      <w:pPr>
        <w:pStyle w:val="Compact"/>
        <w:numPr>
          <w:ilvl w:val="0"/>
          <w:numId w:val="1082"/>
        </w:numPr>
      </w:pPr>
      <w:r>
        <w:t xml:space="preserve">Status: Accepted — ratified in implementation (Phase 17); formal owner counter-signature pending baseline v2.0 sign-off</w:t>
      </w:r>
    </w:p>
    <w:p>
      <w:pPr>
        <w:pStyle w:val="Compact"/>
        <w:numPr>
          <w:ilvl w:val="0"/>
          <w:numId w:val="1082"/>
        </w:numPr>
      </w:pPr>
      <w:r>
        <w:t xml:space="preserve">Date: 2026-06-02</w:t>
      </w:r>
    </w:p>
    <w:p>
      <w:pPr>
        <w:pStyle w:val="Compact"/>
        <w:numPr>
          <w:ilvl w:val="0"/>
          <w:numId w:val="1082"/>
        </w:numPr>
      </w:pPr>
      <w:r>
        <w:t xml:space="preserve">Deciders: Product owner (Chwezi Core Systems), Engineering lead</w:t>
      </w:r>
    </w:p>
    <w:bookmarkStart w:id="129" w:name="context-11"/>
    <w:p>
      <w:pPr>
        <w:pStyle w:val="Heading2"/>
      </w:pPr>
      <w:r>
        <w:rPr>
          <w:rStyle w:val="SectionNumber"/>
          <w:rFonts w:ascii="Spectral" w:hAnsi="Spectral" w:eastAsia="Spectral"/>
          <w:color w:val="132338"/>
        </w:rPr>
        <w:t xml:space="preserve">13.1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Phase 16 added an opt-in Library Host mode that serves a school catalogue over the LAN (ADR-0010). Phase 17 adds the matching Client/Classroom mode: a student installation discovers or manually joins a host, verifies the host certificate fingerprint, selects a profile, and reads from the school library while keeping private reading state local by default. Three invariants must hold: Standalone mode remains the default and opens no network connections; student annotations, bookmarks, reading progress, and AI history are private per profile and never passively visible to peers or the host (FR-CLIENT-008); and the client architecture must be forward-compatible with optional sync and the school-admin track without a second product.</w:t>
      </w:r>
    </w:p>
    <w:bookmarkEnd w:id="129"/>
    <w:bookmarkStart w:id="130" w:name="decision-drivers-11"/>
    <w:p>
      <w:pPr>
        <w:pStyle w:val="Heading2"/>
      </w:pPr>
      <w:r>
        <w:rPr>
          <w:rStyle w:val="SectionNumber"/>
          <w:rFonts w:ascii="Spectral" w:hAnsi="Spectral" w:eastAsia="Spectral"/>
          <w:color w:val="132338"/>
        </w:rPr>
        <w:t xml:space="preserve">13.2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83"/>
        </w:numPr>
      </w:pPr>
      <w:r>
        <w:t xml:space="preserve">Minimise privacy risk for students, including minors.</w:t>
      </w:r>
    </w:p>
    <w:p>
      <w:pPr>
        <w:pStyle w:val="Compact"/>
        <w:numPr>
          <w:ilvl w:val="0"/>
          <w:numId w:val="1083"/>
        </w:numPr>
      </w:pPr>
      <w:r>
        <w:t xml:space="preserve">Keep the existing single-user catalogue and reader flows stable and untouched by client mode.</w:t>
      </w:r>
    </w:p>
    <w:p>
      <w:pPr>
        <w:pStyle w:val="Compact"/>
        <w:numPr>
          <w:ilvl w:val="0"/>
          <w:numId w:val="1083"/>
        </w:numPr>
      </w:pPr>
      <w:r>
        <w:t xml:space="preserve">Allow offline reading from cache after a LAN drop (FR-CLIENT-005, FR-CLIENT-011).</w:t>
      </w:r>
    </w:p>
    <w:p>
      <w:pPr>
        <w:pStyle w:val="Compact"/>
        <w:numPr>
          <w:ilvl w:val="0"/>
          <w:numId w:val="1083"/>
        </w:numPr>
      </w:pPr>
      <w:r>
        <w:t xml:space="preserve">Give Phase 18 a role and profile model to build admin enrollment on.</w:t>
      </w:r>
    </w:p>
    <w:p>
      <w:pPr>
        <w:pStyle w:val="Compact"/>
        <w:numPr>
          <w:ilvl w:val="0"/>
          <w:numId w:val="1083"/>
        </w:numPr>
      </w:pPr>
      <w:r>
        <w:t xml:space="preserve">Avoid coupling the client context to the Phase 16 host server implementation.</w:t>
      </w:r>
    </w:p>
    <w:bookmarkEnd w:id="130"/>
    <w:bookmarkStart w:id="134" w:name="considered-options-11"/>
    <w:p>
      <w:pPr>
        <w:pStyle w:val="Heading2"/>
      </w:pPr>
      <w:r>
        <w:rPr>
          <w:rStyle w:val="SectionNumber"/>
          <w:rFonts w:ascii="Spectral" w:hAnsi="Spectral" w:eastAsia="Spectral"/>
          <w:color w:val="132338"/>
        </w:rPr>
        <w:t xml:space="preserve">13.3</w:t>
      </w:r>
      <w:r>
        <w:rPr>
          <w:rFonts w:ascii="Spectral" w:hAnsi="Spectral" w:eastAsia="Spectral"/>
          <w:color w:val="132338"/>
        </w:rPr>
        <w:tab/>
      </w:r>
      <w:r>
        <w:rPr>
          <w:rFonts w:ascii="Spectral" w:hAnsi="Spectral" w:eastAsia="Spectral"/>
          <w:color w:val="132338"/>
        </w:rPr>
        <w:t xml:space="preserve">Considered Options</w:t>
      </w:r>
    </w:p>
    <w:bookmarkStart w:id="131" w:name="X202ef02a45a7e21a7c8e50697a48286e2fb176e"/>
    <w:p>
      <w:pPr>
        <w:pStyle w:val="Heading3"/>
      </w:pPr>
      <w:r>
        <w:rPr>
          <w:rStyle w:val="SectionNumber"/>
          <w:rFonts w:ascii="Spectral" w:hAnsi="Spectral" w:eastAsia="Spectral"/>
          <w:color w:val="132338"/>
        </w:rPr>
        <w:t xml:space="preserve">13.3.1</w:t>
      </w:r>
      <w:r>
        <w:rPr>
          <w:rFonts w:ascii="Spectral" w:hAnsi="Spectral" w:eastAsia="Spectral"/>
          <w:color w:val="132338"/>
        </w:rPr>
        <w:tab/>
      </w:r>
      <w:r>
        <w:rPr>
          <w:rFonts w:ascii="Spectral" w:hAnsi="Spectral" w:eastAsia="Spectral"/>
          <w:color w:val="132338"/>
        </w:rPr>
        <w:t xml:space="preserve">Option A — Per-profile private client databases</w:t>
      </w:r>
    </w:p>
    <w:p>
      <w:pPr>
        <w:pStyle w:val="FirstParagraph"/>
      </w:pPr>
      <w:r>
        <w:t xml:space="preserve">Each client profile owns a private SQLite database under the sidecar root:</w:t>
      </w:r>
      <w:r>
        <w:t xml:space="preserve"> </w:t>
      </w:r>
      <w:r>
        <w:rPr>
          <w:rStyle w:val="VerbatimChar"/>
        </w:rPr>
        <w:t xml:space="preserve">classroom/profiles/&lt;profileId&gt;/private.db</w:t>
      </w:r>
      <w:r>
        <w:t xml:space="preserve">. The host knows profile metadata and session role but not the contents of private state unless the student explicitly opts into sync.</w:t>
      </w:r>
    </w:p>
    <w:p>
      <w:pPr>
        <w:pStyle w:val="Compact"/>
        <w:numPr>
          <w:ilvl w:val="0"/>
          <w:numId w:val="1084"/>
        </w:numPr>
      </w:pPr>
      <w:r>
        <w:t xml:space="preserve">Pros: strong local privacy boundary enforced by files, not just queries; simple backup and erasure story; offline reads and writes are natural; the main catalogue database is untouched.</w:t>
      </w:r>
    </w:p>
    <w:p>
      <w:pPr>
        <w:pStyle w:val="Compact"/>
        <w:numPr>
          <w:ilvl w:val="0"/>
          <w:numId w:val="1084"/>
        </w:numPr>
      </w:pPr>
      <w:r>
        <w:t xml:space="preserve">Cons: profile switching needs careful path and permission handling; sync requires explicit conflict handling because the private database changes offline.</w:t>
      </w:r>
    </w:p>
    <w:bookmarkEnd w:id="131"/>
    <w:bookmarkStart w:id="132" w:name="X5e62d068158fa991f164647093c8a6d6e857b3f"/>
    <w:p>
      <w:pPr>
        <w:pStyle w:val="Heading3"/>
      </w:pPr>
      <w:r>
        <w:rPr>
          <w:rStyle w:val="SectionNumber"/>
          <w:rFonts w:ascii="Spectral" w:hAnsi="Spectral" w:eastAsia="Spectral"/>
          <w:color w:val="132338"/>
        </w:rPr>
        <w:t xml:space="preserve">13.3.2</w:t>
      </w:r>
      <w:r>
        <w:rPr>
          <w:rFonts w:ascii="Spectral" w:hAnsi="Spectral" w:eastAsia="Spectral"/>
          <w:color w:val="132338"/>
        </w:rPr>
        <w:tab/>
      </w:r>
      <w:r>
        <w:rPr>
          <w:rFonts w:ascii="Spectral" w:hAnsi="Spectral" w:eastAsia="Spectral"/>
          <w:color w:val="132338"/>
        </w:rPr>
        <w:t xml:space="preserve">Option B — Shared client database with profile columns</w:t>
      </w:r>
    </w:p>
    <w:p>
      <w:pPr>
        <w:pStyle w:val="Compact"/>
        <w:numPr>
          <w:ilvl w:val="0"/>
          <w:numId w:val="1085"/>
        </w:numPr>
      </w:pPr>
      <w:r>
        <w:t xml:space="preserve">Pros: simpler schema management, fewer files.</w:t>
      </w:r>
    </w:p>
    <w:p>
      <w:pPr>
        <w:pStyle w:val="Compact"/>
        <w:numPr>
          <w:ilvl w:val="0"/>
          <w:numId w:val="1085"/>
        </w:numPr>
      </w:pPr>
      <w:r>
        <w:t xml:space="preserve">Cons: accidental cross-profile reads become easier; erasure is riskier; file permissions cannot isolate profiles.</w:t>
      </w:r>
    </w:p>
    <w:bookmarkEnd w:id="132"/>
    <w:bookmarkStart w:id="133" w:name="X214b2a02e8c3db9cf65267c6827c4ae117c947e"/>
    <w:p>
      <w:pPr>
        <w:pStyle w:val="Heading3"/>
      </w:pPr>
      <w:r>
        <w:rPr>
          <w:rStyle w:val="SectionNumber"/>
          <w:rFonts w:ascii="Spectral" w:hAnsi="Spectral" w:eastAsia="Spectral"/>
          <w:color w:val="132338"/>
        </w:rPr>
        <w:t xml:space="preserve">13.3.3</w:t>
      </w:r>
      <w:r>
        <w:rPr>
          <w:rFonts w:ascii="Spectral" w:hAnsi="Spectral" w:eastAsia="Spectral"/>
          <w:color w:val="132338"/>
        </w:rPr>
        <w:tab/>
      </w:r>
      <w:r>
        <w:rPr>
          <w:rFonts w:ascii="Spectral" w:hAnsi="Spectral" w:eastAsia="Spectral"/>
          <w:color w:val="132338"/>
        </w:rPr>
        <w:t xml:space="preserve">Option C — Store private state on the host by default</w:t>
      </w:r>
    </w:p>
    <w:p>
      <w:pPr>
        <w:pStyle w:val="Compact"/>
        <w:numPr>
          <w:ilvl w:val="0"/>
          <w:numId w:val="1086"/>
        </w:numPr>
      </w:pPr>
      <w:r>
        <w:t xml:space="preserve">Pros: students roam between devices without sync setup.</w:t>
      </w:r>
    </w:p>
    <w:p>
      <w:pPr>
        <w:pStyle w:val="Compact"/>
        <w:numPr>
          <w:ilvl w:val="0"/>
          <w:numId w:val="1086"/>
        </w:numPr>
      </w:pPr>
      <w:r>
        <w:t xml:space="preserve">Cons: privacy-by-default is lost; offline mode becomes fragile; the host becomes a high-value student-data target.</w:t>
      </w:r>
    </w:p>
    <w:bookmarkEnd w:id="133"/>
    <w:bookmarkEnd w:id="134"/>
    <w:bookmarkStart w:id="135" w:name="decision-outcome-11"/>
    <w:p>
      <w:pPr>
        <w:pStyle w:val="Heading2"/>
      </w:pPr>
      <w:r>
        <w:rPr>
          <w:rStyle w:val="SectionNumber"/>
          <w:rFonts w:ascii="Spectral" w:hAnsi="Spectral" w:eastAsia="Spectral"/>
          <w:color w:val="132338"/>
        </w:rPr>
        <w:t xml:space="preserve">13.4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Choose</w:t>
      </w:r>
      <w:r>
        <w:t xml:space="preserve"> </w:t>
      </w:r>
      <w:r>
        <w:rPr>
          <w:b/>
          <w:bCs/>
        </w:rPr>
        <w:t xml:space="preserve">Option A: per-profile private client databases</w:t>
      </w:r>
      <w:r>
        <w:t xml:space="preserve">. The Classroom Client bounded context owns runtime mode state (</w:t>
      </w:r>
      <w:r>
        <w:rPr>
          <w:rStyle w:val="VerbatimChar"/>
        </w:rPr>
        <w:t xml:space="preserve">Standalone</w:t>
      </w:r>
      <w:r>
        <w:t xml:space="preserve"> </w:t>
      </w:r>
      <w:r>
        <w:t xml:space="preserve">default or connect-to-host), profile records (UUID v4</w:t>
      </w:r>
      <w:r>
        <w:t xml:space="preserve"> </w:t>
      </w:r>
      <w:r>
        <w:rPr>
          <w:rStyle w:val="VerbatimChar"/>
        </w:rPr>
        <w:t xml:space="preserve">ProfileId</w:t>
      </w:r>
      <w:r>
        <w:t xml:space="preserve">, display name, role), the roles</w:t>
      </w:r>
      <w:r>
        <w:t xml:space="preserve"> </w:t>
      </w:r>
      <w:r>
        <w:rPr>
          <w:rStyle w:val="VerbatimChar"/>
        </w:rPr>
        <w:t xml:space="preserve">Student</w:t>
      </w:r>
      <w:r>
        <w:t xml:space="preserve">,</w:t>
      </w:r>
      <w:r>
        <w:t xml:space="preserve"> </w:t>
      </w:r>
      <w:r>
        <w:rPr>
          <w:rStyle w:val="VerbatimChar"/>
        </w:rPr>
        <w:t xml:space="preserve">Teacher</w:t>
      </w:r>
      <w:r>
        <w:t xml:space="preserve">, and</w:t>
      </w:r>
      <w:r>
        <w:t xml:space="preserve"> </w:t>
      </w:r>
      <w:r>
        <w:rPr>
          <w:rStyle w:val="VerbatimChar"/>
        </w:rPr>
        <w:t xml:space="preserve">Guest</w:t>
      </w:r>
      <w:r>
        <w:t xml:space="preserve">, the private profile database path, the offline cache path (</w:t>
      </w:r>
      <w:r>
        <w:rPr>
          <w:rStyle w:val="VerbatimChar"/>
        </w:rPr>
        <w:t xml:space="preserve">classroom/cache/</w:t>
      </w:r>
      <w:r>
        <w:t xml:space="preserve">), host join metadata (address, port, pinned host CA fingerprint), and optional sync state. The client consumes the host API through the typed</w:t>
      </w:r>
      <w:r>
        <w:t xml:space="preserve"> </w:t>
      </w:r>
      <w:r>
        <w:rPr>
          <w:rStyle w:val="VerbatimChar"/>
        </w:rPr>
        <w:t xml:space="preserve">ILibraryHostClient</w:t>
      </w:r>
      <w:r>
        <w:t xml:space="preserve"> </w:t>
      </w:r>
      <w:r>
        <w:t xml:space="preserve">contract, must not depend on the host server implementation, and must not write to the standalone catalogue database. Guest sessions are transient and never create a private database. Sync is last-writer-wins per field with conflict surfacing and no silent data loss (FR-CLIENT-006).</w:t>
      </w:r>
    </w:p>
    <w:bookmarkEnd w:id="135"/>
    <w:bookmarkStart w:id="136" w:name="evidence-of-implementation-11"/>
    <w:p>
      <w:pPr>
        <w:pStyle w:val="Heading2"/>
      </w:pPr>
      <w:r>
        <w:rPr>
          <w:rStyle w:val="SectionNumber"/>
          <w:rFonts w:ascii="Spectral" w:hAnsi="Spectral" w:eastAsia="Spectral"/>
          <w:color w:val="132338"/>
        </w:rPr>
        <w:t xml:space="preserve">13.5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87"/>
        </w:numPr>
      </w:pPr>
      <w:r>
        <w:rPr>
          <w:rStyle w:val="VerbatimChar"/>
        </w:rPr>
        <w:t xml:space="preserve">src/OgmaLibrary.Infrastructure/ClassroomClient</w:t>
      </w:r>
      <w:r>
        <w:t xml:space="preserve"> </w:t>
      </w:r>
      <w:r>
        <w:t xml:space="preserve">implements the context:</w:t>
      </w:r>
      <w:r>
        <w:t xml:space="preserve"> </w:t>
      </w:r>
      <w:r>
        <w:rPr>
          <w:rStyle w:val="VerbatimChar"/>
        </w:rPr>
        <w:t xml:space="preserve">FileClassroomProfileService</w:t>
      </w:r>
      <w:r>
        <w:t xml:space="preserve"> </w:t>
      </w:r>
      <w:r>
        <w:t xml:space="preserve">and</w:t>
      </w:r>
      <w:r>
        <w:t xml:space="preserve"> </w:t>
      </w:r>
      <w:r>
        <w:rPr>
          <w:rStyle w:val="VerbatimChar"/>
        </w:rPr>
        <w:t xml:space="preserve">StudentPrivateRepository</w:t>
      </w:r>
      <w:r>
        <w:t xml:space="preserve"> </w:t>
      </w:r>
      <w:r>
        <w:t xml:space="preserve">(per-profile private databases),</w:t>
      </w:r>
      <w:r>
        <w:t xml:space="preserve"> </w:t>
      </w:r>
      <w:r>
        <w:rPr>
          <w:rStyle w:val="VerbatimChar"/>
        </w:rPr>
        <w:t xml:space="preserve">FileClassroomModeService</w:t>
      </w:r>
      <w:r>
        <w:t xml:space="preserve">,</w:t>
      </w:r>
      <w:r>
        <w:t xml:space="preserve"> </w:t>
      </w:r>
      <w:r>
        <w:rPr>
          <w:rStyle w:val="VerbatimChar"/>
        </w:rPr>
        <w:t xml:space="preserve">ClassroomConnectionService</w:t>
      </w:r>
      <w:r>
        <w:t xml:space="preserve">,</w:t>
      </w:r>
      <w:r>
        <w:t xml:space="preserve"> </w:t>
      </w:r>
      <w:r>
        <w:rPr>
          <w:rStyle w:val="VerbatimChar"/>
        </w:rPr>
        <w:t xml:space="preserve">ClassroomJoinParser</w:t>
      </w:r>
      <w:r>
        <w:t xml:space="preserve"> </w:t>
      </w:r>
      <w:r>
        <w:t xml:space="preserve">(QR join codes, host side generated with QRCoder 1.8.0),</w:t>
      </w:r>
      <w:r>
        <w:t xml:space="preserve"> </w:t>
      </w:r>
      <w:r>
        <w:rPr>
          <w:rStyle w:val="VerbatimChar"/>
        </w:rPr>
        <w:t xml:space="preserve">HostTrustService</w:t>
      </w:r>
      <w:r>
        <w:t xml:space="preserve"> </w:t>
      </w:r>
      <w:r>
        <w:t xml:space="preserve">with</w:t>
      </w:r>
      <w:r>
        <w:t xml:space="preserve"> </w:t>
      </w:r>
      <w:r>
        <w:rPr>
          <w:rStyle w:val="VerbatimChar"/>
        </w:rPr>
        <w:t xml:space="preserve">CredentialBackedHostTrustStore</w:t>
      </w:r>
      <w:r>
        <w:t xml:space="preserve"> </w:t>
      </w:r>
      <w:r>
        <w:t xml:space="preserve">(trust-on-first-use fingerprint pinning, FR-LAN-004),</w:t>
      </w:r>
      <w:r>
        <w:t xml:space="preserve"> </w:t>
      </w:r>
      <w:r>
        <w:rPr>
          <w:rStyle w:val="VerbatimChar"/>
        </w:rPr>
        <w:t xml:space="preserve">LibraryHostHttpClient</w:t>
      </w:r>
      <w:r>
        <w:t xml:space="preserve"> </w:t>
      </w:r>
      <w:r>
        <w:t xml:space="preserve">and</w:t>
      </w:r>
      <w:r>
        <w:t xml:space="preserve"> </w:t>
      </w:r>
      <w:r>
        <w:rPr>
          <w:rStyle w:val="VerbatimChar"/>
        </w:rPr>
        <w:t xml:space="preserve">CachingLibraryHostClient</w:t>
      </w:r>
      <w:r>
        <w:t xml:space="preserve"> </w:t>
      </w:r>
      <w:r>
        <w:t xml:space="preserve">behind</w:t>
      </w:r>
      <w:r>
        <w:t xml:space="preserve"> </w:t>
      </w:r>
      <w:r>
        <w:rPr>
          <w:rStyle w:val="VerbatimChar"/>
        </w:rPr>
        <w:t xml:space="preserve">ILibraryHostClient</w:t>
      </w:r>
      <w:r>
        <w:t xml:space="preserve">,</w:t>
      </w:r>
      <w:r>
        <w:t xml:space="preserve"> </w:t>
      </w:r>
      <w:r>
        <w:rPr>
          <w:rStyle w:val="VerbatimChar"/>
        </w:rPr>
        <w:t xml:space="preserve">DiskOfflineCacheService</w:t>
      </w:r>
      <w:r>
        <w:t xml:space="preserve"> </w:t>
      </w:r>
      <w:r>
        <w:t xml:space="preserve">with size limit and purge,</w:t>
      </w:r>
      <w:r>
        <w:t xml:space="preserve"> </w:t>
      </w:r>
      <w:r>
        <w:rPr>
          <w:rStyle w:val="VerbatimChar"/>
        </w:rPr>
        <w:t xml:space="preserve">ClassroomSyncService</w:t>
      </w:r>
      <w:r>
        <w:t xml:space="preserve"> </w:t>
      </w:r>
      <w:r>
        <w:t xml:space="preserve">with</w:t>
      </w:r>
      <w:r>
        <w:t xml:space="preserve"> </w:t>
      </w:r>
      <w:r>
        <w:rPr>
          <w:rStyle w:val="VerbatimChar"/>
        </w:rPr>
        <w:t xml:space="preserve">ClassroomSyncBlobCodec</w:t>
      </w:r>
      <w:r>
        <w:t xml:space="preserve"> </w:t>
      </w:r>
      <w:r>
        <w:t xml:space="preserve">for the encrypted profile-sync blob, and</w:t>
      </w:r>
      <w:r>
        <w:t xml:space="preserve"> </w:t>
      </w:r>
      <w:r>
        <w:rPr>
          <w:rStyle w:val="VerbatimChar"/>
        </w:rPr>
        <w:t xml:space="preserve">TlsHostCertificateFingerprintProbe</w:t>
      </w:r>
      <w:r>
        <w:t xml:space="preserve">.</w:t>
      </w:r>
    </w:p>
    <w:p>
      <w:pPr>
        <w:pStyle w:val="Compact"/>
        <w:numPr>
          <w:ilvl w:val="0"/>
          <w:numId w:val="1087"/>
        </w:numPr>
      </w:pPr>
      <w:r>
        <w:t xml:space="preserve">The read path is a decorator, not a fork:</w:t>
      </w:r>
      <w:r>
        <w:t xml:space="preserve"> </w:t>
      </w:r>
      <w:r>
        <w:rPr>
          <w:rStyle w:val="VerbatimChar"/>
        </w:rPr>
        <w:t xml:space="preserve">ClassroomCatalogueReadModel</w:t>
      </w:r>
      <w:r>
        <w:t xml:space="preserve"> </w:t>
      </w:r>
      <w:r>
        <w:t xml:space="preserve">wraps the standalone</w:t>
      </w:r>
      <w:r>
        <w:t xml:space="preserve"> </w:t>
      </w:r>
      <w:r>
        <w:rPr>
          <w:rStyle w:val="VerbatimChar"/>
        </w:rPr>
        <w:t xml:space="preserve">CatalogueReadModel</w:t>
      </w:r>
      <w:r>
        <w:t xml:space="preserve"> </w:t>
      </w:r>
      <w:r>
        <w:t xml:space="preserve">and</w:t>
      </w:r>
      <w:r>
        <w:t xml:space="preserve"> </w:t>
      </w:r>
      <w:r>
        <w:rPr>
          <w:rStyle w:val="VerbatimChar"/>
        </w:rPr>
        <w:t xml:space="preserve">ClassroomBookFileLocator</w:t>
      </w:r>
      <w:r>
        <w:t xml:space="preserve"> </w:t>
      </w:r>
      <w:r>
        <w:t xml:space="preserve">wraps</w:t>
      </w:r>
      <w:r>
        <w:t xml:space="preserve"> </w:t>
      </w:r>
      <w:r>
        <w:rPr>
          <w:rStyle w:val="VerbatimChar"/>
        </w:rPr>
        <w:t xml:space="preserve">BookFileLocator</w:t>
      </w:r>
      <w:r>
        <w:t xml:space="preserve"> </w:t>
      </w:r>
      <w:r>
        <w:t xml:space="preserve">in</w:t>
      </w:r>
      <w:r>
        <w:t xml:space="preserve"> </w:t>
      </w:r>
      <w:r>
        <w:rPr>
          <w:rStyle w:val="VerbatimChar"/>
        </w:rPr>
        <w:t xml:space="preserve">CompositionRoot</w:t>
      </w:r>
      <w:r>
        <w:t xml:space="preserve">, so reader and catalogue surfaces are identical in both modes and the standalone database stays untouched.</w:t>
      </w:r>
    </w:p>
    <w:p>
      <w:pPr>
        <w:pStyle w:val="Compact"/>
        <w:numPr>
          <w:ilvl w:val="0"/>
          <w:numId w:val="1087"/>
        </w:numPr>
      </w:pPr>
      <w:r>
        <w:t xml:space="preserve">Architecture tests keep the coupling rule honest: the client depends on</w:t>
      </w:r>
      <w:r>
        <w:t xml:space="preserve"> </w:t>
      </w:r>
      <w:r>
        <w:rPr>
          <w:rStyle w:val="VerbatimChar"/>
        </w:rPr>
        <w:t xml:space="preserve">ILibraryHostClient</w:t>
      </w:r>
      <w:r>
        <w:t xml:space="preserve">, not on</w:t>
      </w:r>
      <w:r>
        <w:t xml:space="preserve"> </w:t>
      </w:r>
      <w:r>
        <w:rPr>
          <w:rStyle w:val="VerbatimChar"/>
        </w:rPr>
        <w:t xml:space="preserve">OgmaLibrary.Infrastructure.LanHost</w:t>
      </w:r>
      <w:r>
        <w:t xml:space="preserve"> </w:t>
      </w:r>
      <w:r>
        <w:t xml:space="preserve">internals.</w:t>
      </w:r>
    </w:p>
    <w:p>
      <w:pPr>
        <w:pStyle w:val="Compact"/>
        <w:numPr>
          <w:ilvl w:val="0"/>
          <w:numId w:val="1087"/>
        </w:numPr>
      </w:pPr>
      <w:r>
        <w:t xml:space="preserve">Residual (design-to-be): profile-database lifecycle tooling (migration, permission audit, diagnostics for the second storage root) is Phase 19 hardening scope.</w:t>
      </w:r>
    </w:p>
    <w:bookmarkEnd w:id="136"/>
    <w:bookmarkStart w:id="137" w:name="consequences-11"/>
    <w:p>
      <w:pPr>
        <w:pStyle w:val="Heading2"/>
      </w:pPr>
      <w:r>
        <w:rPr>
          <w:rStyle w:val="SectionNumber"/>
          <w:rFonts w:ascii="Spectral" w:hAnsi="Spectral" w:eastAsia="Spectral"/>
          <w:color w:val="132338"/>
        </w:rPr>
        <w:t xml:space="preserve">13.6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88"/>
        </w:numPr>
      </w:pPr>
      <w:r>
        <w:t xml:space="preserve">Positive: student privacy is enforced by a file and repository boundary; standalone state is untouched; offline operation is natural; Phase 18 enrollment builds on the same profile and role model.</w:t>
      </w:r>
    </w:p>
    <w:p>
      <w:pPr>
        <w:pStyle w:val="Compact"/>
        <w:numPr>
          <w:ilvl w:val="0"/>
          <w:numId w:val="1088"/>
        </w:numPr>
      </w:pPr>
      <w:r>
        <w:t xml:space="preserve">Negative: the product manages many small databases (lifecycle, permissions, deletion, migration); sync conflict design is mandatory, not optional.</w:t>
      </w:r>
    </w:p>
    <w:p>
      <w:pPr>
        <w:pStyle w:val="Compact"/>
        <w:numPr>
          <w:ilvl w:val="0"/>
          <w:numId w:val="1088"/>
        </w:numPr>
      </w:pPr>
      <w:r>
        <w:t xml:space="preserve">Affects: ADR-0010 (host foundation); ADR-0013 (managed AI rides the same sessions and roles); Phase 19 threat model and data-protection controls; FR-CLIENT group.</w:t>
      </w:r>
    </w:p>
    <w:bookmarkEnd w:id="137"/>
    <w:bookmarkEnd w:id="138"/>
    <w:bookmarkStart w:id="148" w:name="X32a613a6054c2d04e176aaf786b699f8cd230c6"/>
    <w:p>
      <w:pPr>
        <w:pStyle w:val="Heading1"/>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ADR-0013: School-Managed AI Through the Host Gateway</w:t>
      </w:r>
    </w:p>
    <w:p>
      <w:pPr>
        <w:pStyle w:val="Compact"/>
        <w:numPr>
          <w:ilvl w:val="0"/>
          <w:numId w:val="1089"/>
        </w:numPr>
      </w:pPr>
      <w:r>
        <w:t xml:space="preserve">ID:</w:t>
      </w:r>
      <w:r>
        <w:t xml:space="preserve"> </w:t>
      </w:r>
      <w:r>
        <w:rPr>
          <w:b/>
          <w:bCs/>
        </w:rPr>
        <w:t xml:space="preserve">ADR-0013</w:t>
      </w:r>
    </w:p>
    <w:p>
      <w:pPr>
        <w:pStyle w:val="Compact"/>
        <w:numPr>
          <w:ilvl w:val="0"/>
          <w:numId w:val="1089"/>
        </w:numPr>
      </w:pPr>
      <w:r>
        <w:t xml:space="preserve">Status: Accepted — ratified by owner direction during Phase 18 completion (2026-06-02) and in implementation; formal owner counter-signature pending baseline v2.0 sign-off</w:t>
      </w:r>
    </w:p>
    <w:p>
      <w:pPr>
        <w:pStyle w:val="Compact"/>
        <w:numPr>
          <w:ilvl w:val="0"/>
          <w:numId w:val="1089"/>
        </w:numPr>
      </w:pPr>
      <w:r>
        <w:t xml:space="preserve">Date: 2026-06-02</w:t>
      </w:r>
    </w:p>
    <w:p>
      <w:pPr>
        <w:pStyle w:val="Compact"/>
        <w:numPr>
          <w:ilvl w:val="0"/>
          <w:numId w:val="1089"/>
        </w:numPr>
      </w:pPr>
      <w:r>
        <w:t xml:space="preserve">Deciders: Product owner (Chwezi Core Systems), AI engineer, Engineering lead</w:t>
      </w:r>
    </w:p>
    <w:bookmarkStart w:id="139" w:name="context-12"/>
    <w:p>
      <w:pPr>
        <w:pStyle w:val="Heading2"/>
      </w:pPr>
      <w:r>
        <w:rPr>
          <w:rStyle w:val="SectionNumber"/>
          <w:rFonts w:ascii="Spectral" w:hAnsi="Spectral" w:eastAsia="Spectral"/>
          <w:color w:val="132338"/>
        </w:rPr>
        <w:t xml:space="preserve">14.1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Phase 16 added the opt-in LAN Library Host (ADR-0010); Phase 17 added classroom clients with private per-student state (ADR-0012). Phase 18 adds school administration and managed AI: the administrator supplies provider keys, controls library publication, enrolls students and teachers, and sets AI policy and quotas. Students are often minors; the school is the data controller for classroom AI use, and student devices must never receive provider API keys. ADR-0007 already establishes a provider-neutral gateway with four privacy tiers for the standalone product. Phase 18 must extend that gateway to the classroom host without creating a second egress path or weakening payload preview, audit, quota, or DPIA controls.</w:t>
      </w:r>
    </w:p>
    <w:bookmarkEnd w:id="139"/>
    <w:bookmarkStart w:id="140" w:name="decision-drivers-12"/>
    <w:p>
      <w:pPr>
        <w:pStyle w:val="Heading2"/>
      </w:pPr>
      <w:r>
        <w:rPr>
          <w:rStyle w:val="SectionNumber"/>
          <w:rFonts w:ascii="Spectral" w:hAnsi="Spectral" w:eastAsia="Spectral"/>
          <w:color w:val="132338"/>
        </w:rPr>
        <w:t xml:space="preserve">14.2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90"/>
        </w:numPr>
      </w:pPr>
      <w:r>
        <w:t xml:space="preserve">Keep provider keys on the host and out of every student client (FR-ADMIN-004).</w:t>
      </w:r>
    </w:p>
    <w:p>
      <w:pPr>
        <w:pStyle w:val="Compact"/>
        <w:numPr>
          <w:ilvl w:val="0"/>
          <w:numId w:val="1090"/>
        </w:numPr>
      </w:pPr>
      <w:r>
        <w:t xml:space="preserve">Preserve ADR-0007's single AI egress chokepoint and privacy tiers.</w:t>
      </w:r>
    </w:p>
    <w:p>
      <w:pPr>
        <w:pStyle w:val="Compact"/>
        <w:numPr>
          <w:ilvl w:val="0"/>
          <w:numId w:val="1090"/>
        </w:numPr>
      </w:pPr>
      <w:r>
        <w:t xml:space="preserve">Default classroom AI to metadata-only; content-aware requires admin opt-in (FR-ADMIN-006).</w:t>
      </w:r>
    </w:p>
    <w:p>
      <w:pPr>
        <w:pStyle w:val="Compact"/>
        <w:numPr>
          <w:ilvl w:val="0"/>
          <w:numId w:val="1090"/>
        </w:numPr>
      </w:pPr>
      <w:r>
        <w:t xml:space="preserve">Enforce per-student and per-class quotas and rate limits before provider calls (FR-ADMIN-008, FR-ADMIN-009).</w:t>
      </w:r>
    </w:p>
    <w:p>
      <w:pPr>
        <w:pStyle w:val="Compact"/>
        <w:numPr>
          <w:ilvl w:val="0"/>
          <w:numId w:val="1090"/>
        </w:numPr>
      </w:pPr>
      <w:r>
        <w:t xml:space="preserve">Record audit and usage evidence for every AI call without retaining raw student queries unnecessarily.</w:t>
      </w:r>
    </w:p>
    <w:p>
      <w:pPr>
        <w:pStyle w:val="Compact"/>
        <w:numPr>
          <w:ilvl w:val="0"/>
          <w:numId w:val="1090"/>
        </w:numPr>
      </w:pPr>
      <w:r>
        <w:t xml:space="preserve">Fail closed for minors' data when DPIA jurisdiction or legal basis is missing.</w:t>
      </w:r>
    </w:p>
    <w:p>
      <w:pPr>
        <w:pStyle w:val="Compact"/>
        <w:numPr>
          <w:ilvl w:val="0"/>
          <w:numId w:val="1090"/>
        </w:numPr>
      </w:pPr>
      <w:r>
        <w:t xml:space="preserve">Keep school administration host-local; no internet-facing admin console.</w:t>
      </w:r>
    </w:p>
    <w:bookmarkEnd w:id="140"/>
    <w:bookmarkStart w:id="144" w:name="considered-options-12"/>
    <w:p>
      <w:pPr>
        <w:pStyle w:val="Heading2"/>
      </w:pPr>
      <w:r>
        <w:rPr>
          <w:rStyle w:val="SectionNumber"/>
          <w:rFonts w:ascii="Spectral" w:hAnsi="Spectral" w:eastAsia="Spectral"/>
          <w:color w:val="132338"/>
        </w:rPr>
        <w:t xml:space="preserve">14.3</w:t>
      </w:r>
      <w:r>
        <w:rPr>
          <w:rFonts w:ascii="Spectral" w:hAnsi="Spectral" w:eastAsia="Spectral"/>
          <w:color w:val="132338"/>
        </w:rPr>
        <w:tab/>
      </w:r>
      <w:r>
        <w:rPr>
          <w:rFonts w:ascii="Spectral" w:hAnsi="Spectral" w:eastAsia="Spectral"/>
          <w:color w:val="132338"/>
        </w:rPr>
        <w:t xml:space="preserve">Considered Options</w:t>
      </w:r>
    </w:p>
    <w:bookmarkStart w:id="141" w:name="X794a0d69d82a828eb630667b1b932e5dab85190"/>
    <w:p>
      <w:pPr>
        <w:pStyle w:val="Heading3"/>
      </w:pPr>
      <w:r>
        <w:rPr>
          <w:rStyle w:val="SectionNumber"/>
          <w:rFonts w:ascii="Spectral" w:hAnsi="Spectral" w:eastAsia="Spectral"/>
          <w:color w:val="132338"/>
        </w:rPr>
        <w:t xml:space="preserve">14.3.1</w:t>
      </w:r>
      <w:r>
        <w:rPr>
          <w:rFonts w:ascii="Spectral" w:hAnsi="Spectral" w:eastAsia="Spectral"/>
          <w:color w:val="132338"/>
        </w:rPr>
        <w:tab/>
      </w:r>
      <w:r>
        <w:rPr>
          <w:rFonts w:ascii="Spectral" w:hAnsi="Spectral" w:eastAsia="Spectral"/>
          <w:color w:val="132338"/>
        </w:rPr>
        <w:t xml:space="preserve">Option A — Host-owned AI gateway and admin policy</w:t>
      </w:r>
    </w:p>
    <w:p>
      <w:pPr>
        <w:pStyle w:val="FirstParagraph"/>
      </w:pPr>
      <w:r>
        <w:t xml:space="preserve">The host stores school provider keys in the OS credential store. Student clients send classroom smart-search requests to the host. The host builds the payload preview, checks DPIA and quota policy, calls the existing AI gateway, grounds citations against the host catalogue, writes audit and usage records, and returns the bounded response.</w:t>
      </w:r>
    </w:p>
    <w:p>
      <w:pPr>
        <w:pStyle w:val="Compact"/>
        <w:numPr>
          <w:ilvl w:val="0"/>
          <w:numId w:val="1091"/>
        </w:numPr>
      </w:pPr>
      <w:r>
        <w:t xml:space="preserve">Pros: keys never leave the host; ADR-0007 stays enforceable; one place applies policy, quotas, DPIA, audit, and grounding; client devices remain simpler and safer.</w:t>
      </w:r>
    </w:p>
    <w:p>
      <w:pPr>
        <w:pStyle w:val="Compact"/>
        <w:numPr>
          <w:ilvl w:val="0"/>
          <w:numId w:val="1091"/>
        </w:numPr>
      </w:pPr>
      <w:r>
        <w:t xml:space="preserve">Cons: the host becomes a higher-value system needing stronger admin authentication, credential storage, and audit integrity.</w:t>
      </w:r>
    </w:p>
    <w:bookmarkEnd w:id="141"/>
    <w:bookmarkStart w:id="142" w:name="Xa7113ee2096d5f5eb9e82e6b9456a98530a8b24"/>
    <w:p>
      <w:pPr>
        <w:pStyle w:val="Heading3"/>
      </w:pPr>
      <w:r>
        <w:rPr>
          <w:rStyle w:val="SectionNumber"/>
          <w:rFonts w:ascii="Spectral" w:hAnsi="Spectral" w:eastAsia="Spectral"/>
          <w:color w:val="132338"/>
        </w:rPr>
        <w:t xml:space="preserve">14.3.2</w:t>
      </w:r>
      <w:r>
        <w:rPr>
          <w:rFonts w:ascii="Spectral" w:hAnsi="Spectral" w:eastAsia="Spectral"/>
          <w:color w:val="132338"/>
        </w:rPr>
        <w:tab/>
      </w:r>
      <w:r>
        <w:rPr>
          <w:rFonts w:ascii="Spectral" w:hAnsi="Spectral" w:eastAsia="Spectral"/>
          <w:color w:val="132338"/>
        </w:rPr>
        <w:t xml:space="preserve">Option B — School key distributed to clients</w:t>
      </w:r>
    </w:p>
    <w:p>
      <w:pPr>
        <w:pStyle w:val="Compact"/>
        <w:numPr>
          <w:ilvl w:val="0"/>
          <w:numId w:val="1092"/>
        </w:numPr>
      </w:pPr>
      <w:r>
        <w:t xml:space="preserve">Pros: less host complexity and load.</w:t>
      </w:r>
    </w:p>
    <w:p>
      <w:pPr>
        <w:pStyle w:val="Compact"/>
        <w:numPr>
          <w:ilvl w:val="0"/>
          <w:numId w:val="1092"/>
        </w:numPr>
      </w:pPr>
      <w:r>
        <w:t xml:space="preserve">Cons: violates key secrecy; fragments audit and quota enforcement; creates many egress paths; makes minors' data controls unverifiable.</w:t>
      </w:r>
    </w:p>
    <w:bookmarkEnd w:id="142"/>
    <w:bookmarkStart w:id="143" w:name="option-c--hosted-cloud-admin-service"/>
    <w:p>
      <w:pPr>
        <w:pStyle w:val="Heading3"/>
      </w:pPr>
      <w:r>
        <w:rPr>
          <w:rStyle w:val="SectionNumber"/>
          <w:rFonts w:ascii="Spectral" w:hAnsi="Spectral" w:eastAsia="Spectral"/>
          <w:color w:val="132338"/>
        </w:rPr>
        <w:t xml:space="preserve">14.3.3</w:t>
      </w:r>
      <w:r>
        <w:rPr>
          <w:rFonts w:ascii="Spectral" w:hAnsi="Spectral" w:eastAsia="Spectral"/>
          <w:color w:val="132338"/>
        </w:rPr>
        <w:tab/>
      </w:r>
      <w:r>
        <w:rPr>
          <w:rFonts w:ascii="Spectral" w:hAnsi="Spectral" w:eastAsia="Spectral"/>
          <w:color w:val="132338"/>
        </w:rPr>
        <w:t xml:space="preserve">Option C — Hosted cloud admin service</w:t>
      </w:r>
    </w:p>
    <w:p>
      <w:pPr>
        <w:pStyle w:val="Compact"/>
        <w:numPr>
          <w:ilvl w:val="0"/>
          <w:numId w:val="1093"/>
        </w:numPr>
      </w:pPr>
      <w:r>
        <w:t xml:space="preserve">Pros: easier cross-device administration.</w:t>
      </w:r>
    </w:p>
    <w:p>
      <w:pPr>
        <w:pStyle w:val="Compact"/>
        <w:numPr>
          <w:ilvl w:val="0"/>
          <w:numId w:val="1093"/>
        </w:numPr>
      </w:pPr>
      <w:r>
        <w:t xml:space="preserve">Cons: out of scope for a local-first product; introduces multi-tenant cloud operations and expanded compliance obligations.</w:t>
      </w:r>
    </w:p>
    <w:bookmarkEnd w:id="143"/>
    <w:bookmarkEnd w:id="144"/>
    <w:bookmarkStart w:id="145" w:name="decision-outcome-12"/>
    <w:p>
      <w:pPr>
        <w:pStyle w:val="Heading2"/>
      </w:pPr>
      <w:r>
        <w:rPr>
          <w:rStyle w:val="SectionNumber"/>
          <w:rFonts w:ascii="Spectral" w:hAnsi="Spectral" w:eastAsia="Spectral"/>
          <w:color w:val="132338"/>
        </w:rPr>
        <w:t xml:space="preserve">14.4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Choose</w:t>
      </w:r>
      <w:r>
        <w:t xml:space="preserve"> </w:t>
      </w:r>
      <w:r>
        <w:rPr>
          <w:b/>
          <w:bCs/>
        </w:rPr>
        <w:t xml:space="preserve">Option A: host-owned AI gateway and admin policy</w:t>
      </w:r>
      <w:r>
        <w:t xml:space="preserve">. The School Administration bounded context owns host-local policy for published libraries, shared shelves, enrolled profiles, AI tier defaults, quotas, rate limits, and answer mode; school AI key status and rotation through the host OS credential store (public APIs expose key status, never key material); a classroom AI proxy endpoint that requires an authenticated session, builds a payload preview, blocks until confirmation, then runs the approved request through the host AI gateway; DPIA screening before any off-device call — missing jurisdiction, missing legal basis, or unapproved minor/content-aware combinations return a blocked result, not a best-effort call; atomic quota reservation before provider calls with ledger and audit writes after; and grounding that removes citations not present in the host catalogue before a response reaches a student (FR-ADMIN-011). The context starts as a disabled scaffold; activation requires host mode, administrator role enforcement, and owner-ratified policy.</w:t>
      </w:r>
    </w:p>
    <w:bookmarkEnd w:id="145"/>
    <w:bookmarkStart w:id="146" w:name="evidence-of-implementation-12"/>
    <w:p>
      <w:pPr>
        <w:pStyle w:val="Heading2"/>
      </w:pPr>
      <w:r>
        <w:rPr>
          <w:rStyle w:val="SectionNumber"/>
          <w:rFonts w:ascii="Spectral" w:hAnsi="Spectral" w:eastAsia="Spectral"/>
          <w:color w:val="132338"/>
        </w:rPr>
        <w:t xml:space="preserve">14.5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94"/>
        </w:numPr>
      </w:pPr>
      <w:r>
        <w:rPr>
          <w:rStyle w:val="VerbatimChar"/>
        </w:rPr>
        <w:t xml:space="preserve">src/OgmaLibrary.Infrastructure/SchoolAdmin</w:t>
      </w:r>
      <w:r>
        <w:t xml:space="preserve"> </w:t>
      </w:r>
      <w:r>
        <w:t xml:space="preserve">implements the context:</w:t>
      </w:r>
      <w:r>
        <w:t xml:space="preserve"> </w:t>
      </w:r>
      <w:r>
        <w:rPr>
          <w:rStyle w:val="VerbatimChar"/>
        </w:rPr>
        <w:t xml:space="preserve">AiProxyEndpointHandler</w:t>
      </w:r>
      <w:r>
        <w:t xml:space="preserve"> </w:t>
      </w:r>
      <w:r>
        <w:t xml:space="preserve">(preview and search endpoints exposed by</w:t>
      </w:r>
      <w:r>
        <w:t xml:space="preserve"> </w:t>
      </w:r>
      <w:r>
        <w:rPr>
          <w:rStyle w:val="VerbatimChar"/>
        </w:rPr>
        <w:t xml:space="preserve">KestrelHostModeListener</w:t>
      </w:r>
      <w:r>
        <w:t xml:space="preserve"> </w:t>
      </w:r>
      <w:r>
        <w:t xml:space="preserve">at</w:t>
      </w:r>
      <w:r>
        <w:t xml:space="preserve"> </w:t>
      </w:r>
      <w:r>
        <w:rPr>
          <w:rStyle w:val="VerbatimChar"/>
        </w:rPr>
        <w:t xml:space="preserve">/api/v1/ai/search/preview</w:t>
      </w:r>
      <w:r>
        <w:t xml:space="preserve"> </w:t>
      </w:r>
      <w:r>
        <w:t xml:space="preserve">and</w:t>
      </w:r>
      <w:r>
        <w:t xml:space="preserve"> </w:t>
      </w:r>
      <w:r>
        <w:rPr>
          <w:rStyle w:val="VerbatimChar"/>
        </w:rPr>
        <w:t xml:space="preserve">/api/v1/ai/search</w:t>
      </w:r>
      <w:r>
        <w:t xml:space="preserve">),</w:t>
      </w:r>
      <w:r>
        <w:t xml:space="preserve"> </w:t>
      </w:r>
      <w:r>
        <w:rPr>
          <w:rStyle w:val="VerbatimChar"/>
        </w:rPr>
        <w:t xml:space="preserve">SchoolAiKeyProvider</w:t>
      </w:r>
      <w:r>
        <w:t xml:space="preserve"> </w:t>
      </w:r>
      <w:r>
        <w:t xml:space="preserve">(credential-store key status),</w:t>
      </w:r>
      <w:r>
        <w:t xml:space="preserve"> </w:t>
      </w:r>
      <w:r>
        <w:rPr>
          <w:rStyle w:val="VerbatimChar"/>
        </w:rPr>
        <w:t xml:space="preserve">SchoolAiPolicyService</w:t>
      </w:r>
      <w:r>
        <w:t xml:space="preserve">,</w:t>
      </w:r>
      <w:r>
        <w:t xml:space="preserve"> </w:t>
      </w:r>
      <w:r>
        <w:rPr>
          <w:rStyle w:val="VerbatimChar"/>
        </w:rPr>
        <w:t xml:space="preserve">SchoolDpiaScreeningService</w:t>
      </w:r>
      <w:r>
        <w:t xml:space="preserve"> </w:t>
      </w:r>
      <w:r>
        <w:t xml:space="preserve">(fail-closed screening),</w:t>
      </w:r>
      <w:r>
        <w:t xml:space="preserve"> </w:t>
      </w:r>
      <w:r>
        <w:rPr>
          <w:rStyle w:val="VerbatimChar"/>
        </w:rPr>
        <w:t xml:space="preserve">ClassroomAnswerGrounder</w:t>
      </w:r>
      <w:r>
        <w:t xml:space="preserve"> </w:t>
      </w:r>
      <w:r>
        <w:t xml:space="preserve">(host-catalogue citation grounding),</w:t>
      </w:r>
      <w:r>
        <w:t xml:space="preserve"> </w:t>
      </w:r>
      <w:r>
        <w:rPr>
          <w:rStyle w:val="VerbatimChar"/>
        </w:rPr>
        <w:t xml:space="preserve">SchoolUsageDashboardService</w:t>
      </w:r>
      <w:r>
        <w:t xml:space="preserve"> </w:t>
      </w:r>
      <w:r>
        <w:t xml:space="preserve">(FR-ADMIN-010),</w:t>
      </w:r>
      <w:r>
        <w:t xml:space="preserve"> </w:t>
      </w:r>
      <w:r>
        <w:rPr>
          <w:rStyle w:val="VerbatimChar"/>
        </w:rPr>
        <w:t xml:space="preserve">SchoolProfileEnrollmentService</w:t>
      </w:r>
      <w:r>
        <w:t xml:space="preserve">,</w:t>
      </w:r>
      <w:r>
        <w:t xml:space="preserve"> </w:t>
      </w:r>
      <w:r>
        <w:rPr>
          <w:rStyle w:val="VerbatimChar"/>
        </w:rPr>
        <w:t xml:space="preserve">SchoolAiHistoryManagementService</w:t>
      </w:r>
      <w:r>
        <w:t xml:space="preserve"> </w:t>
      </w:r>
      <w:r>
        <w:t xml:space="preserve">(student self-delete and institutional purge, FR-ADMIN-012/013), and</w:t>
      </w:r>
      <w:r>
        <w:t xml:space="preserve"> </w:t>
      </w:r>
      <w:r>
        <w:rPr>
          <w:rStyle w:val="VerbatimChar"/>
        </w:rPr>
        <w:t xml:space="preserve">SchoolAdminCatalogueService</w:t>
      </w:r>
      <w:r>
        <w:t xml:space="preserve"> </w:t>
      </w:r>
      <w:r>
        <w:t xml:space="preserve">(publish/unpublish, shared shelves).</w:t>
      </w:r>
    </w:p>
    <w:p>
      <w:pPr>
        <w:pStyle w:val="Compact"/>
        <w:numPr>
          <w:ilvl w:val="0"/>
          <w:numId w:val="1094"/>
        </w:numPr>
      </w:pPr>
      <w:r>
        <w:t xml:space="preserve">The</w:t>
      </w:r>
      <w:r>
        <w:t xml:space="preserve"> </w:t>
      </w:r>
      <w:r>
        <w:rPr>
          <w:rStyle w:val="VerbatimChar"/>
        </w:rPr>
        <w:t xml:space="preserve">Phase18SchoolAdminTables</w:t>
      </w:r>
      <w:r>
        <w:t xml:space="preserve"> </w:t>
      </w:r>
      <w:r>
        <w:t xml:space="preserve">migration adds</w:t>
      </w:r>
      <w:r>
        <w:t xml:space="preserve"> </w:t>
      </w:r>
      <w:r>
        <w:rPr>
          <w:rStyle w:val="VerbatimChar"/>
        </w:rPr>
        <w:t xml:space="preserve">SchoolAiEntitlements</w:t>
      </w:r>
      <w:r>
        <w:t xml:space="preserve"> </w:t>
      </w:r>
      <w:r>
        <w:t xml:space="preserve">(quotas and rate limits),</w:t>
      </w:r>
      <w:r>
        <w:t xml:space="preserve"> </w:t>
      </w:r>
      <w:r>
        <w:rPr>
          <w:rStyle w:val="VerbatimChar"/>
        </w:rPr>
        <w:t xml:space="preserve">AiUsageLedger</w:t>
      </w:r>
      <w:r>
        <w:t xml:space="preserve">,</w:t>
      </w:r>
      <w:r>
        <w:t xml:space="preserve"> </w:t>
      </w:r>
      <w:r>
        <w:rPr>
          <w:rStyle w:val="VerbatimChar"/>
        </w:rPr>
        <w:t xml:space="preserve">EnrolledProfiles</w:t>
      </w:r>
      <w:r>
        <w:t xml:space="preserve">,</w:t>
      </w:r>
      <w:r>
        <w:t xml:space="preserve"> </w:t>
      </w:r>
      <w:r>
        <w:rPr>
          <w:rStyle w:val="VerbatimChar"/>
        </w:rPr>
        <w:t xml:space="preserve">LibraryPublishSettings</w:t>
      </w:r>
      <w:r>
        <w:t xml:space="preserve">,</w:t>
      </w:r>
      <w:r>
        <w:t xml:space="preserve"> </w:t>
      </w:r>
      <w:r>
        <w:rPr>
          <w:rStyle w:val="VerbatimChar"/>
        </w:rPr>
        <w:t xml:space="preserve">SharedShelves</w:t>
      </w:r>
      <w:r>
        <w:t xml:space="preserve">, and</w:t>
      </w:r>
      <w:r>
        <w:t xml:space="preserve"> </w:t>
      </w:r>
      <w:r>
        <w:rPr>
          <w:rStyle w:val="VerbatimChar"/>
        </w:rPr>
        <w:t xml:space="preserve">SharedShelfBooks</w:t>
      </w:r>
      <w:r>
        <w:t xml:space="preserve">.</w:t>
      </w:r>
    </w:p>
    <w:p>
      <w:pPr>
        <w:pStyle w:val="Compact"/>
        <w:numPr>
          <w:ilvl w:val="0"/>
          <w:numId w:val="1094"/>
        </w:numPr>
      </w:pPr>
      <w:r>
        <w:t xml:space="preserve">The proxy rejects admin-originated classroom searches (</w:t>
      </w:r>
      <w:r>
        <w:rPr>
          <w:rStyle w:val="VerbatimChar"/>
        </w:rPr>
        <w:t xml:space="preserve">school_ai_admin_forbidden</w:t>
      </w:r>
      <w:r>
        <w:t xml:space="preserve">) and maps quota, policy, and DPIA failures to typed error results rather than provider calls.</w:t>
      </w:r>
    </w:p>
    <w:p>
      <w:pPr>
        <w:pStyle w:val="Compact"/>
        <w:numPr>
          <w:ilvl w:val="0"/>
          <w:numId w:val="1094"/>
        </w:numPr>
      </w:pPr>
      <w:r>
        <w:t xml:space="preserve">Residual (design-to-be): admin-authentication hardening and audit-integrity controls are Phase 19; per-jurisdiction DPIA execution accompanies each classroom deployment.</w:t>
      </w:r>
    </w:p>
    <w:bookmarkEnd w:id="146"/>
    <w:bookmarkStart w:id="147" w:name="consequences-12"/>
    <w:p>
      <w:pPr>
        <w:pStyle w:val="Heading2"/>
      </w:pPr>
      <w:r>
        <w:rPr>
          <w:rStyle w:val="SectionNumber"/>
          <w:rFonts w:ascii="Spectral" w:hAnsi="Spectral" w:eastAsia="Spectral"/>
          <w:color w:val="132338"/>
        </w:rPr>
        <w:t xml:space="preserve">14.6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95"/>
        </w:numPr>
      </w:pPr>
      <w:r>
        <w:t xml:space="preserve">Positive: student clients never hold provider keys and cannot bypass host policy; classroom AI governance is testable at one boundary; metadata-only remains the default; quota and cost controls are enforced per student and per class.</w:t>
      </w:r>
    </w:p>
    <w:p>
      <w:pPr>
        <w:pStyle w:val="Compact"/>
        <w:numPr>
          <w:ilvl w:val="0"/>
          <w:numId w:val="1095"/>
        </w:numPr>
      </w:pPr>
      <w:r>
        <w:t xml:space="preserve">Negative: the host needs stronger admin authentication and operational guidance; a host outage pauses classroom AI even though cached reading continues; audit rows must not retain raw student query text absent an owner-ratified policy.</w:t>
      </w:r>
    </w:p>
    <w:p>
      <w:pPr>
        <w:pStyle w:val="Compact"/>
        <w:numPr>
          <w:ilvl w:val="0"/>
          <w:numId w:val="1095"/>
        </w:numPr>
      </w:pPr>
      <w:r>
        <w:t xml:space="preserve">Affects: ADR-0007 (gateway and tiers); ADR-0010 and ADR-0012 (host and identity foundations); Phase 19 DPIA, threat model, and hardening; FR-ADMIN group.</w:t>
      </w:r>
    </w:p>
    <w:bookmarkEnd w:id="147"/>
    <w:bookmarkEnd w:id="148"/>
    <w:bookmarkStart w:id="157" w:name="X46c6979e405faf8090261dfc1618b0e281960b9"/>
    <w:p>
      <w:pPr>
        <w:pStyle w:val="Heading1"/>
      </w:pPr>
      <w:r>
        <w:rPr>
          <w:rStyle w:val="SectionNumber"/>
          <w:rFonts w:ascii="Spectral" w:hAnsi="Spectral" w:eastAsia="Spectral"/>
          <w:color w:val="132338"/>
        </w:rPr>
        <w:t xml:space="preserve">15</w:t>
      </w:r>
      <w:r>
        <w:rPr>
          <w:rFonts w:ascii="Spectral" w:hAnsi="Spectral" w:eastAsia="Spectral"/>
          <w:color w:val="132338"/>
        </w:rPr>
        <w:tab/>
      </w:r>
      <w:r>
        <w:rPr>
          <w:rFonts w:ascii="Spectral" w:hAnsi="Spectral" w:eastAsia="Spectral"/>
          <w:color w:val="132338"/>
        </w:rPr>
        <w:t xml:space="preserve">ADR-0014: EF Core 9.x on the net10.0 Runtime — Version Alignment</w:t>
      </w:r>
    </w:p>
    <w:p>
      <w:pPr>
        <w:pStyle w:val="Compact"/>
        <w:numPr>
          <w:ilvl w:val="0"/>
          <w:numId w:val="1096"/>
        </w:numPr>
      </w:pPr>
      <w:r>
        <w:t xml:space="preserve">ID:</w:t>
      </w:r>
      <w:r>
        <w:t xml:space="preserve"> </w:t>
      </w:r>
      <w:r>
        <w:rPr>
          <w:b/>
          <w:bCs/>
        </w:rPr>
        <w:t xml:space="preserve">ADR-0014</w:t>
      </w:r>
    </w:p>
    <w:p>
      <w:pPr>
        <w:pStyle w:val="Compact"/>
        <w:numPr>
          <w:ilvl w:val="0"/>
          <w:numId w:val="1096"/>
        </w:numPr>
      </w:pPr>
      <w:r>
        <w:t xml:space="preserve">Status: Superseded by ADR-0016 on 2026-08-13</w:t>
      </w:r>
    </w:p>
    <w:p>
      <w:pPr>
        <w:pStyle w:val="Compact"/>
        <w:numPr>
          <w:ilvl w:val="0"/>
          <w:numId w:val="1096"/>
        </w:numPr>
      </w:pPr>
      <w:r>
        <w:t xml:space="preserve">Date: 2026-07-06</w:t>
      </w:r>
    </w:p>
    <w:p>
      <w:pPr>
        <w:pStyle w:val="Compact"/>
        <w:numPr>
          <w:ilvl w:val="0"/>
          <w:numId w:val="1096"/>
        </w:numPr>
      </w:pPr>
      <w:r>
        <w:t xml:space="preserve">Deciders: Engineering lead (recommendation), Product owner (ratification)</w:t>
      </w:r>
    </w:p>
    <w:bookmarkStart w:id="149" w:name="context-13"/>
    <w:p>
      <w:pPr>
        <w:pStyle w:val="Heading2"/>
      </w:pPr>
      <w:r>
        <w:rPr>
          <w:rStyle w:val="SectionNumber"/>
          <w:rFonts w:ascii="Spectral" w:hAnsi="Spectral" w:eastAsia="Spectral"/>
          <w:color w:val="132338"/>
        </w:rPr>
        <w:t xml:space="preserve">15.1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This record captured the July 2026 question created by EF Core 9 on</w:t>
      </w:r>
      <w:r>
        <w:t xml:space="preserve"> </w:t>
      </w:r>
      <w:r>
        <w:rPr>
          <w:rStyle w:val="VerbatimChar"/>
        </w:rPr>
        <w:t xml:space="preserve">net10.0</w:t>
      </w:r>
      <w:r>
        <w:t xml:space="preserve">. The inspected August baseline uses EF Core SQLite 10.0.9 and Microsoft.Extensions 10.0.9. ADR-0016 records that current baseline, the supporting test/audit evidence, and the upgrade gates. The options below remain as decision history only.</w:t>
      </w:r>
    </w:p>
    <w:bookmarkEnd w:id="149"/>
    <w:bookmarkStart w:id="150" w:name="decision-drivers-13"/>
    <w:p>
      <w:pPr>
        <w:pStyle w:val="Heading2"/>
      </w:pPr>
      <w:r>
        <w:rPr>
          <w:rStyle w:val="SectionNumber"/>
          <w:rFonts w:ascii="Spectral" w:hAnsi="Spectral" w:eastAsia="Spectral"/>
          <w:color w:val="132338"/>
        </w:rPr>
        <w:t xml:space="preserve">15.2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97"/>
        </w:numPr>
      </w:pPr>
      <w:r>
        <w:t xml:space="preserve">Support alignment: the data layer should not age out of support before the runtime it sits on.</w:t>
      </w:r>
    </w:p>
    <w:p>
      <w:pPr>
        <w:pStyle w:val="Compact"/>
        <w:numPr>
          <w:ilvl w:val="0"/>
          <w:numId w:val="1097"/>
        </w:numPr>
      </w:pPr>
      <w:r>
        <w:t xml:space="preserve">Migration risk: 11 applied migrations and the FTS5 raw-SQL trigger set must survive any provider upgrade byte-for-byte or with verified equivalence.</w:t>
      </w:r>
    </w:p>
    <w:p>
      <w:pPr>
        <w:pStyle w:val="Compact"/>
        <w:numPr>
          <w:ilvl w:val="0"/>
          <w:numId w:val="1097"/>
        </w:numPr>
      </w:pPr>
      <w:r>
        <w:t xml:space="preserve">Dependency hygiene: a single coherent</w:t>
      </w:r>
      <w:r>
        <w:t xml:space="preserve"> </w:t>
      </w:r>
      <w:r>
        <w:rPr>
          <w:rStyle w:val="VerbatimChar"/>
        </w:rPr>
        <w:t xml:space="preserve">Microsoft.Extensions.*</w:t>
      </w:r>
      <w:r>
        <w:t xml:space="preserve"> </w:t>
      </w:r>
      <w:r>
        <w:t xml:space="preserve">version line reduces re-validation cost per bump.</w:t>
      </w:r>
    </w:p>
    <w:p>
      <w:pPr>
        <w:pStyle w:val="Compact"/>
        <w:numPr>
          <w:ilvl w:val="0"/>
          <w:numId w:val="1097"/>
        </w:numPr>
      </w:pPr>
      <w:r>
        <w:t xml:space="preserve">Timing: the change is cheapest before Phase 19 hardening freezes the dependency set for release.</w:t>
      </w:r>
    </w:p>
    <w:bookmarkEnd w:id="150"/>
    <w:bookmarkStart w:id="154" w:name="considered-options-13"/>
    <w:p>
      <w:pPr>
        <w:pStyle w:val="Heading2"/>
      </w:pPr>
      <w:r>
        <w:rPr>
          <w:rStyle w:val="SectionNumber"/>
          <w:rFonts w:ascii="Spectral" w:hAnsi="Spectral" w:eastAsia="Spectral"/>
          <w:color w:val="132338"/>
        </w:rPr>
        <w:t xml:space="preserve">15.3</w:t>
      </w:r>
      <w:r>
        <w:rPr>
          <w:rFonts w:ascii="Spectral" w:hAnsi="Spectral" w:eastAsia="Spectral"/>
          <w:color w:val="132338"/>
        </w:rPr>
        <w:tab/>
      </w:r>
      <w:r>
        <w:rPr>
          <w:rFonts w:ascii="Spectral" w:hAnsi="Spectral" w:eastAsia="Spectral"/>
          <w:color w:val="132338"/>
        </w:rPr>
        <w:t xml:space="preserve">Considered Options</w:t>
      </w:r>
    </w:p>
    <w:bookmarkStart w:id="151" w:name="X3674fe45e268ba600674c47d7359092203cd5ec"/>
    <w:p>
      <w:pPr>
        <w:pStyle w:val="Heading3"/>
      </w:pPr>
      <w:r>
        <w:rPr>
          <w:rStyle w:val="SectionNumber"/>
          <w:rFonts w:ascii="Spectral" w:hAnsi="Spectral" w:eastAsia="Spectral"/>
          <w:color w:val="132338"/>
        </w:rPr>
        <w:t xml:space="preserve">15.3.1</w:t>
      </w:r>
      <w:r>
        <w:rPr>
          <w:rFonts w:ascii="Spectral" w:hAnsi="Spectral" w:eastAsia="Spectral"/>
          <w:color w:val="132338"/>
        </w:rPr>
        <w:tab/>
      </w:r>
      <w:r>
        <w:rPr>
          <w:rFonts w:ascii="Spectral" w:hAnsi="Spectral" w:eastAsia="Spectral"/>
          <w:color w:val="132338"/>
        </w:rPr>
        <w:t xml:space="preserve">Option A — Migrate to EF Core 10.x now (before Phase 19)</w:t>
      </w:r>
    </w:p>
    <w:p>
      <w:pPr>
        <w:pStyle w:val="Compact"/>
        <w:numPr>
          <w:ilvl w:val="0"/>
          <w:numId w:val="1098"/>
        </w:numPr>
      </w:pPr>
      <w:r>
        <w:t xml:space="preserve">Pros: aligns data-layer support with the .NET 10 LTS window; unifies the extensions matrix at 10.x; the upgrade lands while the test suite and golden corpus can absorb it.</w:t>
      </w:r>
    </w:p>
    <w:p>
      <w:pPr>
        <w:pStyle w:val="Compact"/>
        <w:numPr>
          <w:ilvl w:val="0"/>
          <w:numId w:val="1098"/>
        </w:numPr>
      </w:pPr>
      <w:r>
        <w:t xml:space="preserve">Cons: a provider upgrade must be regression-tested across all migrations, the FTS5 external-content triggers, and the SQLite interop; any EF 10 behavioural change in generated SQL must be diffed.</w:t>
      </w:r>
    </w:p>
    <w:bookmarkEnd w:id="151"/>
    <w:bookmarkStart w:id="152" w:name="X78fc99b813765ab1b8d0b0b8c49f380f808f370"/>
    <w:p>
      <w:pPr>
        <w:pStyle w:val="Heading3"/>
      </w:pPr>
      <w:r>
        <w:rPr>
          <w:rStyle w:val="SectionNumber"/>
          <w:rFonts w:ascii="Spectral" w:hAnsi="Spectral" w:eastAsia="Spectral"/>
          <w:color w:val="132338"/>
        </w:rPr>
        <w:t xml:space="preserve">15.3.2</w:t>
      </w:r>
      <w:r>
        <w:rPr>
          <w:rFonts w:ascii="Spectral" w:hAnsi="Spectral" w:eastAsia="Spectral"/>
          <w:color w:val="132338"/>
        </w:rPr>
        <w:tab/>
      </w:r>
      <w:r>
        <w:rPr>
          <w:rFonts w:ascii="Spectral" w:hAnsi="Spectral" w:eastAsia="Spectral"/>
          <w:color w:val="132338"/>
        </w:rPr>
        <w:t xml:space="preserve">Option B — Pin EF Core 9.0.x through launch; migrate at first post-launch maintenance window</w:t>
      </w:r>
    </w:p>
    <w:p>
      <w:pPr>
        <w:pStyle w:val="Compact"/>
        <w:numPr>
          <w:ilvl w:val="0"/>
          <w:numId w:val="1099"/>
        </w:numPr>
      </w:pPr>
      <w:r>
        <w:t xml:space="preserve">Pros: zero pre-launch churn; the current matrix is proven by the existing test suite.</w:t>
      </w:r>
    </w:p>
    <w:p>
      <w:pPr>
        <w:pStyle w:val="Compact"/>
        <w:numPr>
          <w:ilvl w:val="0"/>
          <w:numId w:val="1099"/>
        </w:numPr>
      </w:pPr>
      <w:r>
        <w:t xml:space="preserve">Cons: ships a data layer on a shorter support line than the runtime; the migration then happens against a released product with live user catalogues.</w:t>
      </w:r>
    </w:p>
    <w:bookmarkEnd w:id="152"/>
    <w:bookmarkStart w:id="153" w:name="Xea9cecf1064d31b4c1d1d528d1aed3a546be9b2"/>
    <w:p>
      <w:pPr>
        <w:pStyle w:val="Heading3"/>
      </w:pPr>
      <w:r>
        <w:rPr>
          <w:rStyle w:val="SectionNumber"/>
          <w:rFonts w:ascii="Spectral" w:hAnsi="Spectral" w:eastAsia="Spectral"/>
          <w:color w:val="132338"/>
        </w:rPr>
        <w:t xml:space="preserve">15.3.3</w:t>
      </w:r>
      <w:r>
        <w:rPr>
          <w:rFonts w:ascii="Spectral" w:hAnsi="Spectral" w:eastAsia="Spectral"/>
          <w:color w:val="132338"/>
        </w:rPr>
        <w:tab/>
      </w:r>
      <w:r>
        <w:rPr>
          <w:rFonts w:ascii="Spectral" w:hAnsi="Spectral" w:eastAsia="Spectral"/>
          <w:color w:val="132338"/>
        </w:rPr>
        <w:t xml:space="preserve">Option C — Stay on EF Core 9.x indefinitely</w:t>
      </w:r>
    </w:p>
    <w:p>
      <w:pPr>
        <w:pStyle w:val="Compact"/>
        <w:numPr>
          <w:ilvl w:val="0"/>
          <w:numId w:val="1100"/>
        </w:numPr>
      </w:pPr>
      <w:r>
        <w:t xml:space="preserve">Pros: no work.</w:t>
      </w:r>
    </w:p>
    <w:p>
      <w:pPr>
        <w:pStyle w:val="Compact"/>
        <w:numPr>
          <w:ilvl w:val="0"/>
          <w:numId w:val="1100"/>
        </w:numPr>
      </w:pPr>
      <w:r>
        <w:t xml:space="preserve">Cons: guarantees an eventual out-of-support data layer under a supported runtime; fails the ADR-0001 rationale by the same logic that rejected .NET 8.</w:t>
      </w:r>
    </w:p>
    <w:bookmarkEnd w:id="153"/>
    <w:bookmarkEnd w:id="154"/>
    <w:bookmarkStart w:id="155" w:name="decision-outcome-13"/>
    <w:p>
      <w:pPr>
        <w:pStyle w:val="Heading2"/>
      </w:pPr>
      <w:r>
        <w:rPr>
          <w:rStyle w:val="SectionNumber"/>
          <w:rFonts w:ascii="Spectral" w:hAnsi="Spectral" w:eastAsia="Spectral"/>
          <w:color w:val="132338"/>
        </w:rPr>
        <w:t xml:space="preserve">15.4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Open. Recommendation to the owner:</w:t>
      </w:r>
      <w:r>
        <w:t xml:space="preserve"> </w:t>
      </w:r>
      <w:r>
        <w:rPr>
          <w:b/>
          <w:bCs/>
        </w:rPr>
        <w:t xml:space="preserve">Option A</w:t>
      </w:r>
      <w:r>
        <w:t xml:space="preserve">, executed as a dedicated change with these gates — (1) all 11 migrations apply cleanly to a copy of a real catalogue and to a fresh database with identical schema output; (2) the FTS5</w:t>
      </w:r>
      <w:r>
        <w:t xml:space="preserve"> </w:t>
      </w:r>
      <w:r>
        <w:rPr>
          <w:rStyle w:val="VerbatimChar"/>
        </w:rPr>
        <w:t xml:space="preserve">SearchFts5</w:t>
      </w:r>
      <w:r>
        <w:t xml:space="preserve"> </w:t>
      </w:r>
      <w:r>
        <w:t xml:space="preserve">virtual table and its 3 triggers are byte-identical or proven equivalent; (3) the full 800-case canonical Release suite plus the golden-corpus harness pass; (4) a pre-migration catalogue snapshot restores correctly (NFR-PROD-012 protocol). If Phase 19 starts before this ADR is ratified, Option B becomes the default by schedule pressure and must be recorded as such.</w:t>
      </w:r>
    </w:p>
    <w:bookmarkEnd w:id="155"/>
    <w:bookmarkStart w:id="156" w:name="consequences-13"/>
    <w:p>
      <w:pPr>
        <w:pStyle w:val="Heading2"/>
      </w:pPr>
      <w:r>
        <w:rPr>
          <w:rStyle w:val="SectionNumber"/>
          <w:rFonts w:ascii="Spectral" w:hAnsi="Spectral" w:eastAsia="Spectral"/>
          <w:color w:val="132338"/>
        </w:rPr>
        <w:t xml:space="preserve">15.5</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101"/>
        </w:numPr>
      </w:pPr>
      <w:r>
        <w:t xml:space="preserve">Positive (on A): one support line, one extensions matrix, upgrade absorbed while risk tooling is strongest.</w:t>
      </w:r>
    </w:p>
    <w:p>
      <w:pPr>
        <w:pStyle w:val="Compact"/>
        <w:numPr>
          <w:ilvl w:val="0"/>
          <w:numId w:val="1101"/>
        </w:numPr>
      </w:pPr>
      <w:r>
        <w:t xml:space="preserve">Negative (on A): a focused regression effort now; any EF 10 SQL-generation delta must be reviewed against the P95 search budgets (NFR-OGMA-003/004).</w:t>
      </w:r>
    </w:p>
    <w:p>
      <w:pPr>
        <w:pStyle w:val="Compact"/>
        <w:numPr>
          <w:ilvl w:val="0"/>
          <w:numId w:val="1101"/>
        </w:numPr>
      </w:pPr>
      <w:r>
        <w:t xml:space="preserve">Affects: ADR-0001 (runtime rationale); ADR-0005 and ADR-0006 (catalogue and FTS5 schema); the Phase 19 entry checklist;</w:t>
      </w:r>
      <w:r>
        <w:t xml:space="preserve"> </w:t>
      </w:r>
      <w:r>
        <w:rPr>
          <w:rStyle w:val="VerbatimChar"/>
        </w:rPr>
        <w:t xml:space="preserve">_context/build-status.md</w:t>
      </w:r>
      <w:r>
        <w:t xml:space="preserve"> </w:t>
      </w:r>
      <w:r>
        <w:t xml:space="preserve">open-items list.</w:t>
      </w:r>
    </w:p>
    <w:bookmarkEnd w:id="156"/>
    <w:bookmarkEnd w:id="157"/>
    <w:bookmarkStart w:id="166" w:name="Xe33c8af7afa183499750532e81b4ee57b0a0f58"/>
    <w:p>
      <w:pPr>
        <w:pStyle w:val="Heading1"/>
      </w:pPr>
      <w:r>
        <w:rPr>
          <w:rStyle w:val="SectionNumber"/>
          <w:rFonts w:ascii="Spectral" w:hAnsi="Spectral" w:eastAsia="Spectral"/>
          <w:color w:val="132338"/>
        </w:rPr>
        <w:t xml:space="preserve">16</w:t>
      </w:r>
      <w:r>
        <w:rPr>
          <w:rFonts w:ascii="Spectral" w:hAnsi="Spectral" w:eastAsia="Spectral"/>
          <w:color w:val="132338"/>
        </w:rPr>
        <w:tab/>
      </w:r>
      <w:r>
        <w:rPr>
          <w:rFonts w:ascii="Spectral" w:hAnsi="Spectral" w:eastAsia="Spectral"/>
          <w:color w:val="132338"/>
        </w:rPr>
        <w:t xml:space="preserve">ADR-0015: Documentation Baseline v2.0 Supersedes the v1.0 Baseline</w:t>
      </w:r>
    </w:p>
    <w:p>
      <w:pPr>
        <w:pStyle w:val="Compact"/>
        <w:numPr>
          <w:ilvl w:val="0"/>
          <w:numId w:val="1102"/>
        </w:numPr>
      </w:pPr>
      <w:r>
        <w:t xml:space="preserve">ID:</w:t>
      </w:r>
      <w:r>
        <w:t xml:space="preserve"> </w:t>
      </w:r>
      <w:r>
        <w:rPr>
          <w:b/>
          <w:bCs/>
        </w:rPr>
        <w:t xml:space="preserve">ADR-0015</w:t>
      </w:r>
    </w:p>
    <w:p>
      <w:pPr>
        <w:pStyle w:val="Compact"/>
        <w:numPr>
          <w:ilvl w:val="0"/>
          <w:numId w:val="1102"/>
        </w:numPr>
      </w:pPr>
      <w:r>
        <w:t xml:space="preserve">Status: Proposed — takes effect at the baseline v2.0 owner sign-off it describes</w:t>
      </w:r>
    </w:p>
    <w:p>
      <w:pPr>
        <w:pStyle w:val="Compact"/>
        <w:numPr>
          <w:ilvl w:val="0"/>
          <w:numId w:val="1102"/>
        </w:numPr>
      </w:pPr>
      <w:r>
        <w:t xml:space="preserve">Date: 2026-07-06</w:t>
      </w:r>
    </w:p>
    <w:p>
      <w:pPr>
        <w:pStyle w:val="Compact"/>
        <w:numPr>
          <w:ilvl w:val="0"/>
          <w:numId w:val="1102"/>
        </w:numPr>
      </w:pPr>
      <w:r>
        <w:t xml:space="preserve">Deciders: Product owner (Chwezi Core Systems), Lead Consultant (Peter Bamuhigire, Chwezi Core)</w:t>
      </w:r>
    </w:p>
    <w:bookmarkStart w:id="158" w:name="context-14"/>
    <w:p>
      <w:pPr>
        <w:pStyle w:val="Heading2"/>
      </w:pPr>
      <w:r>
        <w:rPr>
          <w:rStyle w:val="SectionNumber"/>
          <w:rFonts w:ascii="Spectral" w:hAnsi="Spectral" w:eastAsia="Spectral"/>
          <w:color w:val="132338"/>
        </w:rPr>
        <w:t xml:space="preserve">16.1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v1.0 documentation baseline (signed 2026-05-30) specified a single-user, local-first desktop product and was written entirely in design-to-be voice. Since then two things happened that the baseline does not capture. First, the owner expanded the product vision to the classroom/LAN e-library: host mode, classroom clients, and school-managed AI (FR-LAN, FR-CLIENT, FR-ADMIN groups), including an explicit scoped amendment of constraint CI-2 (ADR-0010). Second, the codebase advanced through grand-plan Phase 18: the catalogue, reader, search, AI gateway, 3D shelf, OCR, and the whole classroom track are implemented, with 800 executed cases and 11 applied migrations, while Phases 19–23 (hardening, performance acceptance, full i18n, packaging, launch) remain design-to-be. A baseline that describes an implemented system as "planned" is a governance defect: traceability, V&amp;V, and change control all reconcile against text that no longer matches reality, and the 9 workspace ADRs stood at "Proposed" while their decisions were long since built.</w:t>
      </w:r>
    </w:p>
    <w:bookmarkEnd w:id="158"/>
    <w:bookmarkStart w:id="159" w:name="decision-drivers-14"/>
    <w:p>
      <w:pPr>
        <w:pStyle w:val="Heading2"/>
      </w:pPr>
      <w:r>
        <w:rPr>
          <w:rStyle w:val="SectionNumber"/>
          <w:rFonts w:ascii="Spectral" w:hAnsi="Spectral" w:eastAsia="Spectral"/>
          <w:color w:val="132338"/>
        </w:rPr>
        <w:t xml:space="preserve">16.2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103"/>
        </w:numPr>
      </w:pPr>
      <w:r>
        <w:t xml:space="preserve">Documentation must describe the system that exists, marked as-built, and the system still to come, marked design-to-be — never an undifferentiated "planned".</w:t>
      </w:r>
    </w:p>
    <w:p>
      <w:pPr>
        <w:pStyle w:val="Compact"/>
        <w:numPr>
          <w:ilvl w:val="0"/>
          <w:numId w:val="1103"/>
        </w:numPr>
      </w:pPr>
      <w:r>
        <w:t xml:space="preserve">The scope expansion (classroom track) must enter the baseline through change control, not by silent accretion.</w:t>
      </w:r>
    </w:p>
    <w:p>
      <w:pPr>
        <w:pStyle w:val="Compact"/>
        <w:numPr>
          <w:ilvl w:val="0"/>
          <w:numId w:val="1103"/>
        </w:numPr>
      </w:pPr>
      <w:r>
        <w:t xml:space="preserve">The workspace ADR catalogue must reconcile with the codebase ADR catalogue (14 records at</w:t>
      </w:r>
      <w:r>
        <w:t xml:space="preserve"> </w:t>
      </w:r>
      <w:r>
        <w:rPr>
          <w:rStyle w:val="VerbatimChar"/>
        </w:rPr>
        <w:t xml:space="preserve">docs/adrs/</w:t>
      </w:r>
      <w:r>
        <w:t xml:space="preserve">, of which the duplicate 0003 implementation note folds into ADR-0003's amendment record).</w:t>
      </w:r>
    </w:p>
    <w:p>
      <w:pPr>
        <w:pStyle w:val="Compact"/>
        <w:numPr>
          <w:ilvl w:val="0"/>
          <w:numId w:val="1103"/>
        </w:numPr>
      </w:pPr>
      <w:r>
        <w:t xml:space="preserve">Per-requirement implementation status must be recorded so Phase 19–23 planning traces to a truthful baseline.</w:t>
      </w:r>
    </w:p>
    <w:bookmarkEnd w:id="159"/>
    <w:bookmarkStart w:id="163" w:name="considered-options-14"/>
    <w:p>
      <w:pPr>
        <w:pStyle w:val="Heading2"/>
      </w:pPr>
      <w:r>
        <w:rPr>
          <w:rStyle w:val="SectionNumber"/>
          <w:rFonts w:ascii="Spectral" w:hAnsi="Spectral" w:eastAsia="Spectral"/>
          <w:color w:val="132338"/>
        </w:rPr>
        <w:t xml:space="preserve">16.3</w:t>
      </w:r>
      <w:r>
        <w:rPr>
          <w:rFonts w:ascii="Spectral" w:hAnsi="Spectral" w:eastAsia="Spectral"/>
          <w:color w:val="132338"/>
        </w:rPr>
        <w:tab/>
      </w:r>
      <w:r>
        <w:rPr>
          <w:rFonts w:ascii="Spectral" w:hAnsi="Spectral" w:eastAsia="Spectral"/>
          <w:color w:val="132338"/>
        </w:rPr>
        <w:t xml:space="preserve">Considered Options</w:t>
      </w:r>
    </w:p>
    <w:bookmarkStart w:id="160" w:name="Xd9eacbdb46c9c9dd1b03fbc7aa5949a0a840bbd"/>
    <w:p>
      <w:pPr>
        <w:pStyle w:val="Heading3"/>
      </w:pPr>
      <w:r>
        <w:rPr>
          <w:rStyle w:val="SectionNumber"/>
          <w:rFonts w:ascii="Spectral" w:hAnsi="Spectral" w:eastAsia="Spectral"/>
          <w:color w:val="132338"/>
        </w:rPr>
        <w:t xml:space="preserve">16.3.1</w:t>
      </w:r>
      <w:r>
        <w:rPr>
          <w:rFonts w:ascii="Spectral" w:hAnsi="Spectral" w:eastAsia="Spectral"/>
          <w:color w:val="132338"/>
        </w:rPr>
        <w:tab/>
      </w:r>
      <w:r>
        <w:rPr>
          <w:rFonts w:ascii="Spectral" w:hAnsi="Spectral" w:eastAsia="Spectral"/>
          <w:color w:val="132338"/>
        </w:rPr>
        <w:t xml:space="preserve">Option A — Re-baseline as v2.0: full-product scope, as-built plus planned-delta status, reconciled ADRs</w:t>
      </w:r>
    </w:p>
    <w:p>
      <w:pPr>
        <w:pStyle w:val="Compact"/>
        <w:numPr>
          <w:ilvl w:val="0"/>
          <w:numId w:val="1104"/>
        </w:numPr>
      </w:pPr>
      <w:r>
        <w:t xml:space="preserve">Pros: one truthful baseline; change control has a defensible anchor; the classroom scope expansion carries its own Change Impact Analysis entry; ADR statuses reflect ratification-by-implementation with the owner counter-signature as the remaining formality.</w:t>
      </w:r>
    </w:p>
    <w:p>
      <w:pPr>
        <w:pStyle w:val="Compact"/>
        <w:numPr>
          <w:ilvl w:val="0"/>
          <w:numId w:val="1104"/>
        </w:numPr>
      </w:pPr>
      <w:r>
        <w:t xml:space="preserve">Cons: a full documentation pass across HLD, SRS, and governance artifacts; the v1.0 baseline must be preserved read-only for audit diffing.</w:t>
      </w:r>
    </w:p>
    <w:bookmarkEnd w:id="160"/>
    <w:bookmarkStart w:id="161" w:name="X7b78a11d19123929374c4f9313f4b9291ffde5a"/>
    <w:p>
      <w:pPr>
        <w:pStyle w:val="Heading3"/>
      </w:pPr>
      <w:r>
        <w:rPr>
          <w:rStyle w:val="SectionNumber"/>
          <w:rFonts w:ascii="Spectral" w:hAnsi="Spectral" w:eastAsia="Spectral"/>
          <w:color w:val="132338"/>
        </w:rPr>
        <w:t xml:space="preserve">16.3.2</w:t>
      </w:r>
      <w:r>
        <w:rPr>
          <w:rFonts w:ascii="Spectral" w:hAnsi="Spectral" w:eastAsia="Spectral"/>
          <w:color w:val="132338"/>
        </w:rPr>
        <w:tab/>
      </w:r>
      <w:r>
        <w:rPr>
          <w:rFonts w:ascii="Spectral" w:hAnsi="Spectral" w:eastAsia="Spectral"/>
          <w:color w:val="132338"/>
        </w:rPr>
        <w:t xml:space="preserve">Option B — Amend v1.0 incrementally per document</w:t>
      </w:r>
    </w:p>
    <w:p>
      <w:pPr>
        <w:pStyle w:val="Compact"/>
        <w:numPr>
          <w:ilvl w:val="0"/>
          <w:numId w:val="1105"/>
        </w:numPr>
      </w:pPr>
      <w:r>
        <w:t xml:space="preserve">Pros: smaller individual changes.</w:t>
      </w:r>
    </w:p>
    <w:p>
      <w:pPr>
        <w:pStyle w:val="Compact"/>
        <w:numPr>
          <w:ilvl w:val="0"/>
          <w:numId w:val="1105"/>
        </w:numPr>
      </w:pPr>
      <w:r>
        <w:t xml:space="preserve">Cons: no single point where the scope expansion is authorised; mixed-vintage documents; CI-2's amendment would live in an ADR while the baseline text still contradicts it.</w:t>
      </w:r>
    </w:p>
    <w:bookmarkEnd w:id="161"/>
    <w:bookmarkStart w:id="162" w:name="X2205fb46a981a5831bed01331ce084bbfcb30e7"/>
    <w:p>
      <w:pPr>
        <w:pStyle w:val="Heading3"/>
      </w:pPr>
      <w:r>
        <w:rPr>
          <w:rStyle w:val="SectionNumber"/>
          <w:rFonts w:ascii="Spectral" w:hAnsi="Spectral" w:eastAsia="Spectral"/>
          <w:color w:val="132338"/>
        </w:rPr>
        <w:t xml:space="preserve">16.3.3</w:t>
      </w:r>
      <w:r>
        <w:rPr>
          <w:rFonts w:ascii="Spectral" w:hAnsi="Spectral" w:eastAsia="Spectral"/>
          <w:color w:val="132338"/>
        </w:rPr>
        <w:tab/>
      </w:r>
      <w:r>
        <w:rPr>
          <w:rFonts w:ascii="Spectral" w:hAnsi="Spectral" w:eastAsia="Spectral"/>
          <w:color w:val="132338"/>
        </w:rPr>
        <w:t xml:space="preserve">Option C — Leave v1.0 standing; track deltas only in the codebase</w:t>
      </w:r>
    </w:p>
    <w:p>
      <w:pPr>
        <w:pStyle w:val="Compact"/>
        <w:numPr>
          <w:ilvl w:val="0"/>
          <w:numId w:val="1106"/>
        </w:numPr>
      </w:pPr>
      <w:r>
        <w:t xml:space="preserve">Pros: no documentation effort.</w:t>
      </w:r>
    </w:p>
    <w:p>
      <w:pPr>
        <w:pStyle w:val="Compact"/>
        <w:numPr>
          <w:ilvl w:val="0"/>
          <w:numId w:val="1106"/>
        </w:numPr>
      </w:pPr>
      <w:r>
        <w:t xml:space="preserve">Cons: the signed baseline becomes fiction; V&amp;V and traceability audits fail; unacceptable under the engagement's IEEE 1012 SOP.</w:t>
      </w:r>
    </w:p>
    <w:bookmarkEnd w:id="162"/>
    <w:bookmarkEnd w:id="163"/>
    <w:bookmarkStart w:id="164" w:name="decision-outcome-14"/>
    <w:p>
      <w:pPr>
        <w:pStyle w:val="Heading2"/>
      </w:pPr>
      <w:r>
        <w:rPr>
          <w:rStyle w:val="SectionNumber"/>
          <w:rFonts w:ascii="Spectral" w:hAnsi="Spectral" w:eastAsia="Spectral"/>
          <w:color w:val="132338"/>
        </w:rPr>
        <w:t xml:space="preserve">16.4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w:t>
      </w:r>
      <w:r>
        <w:t xml:space="preserve"> </w:t>
      </w:r>
      <w:r>
        <w:rPr>
          <w:b/>
          <w:bCs/>
        </w:rPr>
        <w:t xml:space="preserve">Option A</w:t>
      </w:r>
      <w:r>
        <w:t xml:space="preserve">. Baseline v2.0 (dated 2026-07-06, "Draft for owner sign-off") supersedes the v1.0 baseline of 2026-05-30. Its rules:</w:t>
      </w:r>
    </w:p>
    <w:p>
      <w:pPr>
        <w:pStyle w:val="Compact"/>
        <w:numPr>
          <w:ilvl w:val="0"/>
          <w:numId w:val="1107"/>
        </w:numPr>
      </w:pPr>
      <w:r>
        <w:t xml:space="preserve">Scope is the full product: personal desktop plus the classroom/LAN track.</w:t>
      </w:r>
    </w:p>
    <w:p>
      <w:pPr>
        <w:pStyle w:val="Compact"/>
        <w:numPr>
          <w:ilvl w:val="0"/>
          <w:numId w:val="1107"/>
        </w:numPr>
      </w:pPr>
      <w:r>
        <w:t xml:space="preserve">Every artifact distinguishes</w:t>
      </w:r>
      <w:r>
        <w:t xml:space="preserve"> </w:t>
      </w:r>
      <w:r>
        <w:rPr>
          <w:b/>
          <w:bCs/>
        </w:rPr>
        <w:t xml:space="preserve">as-built</w:t>
      </w:r>
      <w:r>
        <w:t xml:space="preserve"> </w:t>
      </w:r>
      <w:r>
        <w:t xml:space="preserve">(verified against the codebase, per</w:t>
      </w:r>
      <w:r>
        <w:t xml:space="preserve"> </w:t>
      </w:r>
      <w:r>
        <w:rPr>
          <w:rStyle w:val="VerbatimChar"/>
        </w:rPr>
        <w:t xml:space="preserve">_context/build-status.md</w:t>
      </w:r>
      <w:r>
        <w:t xml:space="preserve">) from</w:t>
      </w:r>
      <w:r>
        <w:t xml:space="preserve"> </w:t>
      </w:r>
      <w:r>
        <w:rPr>
          <w:b/>
          <w:bCs/>
        </w:rPr>
        <w:t xml:space="preserve">design-to-be</w:t>
      </w:r>
      <w:r>
        <w:t xml:space="preserve"> </w:t>
      </w:r>
      <w:r>
        <w:t xml:space="preserve">(Phases 19–23), section by section.</w:t>
      </w:r>
    </w:p>
    <w:p>
      <w:pPr>
        <w:pStyle w:val="Compact"/>
        <w:numPr>
          <w:ilvl w:val="0"/>
          <w:numId w:val="1107"/>
        </w:numPr>
      </w:pPr>
      <w:r>
        <w:t xml:space="preserve">Workspace ADRs 0001–0013 mirror the codebase catalogue and carry status "Accepted — ratified in implementation; formal owner counter-signature pending baseline v2.0 sign-off". ADR-0014 and this record are Proposed.</w:t>
      </w:r>
    </w:p>
    <w:p>
      <w:pPr>
        <w:pStyle w:val="Compact"/>
        <w:numPr>
          <w:ilvl w:val="0"/>
          <w:numId w:val="1107"/>
        </w:numPr>
      </w:pPr>
      <w:r>
        <w:t xml:space="preserve">The scope expansion is recorded as a Change Impact Analysis entry in</w:t>
      </w:r>
      <w:r>
        <w:t xml:space="preserve"> </w:t>
      </w:r>
      <w:r>
        <w:rPr>
          <w:rStyle w:val="VerbatimChar"/>
        </w:rPr>
        <w:t xml:space="preserve">_registry/change-impact.yaml</w:t>
      </w:r>
      <w:r>
        <w:t xml:space="preserve"> </w:t>
      </w:r>
      <w:r>
        <w:t xml:space="preserve">with a rollback position (the classroom track is opt-in and severable; the standalone product is unaffected by its removal).</w:t>
      </w:r>
    </w:p>
    <w:p>
      <w:pPr>
        <w:pStyle w:val="Compact"/>
        <w:numPr>
          <w:ilvl w:val="0"/>
          <w:numId w:val="1107"/>
        </w:numPr>
      </w:pPr>
      <w:r>
        <w:t xml:space="preserve">The v1.0 baseline snapshot is retained unmodified;</w:t>
      </w:r>
      <w:r>
        <w:t xml:space="preserve"> </w:t>
      </w:r>
      <w:r>
        <w:rPr>
          <w:rStyle w:val="VerbatimChar"/>
        </w:rPr>
        <w:t xml:space="preserve">python -m engine baseline diff</w:t>
      </w:r>
      <w:r>
        <w:t xml:space="preserve"> </w:t>
      </w:r>
      <w:r>
        <w:t xml:space="preserve">between v1.0 and v2.0 is the reviewable delta at sign-off.</w:t>
      </w:r>
    </w:p>
    <w:bookmarkEnd w:id="164"/>
    <w:bookmarkStart w:id="165" w:name="consequences-14"/>
    <w:p>
      <w:pPr>
        <w:pStyle w:val="Heading2"/>
      </w:pPr>
      <w:r>
        <w:rPr>
          <w:rStyle w:val="SectionNumber"/>
          <w:rFonts w:ascii="Spectral" w:hAnsi="Spectral" w:eastAsia="Spectral"/>
          <w:color w:val="132338"/>
        </w:rPr>
        <w:t xml:space="preserve">16.5</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108"/>
        </w:numPr>
      </w:pPr>
      <w:r>
        <w:t xml:space="preserve">Positive: governance artifacts, code, and requirements reconcile; Phase 19–23 work plans against a truthful baseline; the ADR catalogue is audit-consistent.</w:t>
      </w:r>
    </w:p>
    <w:p>
      <w:pPr>
        <w:pStyle w:val="Compact"/>
        <w:numPr>
          <w:ilvl w:val="0"/>
          <w:numId w:val="1108"/>
        </w:numPr>
      </w:pPr>
      <w:r>
        <w:t xml:space="preserve">Negative: the owner sign-off gate must actually convene — until counter-signature, v2.0 documents remain drafts and v1.0 remains the last signed baseline; every future change to a v2.0-baselined FR/NFR/CTRL requires its own CIA entry.</w:t>
      </w:r>
    </w:p>
    <w:p>
      <w:pPr>
        <w:pStyle w:val="Compact"/>
        <w:numPr>
          <w:ilvl w:val="0"/>
          <w:numId w:val="1108"/>
        </w:numPr>
      </w:pPr>
      <w:r>
        <w:t xml:space="preserve">Affects: every Phase 01–09 document in this workspace; ADR-0001 through ADR-0014 (status annotations);</w:t>
      </w:r>
      <w:r>
        <w:t xml:space="preserve"> </w:t>
      </w:r>
      <w:r>
        <w:rPr>
          <w:rStyle w:val="VerbatimChar"/>
        </w:rPr>
        <w:t xml:space="preserve">_registry/</w:t>
      </w:r>
      <w:r>
        <w:t xml:space="preserve"> </w:t>
      </w:r>
      <w:r>
        <w:t xml:space="preserve">baseline, CIA, and sign-off ledgers; the hybrid-synchronization gate for subsequent Phase 07 artifacts.</w:t>
      </w:r>
    </w:p>
    <w:bookmarkEnd w:id="165"/>
    <w:bookmarkEnd w:id="166"/>
    <w:bookmarkStart w:id="171" w:name="Xa9d3f23b166ad815c28b02a0b46ad5d2178f1e5"/>
    <w:p>
      <w:pPr>
        <w:pStyle w:val="Heading1"/>
      </w:pPr>
      <w:r>
        <w:rPr>
          <w:rStyle w:val="SectionNumber"/>
          <w:rFonts w:ascii="Spectral" w:hAnsi="Spectral" w:eastAsia="Spectral"/>
          <w:color w:val="132338"/>
        </w:rPr>
        <w:t xml:space="preserve">17</w:t>
      </w:r>
      <w:r>
        <w:rPr>
          <w:rFonts w:ascii="Spectral" w:hAnsi="Spectral" w:eastAsia="Spectral"/>
          <w:color w:val="132338"/>
        </w:rPr>
        <w:tab/>
      </w:r>
      <w:r>
        <w:rPr>
          <w:rFonts w:ascii="Spectral" w:hAnsi="Spectral" w:eastAsia="Spectral"/>
          <w:color w:val="132338"/>
        </w:rPr>
        <w:t xml:space="preserve">ADR-0016: Current Runtime and Evidence Baseline</w:t>
      </w:r>
    </w:p>
    <w:p>
      <w:pPr>
        <w:pStyle w:val="FirstParagraph"/>
      </w:pPr>
      <w:r>
        <w:rPr>
          <w:b/>
          <w:bCs/>
        </w:rPr>
        <w:t xml:space="preserve">Status:</w:t>
      </w:r>
      <w:r>
        <w:t xml:space="preserve"> </w:t>
      </w:r>
      <w:r>
        <w:t xml:space="preserve">Accepted by inspected implementation; owner ratification pending</w:t>
      </w:r>
      <w:r>
        <w:br/>
      </w:r>
      <w:r>
        <w:rPr>
          <w:b/>
          <w:bCs/>
        </w:rPr>
        <w:t xml:space="preserve">Date:</w:t>
      </w:r>
      <w:r>
        <w:t xml:space="preserve"> </w:t>
      </w:r>
      <w:r>
        <w:t xml:space="preserve">2026-08-13</w:t>
      </w:r>
      <w:r>
        <w:br/>
      </w:r>
      <w:r>
        <w:rPr>
          <w:b/>
          <w:bCs/>
        </w:rPr>
        <w:t xml:space="preserve">Supersedes:</w:t>
      </w:r>
      <w:r>
        <w:t xml:space="preserve"> </w:t>
      </w:r>
      <w:r>
        <w:t xml:space="preserve">The unresolved version-alignment decision in ADR-0014</w:t>
      </w:r>
    </w:p>
    <w:bookmarkStart w:id="167" w:name="context-15"/>
    <w:p>
      <w:pPr>
        <w:pStyle w:val="Heading2"/>
      </w:pPr>
      <w:r>
        <w:rPr>
          <w:rStyle w:val="SectionNumber"/>
          <w:rFonts w:ascii="Spectral" w:hAnsi="Spectral" w:eastAsia="Spectral"/>
          <w:color w:val="132338"/>
        </w:rPr>
        <w:t xml:space="preserve">17.1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July documentation described EF Core 9 on</w:t>
      </w:r>
      <w:r>
        <w:t xml:space="preserve"> </w:t>
      </w:r>
      <w:r>
        <w:rPr>
          <w:rStyle w:val="VerbatimChar"/>
        </w:rPr>
        <w:t xml:space="preserve">net10.0</w:t>
      </w:r>
      <w:r>
        <w:t xml:space="preserve"> </w:t>
      </w:r>
      <w:r>
        <w:t xml:space="preserve">and a live</w:t>
      </w:r>
      <w:r>
        <w:t xml:space="preserve"> </w:t>
      </w:r>
      <w:r>
        <w:rPr>
          <w:rStyle w:val="VerbatimChar"/>
        </w:rPr>
        <w:t xml:space="preserve">NU1903</w:t>
      </w:r>
      <w:r>
        <w:t xml:space="preserve"> </w:t>
      </w:r>
      <w:r>
        <w:t xml:space="preserve">restore blocker. Commit</w:t>
      </w:r>
      <w:r>
        <w:t xml:space="preserve"> </w:t>
      </w:r>
      <w:r>
        <w:rPr>
          <w:rStyle w:val="VerbatimChar"/>
        </w:rPr>
        <w:t xml:space="preserve">26df98322b7934919ddaba513ac02d9aaa44edbb</w:t>
      </w:r>
      <w:r>
        <w:t xml:space="preserve"> </w:t>
      </w:r>
      <w:r>
        <w:t xml:space="preserve">no longer has that state. Its controlled package line is EF Core SQLite 10.0.9, Microsoft.Extensions 10.0.9, Avalonia 11.3.17, and</w:t>
      </w:r>
      <w:r>
        <w:t xml:space="preserve"> </w:t>
      </w:r>
      <w:r>
        <w:rPr>
          <w:rStyle w:val="VerbatimChar"/>
        </w:rPr>
        <w:t xml:space="preserve">SQLitePCLRaw.bundle_e_sqlite3</w:t>
      </w:r>
      <w:r>
        <w:t xml:space="preserve"> </w:t>
      </w:r>
      <w:r>
        <w:t xml:space="preserve">3.0.3. Eleven EF migrations are present.</w:t>
      </w:r>
    </w:p>
    <w:bookmarkEnd w:id="167"/>
    <w:bookmarkStart w:id="168" w:name="decision"/>
    <w:p>
      <w:pPr>
        <w:pStyle w:val="Heading2"/>
      </w:pPr>
      <w:r>
        <w:rPr>
          <w:rStyle w:val="SectionNumber"/>
          <w:rFonts w:ascii="Spectral" w:hAnsi="Spectral" w:eastAsia="Spectral"/>
          <w:color w:val="132338"/>
        </w:rPr>
        <w:t xml:space="preserve">17.2</w:t>
      </w:r>
      <w:r>
        <w:rPr>
          <w:rFonts w:ascii="Spectral" w:hAnsi="Spectral" w:eastAsia="Spectral"/>
          <w:color w:val="132338"/>
        </w:rPr>
        <w:tab/>
      </w:r>
      <w:r>
        <w:rPr>
          <w:rFonts w:ascii="Spectral" w:hAnsi="Spectral" w:eastAsia="Spectral"/>
          <w:color w:val="132338"/>
        </w:rPr>
        <w:t xml:space="preserve">Decision</w:t>
      </w:r>
    </w:p>
    <w:p>
      <w:pPr>
        <w:pStyle w:val="FirstParagraph"/>
      </w:pPr>
      <w:r>
        <w:t xml:space="preserve">Ogma's controlled runtime baseline is .NET 10 with EF Core SQLite 10.0.9. A runtime or persistence-package change shall not enter the documentation baseline until all of the following pass at one named commit:</w:t>
      </w:r>
    </w:p>
    <w:p>
      <w:pPr>
        <w:pStyle w:val="Compact"/>
        <w:numPr>
          <w:ilvl w:val="0"/>
          <w:numId w:val="1109"/>
        </w:numPr>
      </w:pPr>
      <w:r>
        <w:t xml:space="preserve">restore and Release build with warnings-as-errors;</w:t>
      </w:r>
    </w:p>
    <w:p>
      <w:pPr>
        <w:pStyle w:val="Compact"/>
        <w:numPr>
          <w:ilvl w:val="0"/>
          <w:numId w:val="1109"/>
        </w:numPr>
      </w:pPr>
      <w:r>
        <w:t xml:space="preserve">all EF migrations against a disposable catalogue plus backup/rollback verification;</w:t>
      </w:r>
    </w:p>
    <w:p>
      <w:pPr>
        <w:pStyle w:val="Compact"/>
        <w:numPr>
          <w:ilvl w:val="0"/>
          <w:numId w:val="1109"/>
        </w:numPr>
      </w:pPr>
      <w:r>
        <w:t xml:space="preserve">the complete Release test suite;</w:t>
      </w:r>
    </w:p>
    <w:p>
      <w:pPr>
        <w:pStyle w:val="Compact"/>
        <w:numPr>
          <w:ilvl w:val="0"/>
          <w:numId w:val="1109"/>
        </w:numPr>
      </w:pPr>
      <w:r>
        <w:rPr>
          <w:rStyle w:val="VerbatimChar"/>
        </w:rPr>
        <w:t xml:space="preserve">dotnet list ... package --vulnerable --include-transitive</w:t>
      </w:r>
      <w:r>
        <w:t xml:space="preserve">;</w:t>
      </w:r>
    </w:p>
    <w:p>
      <w:pPr>
        <w:pStyle w:val="Compact"/>
        <w:numPr>
          <w:ilvl w:val="0"/>
          <w:numId w:val="1109"/>
        </w:numPr>
      </w:pPr>
      <w:r>
        <w:t xml:space="preserve">current .NET/EF support-policy and breaking-change review; and</w:t>
      </w:r>
    </w:p>
    <w:p>
      <w:pPr>
        <w:pStyle w:val="Compact"/>
        <w:numPr>
          <w:ilvl w:val="0"/>
          <w:numId w:val="1109"/>
        </w:numPr>
      </w:pPr>
      <w:r>
        <w:t xml:space="preserve">Windows and macOS release-candidate acceptance where native components are affected.</w:t>
      </w:r>
    </w:p>
    <w:bookmarkEnd w:id="168"/>
    <w:bookmarkStart w:id="169" w:name="evidence"/>
    <w:p>
      <w:pPr>
        <w:pStyle w:val="Heading2"/>
      </w:pPr>
      <w:r>
        <w:rPr>
          <w:rStyle w:val="SectionNumber"/>
          <w:rFonts w:ascii="Spectral" w:hAnsi="Spectral" w:eastAsia="Spectral"/>
          <w:color w:val="132338"/>
        </w:rPr>
        <w:t xml:space="preserve">17.3</w:t>
      </w:r>
      <w:r>
        <w:rPr>
          <w:rFonts w:ascii="Spectral" w:hAnsi="Spectral" w:eastAsia="Spectral"/>
          <w:color w:val="132338"/>
        </w:rPr>
        <w:tab/>
      </w:r>
      <w:r>
        <w:rPr>
          <w:rFonts w:ascii="Spectral" w:hAnsi="Spectral" w:eastAsia="Spectral"/>
          <w:color w:val="132338"/>
        </w:rPr>
        <w:t xml:space="preserve">Evidence</w:t>
      </w:r>
    </w:p>
    <w:p>
      <w:pPr>
        <w:pStyle w:val="Compact"/>
        <w:numPr>
          <w:ilvl w:val="0"/>
          <w:numId w:val="1110"/>
        </w:numPr>
      </w:pPr>
      <w:r>
        <w:rPr>
          <w:rStyle w:val="VerbatimChar"/>
        </w:rPr>
        <w:t xml:space="preserve">dotnet test OgmaLibrary.sln -c Release --nologo -v minimal</w:t>
      </w:r>
      <w:r>
        <w:t xml:space="preserve">: 800 passed, 0 failed, 0 skipped on 2026-08-13.</w:t>
      </w:r>
    </w:p>
    <w:p>
      <w:pPr>
        <w:pStyle w:val="Compact"/>
        <w:numPr>
          <w:ilvl w:val="0"/>
          <w:numId w:val="1110"/>
        </w:numPr>
      </w:pPr>
      <w:r>
        <w:rPr>
          <w:rStyle w:val="VerbatimChar"/>
        </w:rPr>
        <w:t xml:space="preserve">dotnet list OgmaLibrary.sln package --vulnerable --include-transitive</w:t>
      </w:r>
      <w:r>
        <w:t xml:space="preserve">: no vulnerable packages reported on 2026-08-13.</w:t>
      </w:r>
    </w:p>
    <w:p>
      <w:pPr>
        <w:pStyle w:val="Compact"/>
        <w:numPr>
          <w:ilvl w:val="0"/>
          <w:numId w:val="1110"/>
        </w:numPr>
      </w:pPr>
      <w:r>
        <w:rPr>
          <w:rStyle w:val="VerbatimChar"/>
        </w:rPr>
        <w:t xml:space="preserve">_context/source-register.md</w:t>
      </w:r>
      <w:r>
        <w:t xml:space="preserve">: official runtime and EF sources.</w:t>
      </w:r>
    </w:p>
    <w:bookmarkEnd w:id="169"/>
    <w:bookmarkStart w:id="170" w:name="consequences-15"/>
    <w:p>
      <w:pPr>
        <w:pStyle w:val="Heading2"/>
      </w:pPr>
      <w:r>
        <w:rPr>
          <w:rStyle w:val="SectionNumber"/>
          <w:rFonts w:ascii="Spectral" w:hAnsi="Spectral" w:eastAsia="Spectral"/>
          <w:color w:val="132338"/>
        </w:rPr>
        <w:t xml:space="preserve">17.4</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111"/>
        </w:numPr>
      </w:pPr>
      <w:r>
        <w:t xml:space="preserve">The former EF 9 alignment risk and July</w:t>
      </w:r>
      <w:r>
        <w:t xml:space="preserve"> </w:t>
      </w:r>
      <w:r>
        <w:rPr>
          <w:rStyle w:val="VerbatimChar"/>
        </w:rPr>
        <w:t xml:space="preserve">NU1903</w:t>
      </w:r>
      <w:r>
        <w:t xml:space="preserve"> </w:t>
      </w:r>
      <w:r>
        <w:t xml:space="preserve">blocker are closed for this commit.</w:t>
      </w:r>
    </w:p>
    <w:p>
      <w:pPr>
        <w:pStyle w:val="Compact"/>
        <w:numPr>
          <w:ilvl w:val="0"/>
          <w:numId w:val="1111"/>
        </w:numPr>
      </w:pPr>
      <w:r>
        <w:t xml:space="preserve">Package health is point-in-time evidence; every release candidate reruns the gate.</w:t>
      </w:r>
    </w:p>
    <w:p>
      <w:pPr>
        <w:pStyle w:val="Compact"/>
        <w:numPr>
          <w:ilvl w:val="0"/>
          <w:numId w:val="1111"/>
        </w:numPr>
      </w:pPr>
      <w:r>
        <w:t xml:space="preserve">Automated tests do not replace target-platform, security, privacy, accessibility, performance, packaging, or commercial acceptance.</w:t>
      </w:r>
    </w:p>
    <w:bookmarkEnd w:id="170"/>
    <w:bookmarkEnd w:id="171"/>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docs/references/Ogma-Library_ADRs_v2.1_2026-08-13.docx;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ARCHITECTURE DECISION RECORDS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Decision Records</dc:title>
  <dc:creator>Chwezi Core Systems</dc:creator>
  <cp:keywords>Ogma Library; local-first; requirements; desktop; controlled baseline</cp:keywords>
  <dcterms:created xsi:type="dcterms:W3CDTF">2026-08-13T13:27:33Z</dcterms:created>
  <dcterms:modified xsi:type="dcterms:W3CDTF">2026-08-13T13:27:33Z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file>