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ascii="Spectral" w:hAnsi="Spectral" w:eastAsia="Spectral"/>
          <w:color w:val="132338"/>
        </w:rPr>
        <w:t xml:space="preserve">Controlled Business Case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ogma-library--controlled-business-case"/>
    <w:p>
      <w:pPr>
        <w:pStyle w:val="Heading1"/>
      </w:pPr>
      <w:r>
        <w:rPr>
          <w:rStyle w:val="SectionNumber"/>
          <w:rFonts w:ascii="Spectral" w:hAnsi="Spectral" w:eastAsia="Spectral"/>
          <w:color w:val="132338"/>
        </w:rPr>
        <w:t xml:space="preserve">1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Ogma Library — Controlled Business Case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cantSplit/>
        </w:trPr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Field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Value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2.1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2026-08-13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Decision status</w:t>
            </w:r>
          </w:p>
        </w:tc>
        <w:tc>
          <w:tcPr/>
          <w:p>
            <w:pPr>
              <w:pStyle w:val="Compact"/>
            </w:pPr>
            <w:r>
              <w:t xml:space="preserve">Hypothesis for validation; not investment or pricing approval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Product status</w:t>
            </w:r>
          </w:p>
        </w:tc>
        <w:tc>
          <w:tcPr/>
          <w:p>
            <w:pPr>
              <w:pStyle w:val="Compact"/>
            </w:pPr>
            <w:r>
              <w:t xml:space="preserve">Development build; public beta and production NO-GO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Commercial evidence</w:t>
            </w:r>
          </w:p>
        </w:tc>
        <w:tc>
          <w:tcPr/>
          <w:p>
            <w:pPr>
              <w:pStyle w:val="Compact"/>
            </w:pPr>
            <w:r>
              <w:t xml:space="preserve">NOT ASSESSED — no interview, willingness-to-pay, conversion, retention, or signed-pipeline evidence supplied</w:t>
            </w:r>
          </w:p>
        </w:tc>
      </w:tr>
    </w:tbl>
    <w:p>
      <w:pPr>
        <w:pStyle w:val="BodyText"/>
      </w:pPr>
      <w:r>
        <w:t xml:space="preserve">This business case separates product hypotheses from verified implementation facts. It authorises discovery and measurement, not paid launch, classroom contracting, or revenue recognition.</w:t>
      </w:r>
    </w:p>
    <w:bookmarkEnd w:id="9"/>
    <w:bookmarkStart w:id="10" w:name="value-buyers-and-measurable-outcomes"/>
    <w:p>
      <w:pPr>
        <w:pStyle w:val="Heading1"/>
      </w:pPr>
      <w:r>
        <w:rPr>
          <w:rStyle w:val="SectionNumber"/>
          <w:rFonts w:ascii="Spectral" w:hAnsi="Spectral" w:eastAsia="Spectral"/>
          <w:color w:val="132338"/>
        </w:rPr>
        <w:t xml:space="preserve">2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Value, Buyers, and Measurable Outcomes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cantSplit/>
        </w:trPr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Segment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Job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Proposed proof metric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Current evidence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Researchers and collectors</w:t>
            </w:r>
          </w:p>
        </w:tc>
        <w:tc>
          <w:tcPr/>
          <w:p>
            <w:pPr>
              <w:pStyle w:val="Compact"/>
            </w:pPr>
            <w:r>
              <w:t xml:space="preserve">Turn unmanaged PDFs into a durable searchable library</w:t>
            </w:r>
          </w:p>
        </w:tc>
        <w:tc>
          <w:tcPr/>
          <w:p>
            <w:pPr>
              <w:pStyle w:val="Compact"/>
            </w:pPr>
            <w:r>
              <w:t xml:space="preserve">Median time to first useful search; metadata repair completion; weekly retained libraries</w:t>
            </w:r>
          </w:p>
        </w:tc>
        <w:tc>
          <w:tcPr/>
          <w:p>
            <w:pPr>
              <w:pStyle w:val="Compact"/>
            </w:pPr>
            <w:r>
              <w:t xml:space="preserve">NOT ASSESSED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Privacy-sensitive readers</w:t>
            </w:r>
          </w:p>
        </w:tc>
        <w:tc>
          <w:tcPr/>
          <w:p>
            <w:pPr>
              <w:pStyle w:val="Compact"/>
            </w:pPr>
            <w:r>
              <w:t xml:space="preserve">Use AI only with visible, controllable payloads</w:t>
            </w:r>
          </w:p>
        </w:tc>
        <w:tc>
          <w:tcPr/>
          <w:p>
            <w:pPr>
              <w:pStyle w:val="Compact"/>
            </w:pPr>
            <w:r>
              <w:t xml:space="preserve">Preview-to-consent rate; local-tier use; erasure success</w:t>
            </w:r>
          </w:p>
        </w:tc>
        <w:tc>
          <w:tcPr/>
          <w:p>
            <w:pPr>
              <w:pStyle w:val="Compact"/>
            </w:pPr>
            <w:r>
              <w:t xml:space="preserve">Code/test evidence only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Schools and libraries</w:t>
            </w:r>
          </w:p>
        </w:tc>
        <w:tc>
          <w:tcPr/>
          <w:p>
            <w:pPr>
              <w:pStyle w:val="Compact"/>
            </w:pPr>
            <w:r>
              <w:t xml:space="preserve">Share a governed local collection on a LAN</w:t>
            </w:r>
          </w:p>
        </w:tc>
        <w:tc>
          <w:tcPr/>
          <w:p>
            <w:pPr>
              <w:pStyle w:val="Compact"/>
            </w:pPr>
            <w:r>
              <w:t xml:space="preserve">Setup time; concurrent students; support tickets; privacy incidents; renewal intent</w:t>
            </w:r>
          </w:p>
        </w:tc>
        <w:tc>
          <w:tcPr/>
          <w:p>
            <w:pPr>
              <w:pStyle w:val="Compact"/>
            </w:pPr>
            <w:r>
              <w:t xml:space="preserve">NOT ASSESSED; deployment NO-GO</w:t>
            </w:r>
          </w:p>
        </w:tc>
      </w:tr>
    </w:tbl>
    <w:p>
      <w:pPr>
        <w:pStyle w:val="BodyText"/>
      </w:pPr>
      <w:r>
        <w:t xml:space="preserve">The differentiator is a proposed bundle of local ownership, structured reading, transparent AI, and optional classroom operation. A finite competitor screen cannot prove uniqueness. Product-market fit requires at least 12 documented target-user interviews across personal and institutional segments, 5 observed workflow tests, and a paid or signed-pilot signal before final pricing.</w:t>
      </w:r>
    </w:p>
    <w:bookmarkEnd w:id="10"/>
    <w:bookmarkStart w:id="11" w:name="X302f934b564d5178dcd8b632be103fe7ffac570"/>
    <w:p>
      <w:pPr>
        <w:pStyle w:val="Heading1"/>
      </w:pPr>
      <w:r>
        <w:rPr>
          <w:rStyle w:val="SectionNumber"/>
          <w:rFonts w:ascii="Spectral" w:hAnsi="Spectral" w:eastAsia="Spectral"/>
          <w:color w:val="132338"/>
        </w:rPr>
        <w:t xml:space="preserve">3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Commercial Model and Packaging Hypotheses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cantSplit/>
        </w:trPr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Offer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Hypothesis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Included obligation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Approval state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Personal licence</w:t>
            </w:r>
          </w:p>
        </w:tc>
        <w:tc>
          <w:tcPr/>
          <w:p>
            <w:pPr>
              <w:pStyle w:val="Compact"/>
            </w:pPr>
            <w:r>
              <w:t xml:space="preserve">One-time USD 149–249 hypothesis</w:t>
            </w:r>
          </w:p>
        </w:tc>
        <w:tc>
          <w:tcPr/>
          <w:p>
            <w:pPr>
              <w:pStyle w:val="Compact"/>
            </w:pPr>
            <w:r>
              <w:t xml:space="preserve">Named supported versions, installation entitlement, baseline support, data portability</w:t>
            </w:r>
          </w:p>
        </w:tc>
        <w:tc>
          <w:tcPr/>
          <w:p>
            <w:pPr>
              <w:pStyle w:val="Compact"/>
            </w:pPr>
            <w:r>
              <w:t xml:space="preserve">NOT APPROVED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Annual update plan</w:t>
            </w:r>
          </w:p>
        </w:tc>
        <w:tc>
          <w:tcPr/>
          <w:p>
            <w:pPr>
              <w:pStyle w:val="Compact"/>
            </w:pPr>
            <w:r>
              <w:t xml:space="preserve">Approx. USD 39/year hypothesis</w:t>
            </w:r>
          </w:p>
        </w:tc>
        <w:tc>
          <w:tcPr/>
          <w:p>
            <w:pPr>
              <w:pStyle w:val="Compact"/>
            </w:pPr>
            <w:r>
              <w:t xml:space="preserve">Explicit covered-version window, cancellation, renewal notice, deferred-revenue policy</w:t>
            </w:r>
          </w:p>
        </w:tc>
        <w:tc>
          <w:tcPr/>
          <w:p>
            <w:pPr>
              <w:pStyle w:val="Compact"/>
            </w:pPr>
            <w:r>
              <w:t xml:space="preserve">NOT APPROVED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Education licence</w:t>
            </w:r>
          </w:p>
        </w:tc>
        <w:tc>
          <w:tcPr/>
          <w:p>
            <w:pPr>
              <w:pStyle w:val="Compact"/>
            </w:pPr>
            <w:r>
              <w:t xml:space="preserve">Institution/host plus governed seat band</w:t>
            </w:r>
          </w:p>
        </w:tc>
        <w:tc>
          <w:tcPr/>
          <w:p>
            <w:pPr>
              <w:pStyle w:val="Compact"/>
            </w:pPr>
            <w:r>
              <w:t xml:space="preserve">Admin roles, student privacy pack, support SLA, deployment assistance, seat reconciliation</w:t>
            </w:r>
          </w:p>
        </w:tc>
        <w:tc>
          <w:tcPr/>
          <w:p>
            <w:pPr>
              <w:pStyle w:val="Compact"/>
            </w:pPr>
            <w:r>
              <w:t xml:space="preserve">NOT APPROVED</w:t>
            </w:r>
          </w:p>
        </w:tc>
      </w:tr>
    </w:tbl>
    <w:p>
      <w:pPr>
        <w:pStyle w:val="BodyText"/>
      </w:pPr>
      <w:r>
        <w:t xml:space="preserve">These are test bands, not advertised prices. Final packaging must define channel fees, local taxes, FX presentation, refunds, chargebacks, upgrades, replacement devices, accessibility commitments, AI-provider costs, and support limits. No “lifetime” claim is permitted without a precise product/version and support definition.</w:t>
      </w:r>
    </w:p>
    <w:bookmarkEnd w:id="11"/>
    <w:bookmarkStart w:id="12" w:name="economics-accounting-and-control-model"/>
    <w:p>
      <w:pPr>
        <w:pStyle w:val="Heading1"/>
      </w:pPr>
      <w:r>
        <w:rPr>
          <w:rStyle w:val="SectionNumber"/>
          <w:rFonts w:ascii="Spectral" w:hAnsi="Spectral" w:eastAsia="Spectral"/>
          <w:color w:val="132338"/>
        </w:rPr>
        <w:t xml:space="preserve">4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Economics, Accounting, and Control Model</w:t>
      </w:r>
    </w:p>
    <w:p>
      <w:pPr>
        <w:pStyle w:val="FirstParagraph"/>
      </w:pPr>
      <w:r>
        <w:t xml:space="preserve">No TAM, revenue forecast, margin, CAC, LTV, or payback figure is presented because input evidence was not supplied. Before approval, the owner and finance controller shall complete:</w:t>
      </w:r>
    </w:p>
    <w:p>
      <w:pPr>
        <w:pStyle w:val="Compact"/>
        <w:numPr>
          <w:ilvl w:val="0"/>
          <w:numId w:val="1001"/>
        </w:numPr>
      </w:pPr>
      <w:r>
        <w:t xml:space="preserve">unit economics by personal, update-plan, and education offer;</w:t>
      </w:r>
    </w:p>
    <w:p>
      <w:pPr>
        <w:pStyle w:val="Compact"/>
        <w:numPr>
          <w:ilvl w:val="0"/>
          <w:numId w:val="1001"/>
        </w:numPr>
      </w:pPr>
      <w:r>
        <w:t xml:space="preserve">store/direct gross-to-net bridge: gross sale, VAT/sales tax, store fee, refunds/chargebacks, net settlement, and FX;</w:t>
      </w:r>
    </w:p>
    <w:p>
      <w:pPr>
        <w:pStyle w:val="Compact"/>
        <w:numPr>
          <w:ilvl w:val="0"/>
          <w:numId w:val="1001"/>
        </w:numPr>
      </w:pPr>
      <w:r>
        <w:t xml:space="preserve">accounting policy for one-time licences, update obligations, support, education services, and deferred revenue where obligations span periods;</w:t>
      </w:r>
    </w:p>
    <w:p>
      <w:pPr>
        <w:pStyle w:val="Compact"/>
        <w:numPr>
          <w:ilvl w:val="0"/>
          <w:numId w:val="1001"/>
        </w:numPr>
      </w:pPr>
      <w:r>
        <w:t xml:space="preserve">cash/store/mobile settlement reconciliation and exception ownership;</w:t>
      </w:r>
    </w:p>
    <w:p>
      <w:pPr>
        <w:pStyle w:val="Compact"/>
        <w:numPr>
          <w:ilvl w:val="0"/>
          <w:numId w:val="1001"/>
        </w:numPr>
      </w:pPr>
      <w:r>
        <w:t xml:space="preserve">AI usage ledger reconciliation: provider invoice, school quota, retry/failed-call treatment, and customer-facing overage rule; and</w:t>
      </w:r>
    </w:p>
    <w:p>
      <w:pPr>
        <w:pStyle w:val="Compact"/>
        <w:numPr>
          <w:ilvl w:val="0"/>
          <w:numId w:val="1001"/>
        </w:numPr>
      </w:pPr>
      <w:r>
        <w:t xml:space="preserve">refund, cancellation, credit-note, tax-document, bad-debt, and access-revocation workflows with immutable audit evidence.</w:t>
      </w:r>
    </w:p>
    <w:p>
      <w:pPr>
        <w:pStyle w:val="FirstParagraph"/>
      </w:pPr>
      <w:r>
        <w:t xml:space="preserve">Commercial approval requires a contribution-margin floor chosen by the owner, measured support effort, and a sensitivity table for channel fees, refund rate, provider cost, and FX. Until those inputs exist, finance status is Conditional / NOT PRODUCTION APPROVED.</w:t>
      </w:r>
    </w:p>
    <w:bookmarkEnd w:id="12"/>
    <w:bookmarkStart w:id="13" w:name="validation-plan-and-decision-gates"/>
    <w:p>
      <w:pPr>
        <w:pStyle w:val="Heading1"/>
      </w:pPr>
      <w:r>
        <w:rPr>
          <w:rStyle w:val="SectionNumber"/>
          <w:rFonts w:ascii="Spectral" w:hAnsi="Spectral" w:eastAsia="Spectral"/>
          <w:color w:val="132338"/>
        </w:rPr>
        <w:t xml:space="preserve">5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Validation Plan and Decision Gates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cantSplit/>
        </w:trPr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Gate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Oracle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Owner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Decision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≥12 interview records; ≥8 confirm the target workflow and current workaround</w:t>
            </w:r>
          </w:p>
        </w:tc>
        <w:tc>
          <w:tcPr/>
          <w:p>
            <w:pPr>
              <w:pStyle w:val="Compact"/>
            </w:pPr>
            <w:r>
              <w:t xml:space="preserve">Product owner</w:t>
            </w:r>
          </w:p>
        </w:tc>
        <w:tc>
          <w:tcPr/>
          <w:p>
            <w:pPr>
              <w:pStyle w:val="Compact"/>
            </w:pPr>
            <w:r>
              <w:t xml:space="preserve">Continue, narrow, or stop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Usability</w:t>
            </w:r>
          </w:p>
        </w:tc>
        <w:tc>
          <w:tcPr/>
          <w:p>
            <w:pPr>
              <w:pStyle w:val="Compact"/>
            </w:pPr>
            <w:r>
              <w:t xml:space="preserve">≥5 observed users complete import, search, read/annotate, privacy preview, and export; zero critical failure</w:t>
            </w:r>
          </w:p>
        </w:tc>
        <w:tc>
          <w:tcPr/>
          <w:p>
            <w:pPr>
              <w:pStyle w:val="Compact"/>
            </w:pPr>
            <w:r>
              <w:t xml:space="preserve">Product + design</w:t>
            </w:r>
          </w:p>
        </w:tc>
        <w:tc>
          <w:tcPr/>
          <w:p>
            <w:pPr>
              <w:pStyle w:val="Compact"/>
            </w:pPr>
            <w:r>
              <w:t xml:space="preserve">Iterate before beta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Willingness to pay</w:t>
            </w:r>
          </w:p>
        </w:tc>
        <w:tc>
          <w:tcPr/>
          <w:p>
            <w:pPr>
              <w:pStyle w:val="Compact"/>
            </w:pPr>
            <w:r>
              <w:t xml:space="preserve">At least 3 personal paid commitments or deposits and 2 institutional letters/pilot agreements at recorded bands</w:t>
            </w:r>
          </w:p>
        </w:tc>
        <w:tc>
          <w:tcPr/>
          <w:p>
            <w:pPr>
              <w:pStyle w:val="Compact"/>
            </w:pPr>
            <w:r>
              <w:t xml:space="preserve">Product owner</w:t>
            </w:r>
          </w:p>
        </w:tc>
        <w:tc>
          <w:tcPr/>
          <w:p>
            <w:pPr>
              <w:pStyle w:val="Compact"/>
            </w:pPr>
            <w:r>
              <w:t xml:space="preserve">Ratify or change packaging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Commercial control</w:t>
            </w:r>
          </w:p>
        </w:tc>
        <w:tc>
          <w:tcPr/>
          <w:p>
            <w:pPr>
              <w:pStyle w:val="Compact"/>
            </w:pPr>
            <w:r>
              <w:t xml:space="preserve">Finance gate signed; store/direct settlement, tax, refund, revenue, AI-cost, entitlement, and support controls tested</w:t>
            </w:r>
          </w:p>
        </w:tc>
        <w:tc>
          <w:tcPr/>
          <w:p>
            <w:pPr>
              <w:pStyle w:val="Compact"/>
            </w:pPr>
            <w:r>
              <w:t xml:space="preserve">Finance controller</w:t>
            </w:r>
          </w:p>
        </w:tc>
        <w:tc>
          <w:tcPr/>
          <w:p>
            <w:pPr>
              <w:pStyle w:val="Compact"/>
            </w:pPr>
            <w:r>
              <w:t xml:space="preserve">Permit paid launch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Release</w:t>
            </w:r>
          </w:p>
        </w:tc>
        <w:tc>
          <w:tcPr/>
          <w:p>
            <w:pPr>
              <w:pStyle w:val="Compact"/>
            </w:pPr>
            <w:r>
              <w:t xml:space="preserve">All applicable go-live items evidenced; legal/privacy/design/accessibility approvals recorded</w:t>
            </w:r>
          </w:p>
        </w:tc>
        <w:tc>
          <w:tcPr/>
          <w:p>
            <w:pPr>
              <w:pStyle w:val="Compact"/>
            </w:pPr>
            <w:r>
              <w:t xml:space="preserve">Accountable owners</w:t>
            </w:r>
          </w:p>
        </w:tc>
        <w:tc>
          <w:tcPr/>
          <w:p>
            <w:pPr>
              <w:pStyle w:val="Compact"/>
            </w:pPr>
            <w:r>
              <w:t xml:space="preserve">Public beta/production GO</w:t>
            </w:r>
          </w:p>
        </w:tc>
      </w:tr>
    </w:tbl>
    <w:p>
      <w:pPr>
        <w:pStyle w:val="BodyText"/>
      </w:pPr>
      <w:r>
        <w:t xml:space="preserve">Every test records date, participant segment, script, result, consent, decision, and repository evidence path. Silence or informal enthusiasm is not validation.</w:t>
      </w:r>
    </w:p>
    <w:bookmarkEnd w:id="13"/>
    <w:p>
      <w:r>
        <w:br w:type="page"/>
      </w:r>
    </w:p>
    <w:p>
      <w:pPr>
        <w:pStyle w:val="Heading1"/>
      </w:pPr>
      <w:r>
        <w:t>Kaizen refresh - 2026-09-10</w:t>
      </w:r>
    </w:p>
    <w:p>
      <w:r>
        <w:rPr>
          <w:b/>
        </w:rPr>
        <w:t xml:space="preserve">Refresh status: </w:t>
      </w:r>
      <w:r>
        <w:t>Applied local remediation and current-source updates. Visual/render/browser inspection was skipped at the requester's direction and is NOT ASSESSED.</w:t>
      </w:r>
    </w:p>
    <w:p>
      <w:r>
        <w:rPr>
          <w:b/>
        </w:rPr>
        <w:t xml:space="preserve">Source: </w:t>
      </w:r>
      <w:r>
        <w:t>docs/references/Ogma-Library_BusinessCase_v2.1_2026-08-13.docx; repository head at evidence capture: e2be72fb332e</w:t>
      </w:r>
    </w:p>
    <w:p>
      <w:pPr>
        <w:pStyle w:val="Heading2"/>
      </w:pPr>
      <w:r>
        <w:t>Current-source requirements, design, and test update</w:t>
      </w:r>
    </w:p>
    <w:p>
      <w:r>
        <w:t>Specify PDF containment, page-count/navigation behaviour, malformed-document handling, interrupted-load recovery, search failure, identity, and metadata boundaries.</w:t>
      </w:r>
    </w:p>
    <w:p>
      <w:r>
        <w:t>Specify reproducible build inputs, signing/notarisation, update/rollback, supported OS/runtime matrix, hashes, and release ownership.</w:t>
      </w:r>
    </w:p>
    <w:p>
      <w:r>
        <w:t>Use WCAG 2.2 test oracles for reader keyboard/focus/status/reflow/error-recovery requirements; automated tests do not close physical/platform gates.</w:t>
      </w:r>
    </w:p>
    <w:p>
      <w:pPr>
        <w:pStyle w:val="Heading2"/>
      </w:pPr>
      <w:r>
        <w:t>Design-system decision</w:t>
      </w:r>
    </w:p>
    <w:p>
      <w:r>
        <w:t>Preserve the source document's existing typography, spacing, colour, and table styles. No new primary typeface is introduced in this no-visual-QA cycle; no visual quality claim is made.</w:t>
      </w:r>
    </w:p>
    <w:p>
      <w:pPr>
        <w:pStyle w:val="Heading2"/>
      </w:pPr>
      <w:r>
        <w:t>Verification and release posture</w:t>
      </w:r>
    </w:p>
    <w:p>
      <w:r>
        <w:t>Current automated baseline: 42 architecture, 955 core, and 163 UI tests (1,160 total); shelf3d typecheck/build/performance baseline was green.</w:t>
      </w:r>
    </w:p>
    <w:p>
      <w:r>
        <w:t>Keep release, PDF containment, signing, platform/accessibility, and reviewer evidence open until directly observed.</w:t>
      </w:r>
    </w:p>
    <w:p>
      <w:pPr>
        <w:pStyle w:val="Heading2"/>
      </w:pPr>
      <w:r>
        <w:t>Operational control</w:t>
      </w:r>
    </w:p>
    <w:p>
      <w:r>
        <w:t>Do not promote on automated green tests alone; require artifact hashes, signing evidence, rollback evidence, and supported-runtime proof.</w:t>
      </w:r>
    </w:p>
    <w:p>
      <w:pPr>
        <w:pStyle w:val="Heading2"/>
      </w:pPr>
      <w:r>
        <w:t>Authoritative currentness register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c>
          <w:tcPr>
            <w:tcW w:type="dxa" w:w="1950"/>
          </w:tcPr>
          <w:p>
            <w:r>
              <w:t>ID</w:t>
            </w:r>
          </w:p>
        </w:tc>
        <w:tc>
          <w:tcPr>
            <w:tcW w:type="dxa" w:w="1950"/>
          </w:tcPr>
          <w:p>
            <w:r>
              <w:t>Source</w:t>
            </w:r>
          </w:p>
        </w:tc>
        <w:tc>
          <w:tcPr>
            <w:tcW w:type="dxa" w:w="1950"/>
          </w:tcPr>
          <w:p>
            <w:r>
              <w:t>Version/date</w:t>
            </w:r>
          </w:p>
        </w:tc>
        <w:tc>
          <w:tcPr>
            <w:tcW w:type="dxa" w:w="1950"/>
          </w:tcPr>
          <w:p>
            <w:r>
              <w:t>Primary URL</w:t>
            </w:r>
          </w:p>
        </w:tc>
        <w:tc>
          <w:tcPr>
            <w:tcW w:type="dxa" w:w="1950"/>
          </w:tcPr>
          <w:p>
            <w:r>
              <w:t>Adoption decision</w:t>
            </w:r>
          </w:p>
        </w:tc>
      </w:tr>
      <w:tr>
        <w:tc>
          <w:tcPr>
            <w:tcW w:type="dxa" w:w="1950"/>
          </w:tcPr>
          <w:p>
            <w:r>
              <w:t>DR-WCAG-22</w:t>
            </w:r>
          </w:p>
        </w:tc>
        <w:tc>
          <w:tcPr>
            <w:tcW w:type="dxa" w:w="1950"/>
          </w:tcPr>
          <w:p>
            <w:r>
              <w:t>WCAG 2.2</w:t>
            </w:r>
          </w:p>
        </w:tc>
        <w:tc>
          <w:tcPr>
            <w:tcW w:type="dxa" w:w="1950"/>
          </w:tcPr>
          <w:p>
            <w:r>
              <w:t>W3C Recommendation, 2024-12-12</w:t>
            </w:r>
          </w:p>
        </w:tc>
        <w:tc>
          <w:tcPr>
            <w:tcW w:type="dxa" w:w="1950"/>
          </w:tcPr>
          <w:p>
            <w:r>
              <w:t>https://www.w3.org/TR/WCAG22/</w:t>
            </w:r>
          </w:p>
        </w:tc>
        <w:tc>
          <w:tcPr>
            <w:tcW w:type="dxa" w:w="1950"/>
          </w:tcPr>
          <w:p>
            <w:r>
              <w:t>Retain; review 2026-10-10</w:t>
            </w:r>
          </w:p>
        </w:tc>
      </w:tr>
      <w:tr>
        <w:tc>
          <w:tcPr>
            <w:tcW w:type="dxa" w:w="1950"/>
          </w:tcPr>
          <w:p>
            <w:r>
              <w:t>DR-ASVS-5</w:t>
            </w:r>
          </w:p>
        </w:tc>
        <w:tc>
          <w:tcPr>
            <w:tcW w:type="dxa" w:w="1950"/>
          </w:tcPr>
          <w:p>
            <w:r>
              <w:t>OWASP ASVS</w:t>
            </w:r>
          </w:p>
        </w:tc>
        <w:tc>
          <w:tcPr>
            <w:tcW w:type="dxa" w:w="1950"/>
          </w:tcPr>
          <w:p>
            <w:r>
              <w:t>stable v5.0.0, 2025-05</w:t>
            </w:r>
          </w:p>
        </w:tc>
        <w:tc>
          <w:tcPr>
            <w:tcW w:type="dxa" w:w="1950"/>
          </w:tcPr>
          <w:p>
            <w:r>
              <w:t>https://github.com/OWASP/ASVS/releases</w:t>
            </w:r>
          </w:p>
        </w:tc>
        <w:tc>
          <w:tcPr>
            <w:tcW w:type="dxa" w:w="1950"/>
          </w:tcPr>
          <w:p>
            <w:r>
              <w:t>Retain stable release; review 2026-10-10</w:t>
            </w:r>
          </w:p>
        </w:tc>
      </w:tr>
      <w:tr>
        <w:tc>
          <w:tcPr>
            <w:tcW w:type="dxa" w:w="1950"/>
          </w:tcPr>
          <w:p>
            <w:r>
              <w:t>DR-SSDF-11</w:t>
            </w:r>
          </w:p>
        </w:tc>
        <w:tc>
          <w:tcPr>
            <w:tcW w:type="dxa" w:w="1950"/>
          </w:tcPr>
          <w:p>
            <w:r>
              <w:t>NIST SSDF</w:t>
            </w:r>
          </w:p>
        </w:tc>
        <w:tc>
          <w:tcPr>
            <w:tcW w:type="dxa" w:w="1950"/>
          </w:tcPr>
          <w:p>
            <w:r>
              <w:t>v1.1, 2022-02-03; updated 2022-11-29</w:t>
            </w:r>
          </w:p>
        </w:tc>
        <w:tc>
          <w:tcPr>
            <w:tcW w:type="dxa" w:w="1950"/>
          </w:tcPr>
          <w:p>
            <w:r>
              <w:t>https://www.nist.gov/publications/secure-software-development-framework-ssdf-version-11-recommendations-mitigating-risk</w:t>
            </w:r>
          </w:p>
        </w:tc>
        <w:tc>
          <w:tcPr>
            <w:tcW w:type="dxa" w:w="1950"/>
          </w:tcPr>
          <w:p>
            <w:r>
              <w:t>Retain; review 2027-09-10</w:t>
            </w:r>
          </w:p>
        </w:tc>
      </w:tr>
      <w:tr>
        <w:tc>
          <w:tcPr>
            <w:tcW w:type="dxa" w:w="1950"/>
          </w:tcPr>
          <w:p>
            <w:r>
              <w:t>DR-OPENAPI-311</w:t>
            </w:r>
          </w:p>
        </w:tc>
        <w:tc>
          <w:tcPr>
            <w:tcW w:type="dxa" w:w="1950"/>
          </w:tcPr>
          <w:p>
            <w:r>
              <w:t>OpenAPI</w:t>
            </w:r>
          </w:p>
        </w:tc>
        <w:tc>
          <w:tcPr>
            <w:tcW w:type="dxa" w:w="1950"/>
          </w:tcPr>
          <w:p>
            <w:r>
              <w:t>3.1.1, 2024-10-24; newer official entries exist</w:t>
            </w:r>
          </w:p>
        </w:tc>
        <w:tc>
          <w:tcPr>
            <w:tcW w:type="dxa" w:w="1950"/>
          </w:tcPr>
          <w:p>
            <w:r>
              <w:t>https://spec.openapis.org/oas/v3.1.1.html</w:t>
            </w:r>
          </w:p>
        </w:tc>
        <w:tc>
          <w:tcPr>
            <w:tcW w:type="dxa" w:w="1950"/>
          </w:tcPr>
          <w:p>
            <w:r>
              <w:t>Pin per project compatibility; review 2026-10-10</w:t>
            </w:r>
          </w:p>
        </w:tc>
      </w:tr>
      <w:tr>
        <w:tc>
          <w:tcPr>
            <w:tcW w:type="dxa" w:w="1950"/>
          </w:tcPr>
          <w:p>
            <w:r>
              <w:t>DR-PHP-SUPPORT</w:t>
            </w:r>
          </w:p>
        </w:tc>
        <w:tc>
          <w:tcPr>
            <w:tcW w:type="dxa" w:w="1950"/>
          </w:tcPr>
          <w:p>
            <w:r>
              <w:t>PHP supported versions</w:t>
            </w:r>
          </w:p>
        </w:tc>
        <w:tc>
          <w:tcPr>
            <w:tcW w:type="dxa" w:w="1950"/>
          </w:tcPr>
          <w:p>
            <w:r>
              <w:t>official support table accessed current page</w:t>
            </w:r>
          </w:p>
        </w:tc>
        <w:tc>
          <w:tcPr>
            <w:tcW w:type="dxa" w:w="1950"/>
          </w:tcPr>
          <w:p>
            <w:r>
              <w:t>https://www.php.net/supported-versions.php</w:t>
            </w:r>
          </w:p>
        </w:tc>
        <w:tc>
          <w:tcPr>
            <w:tcW w:type="dxa" w:w="1950"/>
          </w:tcPr>
          <w:p>
            <w:r>
              <w:t>Require supported branch; review 2026-10-10</w:t>
            </w:r>
          </w:p>
        </w:tc>
      </w:tr>
      <w:tr>
        <w:tc>
          <w:tcPr>
            <w:tcW w:type="dxa" w:w="1950"/>
          </w:tcPr>
          <w:p>
            <w:r>
              <w:t>DR-MYSQL-LTS</w:t>
            </w:r>
          </w:p>
        </w:tc>
        <w:tc>
          <w:tcPr>
            <w:tcW w:type="dxa" w:w="1950"/>
          </w:tcPr>
          <w:p>
            <w:r>
              <w:t>MySQL releases</w:t>
            </w:r>
          </w:p>
        </w:tc>
        <w:tc>
          <w:tcPr>
            <w:tcW w:type="dxa" w:w="1950"/>
          </w:tcPr>
          <w:p>
            <w:r>
              <w:t>8.4 LTS line</w:t>
            </w:r>
          </w:p>
        </w:tc>
        <w:tc>
          <w:tcPr>
            <w:tcW w:type="dxa" w:w="1950"/>
          </w:tcPr>
          <w:p>
            <w:r>
              <w:t>https://dev.mysql.com/doc/refman/8.4/en/mysql-releases.html</w:t>
            </w:r>
          </w:p>
        </w:tc>
        <w:tc>
          <w:tcPr>
            <w:tcW w:type="dxa" w:w="1950"/>
          </w:tcPr>
          <w:p>
            <w:r>
              <w:t>Candidate target only after rehearsal; review 2026-10-10</w:t>
            </w:r>
          </w:p>
        </w:tc>
      </w:tr>
      <w:tr>
        <w:tc>
          <w:tcPr>
            <w:tcW w:type="dxa" w:w="1950"/>
          </w:tcPr>
          <w:p>
            <w:r>
              <w:t>DR-MODEL</w:t>
            </w:r>
          </w:p>
        </w:tc>
        <w:tc>
          <w:tcPr>
            <w:tcW w:type="dxa" w:w="1950"/>
          </w:tcPr>
          <w:p>
            <w:r>
              <w:t>Official model releases</w:t>
            </w:r>
          </w:p>
        </w:tc>
        <w:tc>
          <w:tcPr>
            <w:tcW w:type="dxa" w:w="1950"/>
          </w:tcPr>
          <w:p>
            <w:r>
              <w:t>GPT-6 Astra and GPT-5.6 pages accessed 2026-09-10</w:t>
            </w:r>
          </w:p>
        </w:tc>
        <w:tc>
          <w:tcPr>
            <w:tcW w:type="dxa" w:w="1950"/>
          </w:tcPr>
          <w:p>
            <w:r>
              <w:t>https://openai.com/index/gpt-6-astra/</w:t>
            </w:r>
          </w:p>
        </w:tc>
        <w:tc>
          <w:tcPr>
            <w:tcW w:type="dxa" w:w="1950"/>
          </w:tcPr>
          <w:p>
            <w:r>
              <w:t>Retain pins; runtime/account catalogue NOT ASSESSED</w:t>
            </w:r>
          </w:p>
        </w:tc>
      </w:tr>
    </w:tbl>
    <w:p>
      <w:pPr>
        <w:pStyle w:val="Heading2"/>
      </w:pPr>
      <w:r>
        <w:t>Integrity limits</w:t>
      </w:r>
    </w:p>
    <w:p>
      <w:r>
        <w:t>Current official source pages were consulted on 2026-09-10; stale or ambiguous claims are not admitted as release proof.</w:t>
      </w:r>
    </w:p>
    <w:p>
      <w:r>
        <w:t>The local Codex model-policy check reports root-policy drift. No repair was applied; actual runtime/account model availability is NOT ASSESSED.</w:t>
      </w:r>
    </w:p>
    <w:p>
      <w:r>
        <w:t>Finance controls, live database evidence, legal/privacy approval, production artifact scans, reviewer sign-off, and other product-specific open gates remain open unless the evidence above explicitly closes them.</w:t>
      </w:r>
    </w:p>
    <w:p>
      <w:r>
        <w:t>This appendix updates requirements and design/test intent; it does not certify production readiness.</w:t>
      </w:r>
    </w:p>
    <w:sectPr>
      <w:headerReference w:type="default" r:id="rId9"/>
      <w:footerReference w:type="default" r:id="rId10"/>
      <w:footnotePr>
        <w:numRestart w:val="eachSect"/>
      </w:footnotePr>
      <w:pgSz w:w="11906" w:h="16838"/>
      <w:pgMar w:bottom="1020" w:left="1134" w:right="1020" w:top="1020" w:header="510" w:footer="5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Public Sans" w:hAnsi="Public Sans" w:eastAsia="Public Sans"/>
        <w:color w:val="132338"/>
        <w:sz w:val="15"/>
      </w:rPr>
      <w:t xml:space="preserve">Review baseline — not approved for production   •   </w:t>
    </w:r>
    <w:r>
      <w:fldChar w:fldCharType="begin"/>
      <w:instrText xml:space="preserve">PAGE</w:instrText>
      <w:fldChar w:fldCharType="separate"/>
      <w:fldChar w:fldCharType="end"/>
    </w:r>
    <w:r>
      <w:rPr>
        <w:rFonts w:ascii="Public Sans" w:hAnsi="Public Sans" w:eastAsia="Public Sans"/>
        <w:color w:val="132338"/>
        <w:sz w:val="15"/>
      </w:rPr>
      <w:t xml:space="preserve"> /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Public Sans" w:hAnsi="Public Sans" w:eastAsia="Public Sans"/>
        <w:color w:val="132338"/>
        <w:sz w:val="15"/>
      </w:rPr>
      <w:t>OGMA LIBRARY  /  CONTROLLED BUSINESS CASE  /  v2.1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updateFields w:val="true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Public Sans" w:cs="Public Sans" w:hAnsi="Public Sans"/>
      <w:color w:val="1A1A1A"/>
      <w:sz w:val="22"/>
      <w:lang w:val="en-UG" w:eastAsia="en-UG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Public Sans" w:cs="Public Sans" w:hAnsi="Public Sans"/>
      <w:color w:val="1A1A1A"/>
      <w:sz w:val="22"/>
      <w:lang w:val="en-UG" w:eastAsia="en-UG"/>
    </w:rPr>
  </w:style>
  <w:style w:customStyle="1" w:styleId="FirstParagraph" w:type="paragraph">
    <w:name w:val="First Paragraph"/>
    <w:basedOn w:val="BodyText"/>
    <w:next w:val="BodyText"/>
    <w:qFormat/>
    <w:rPr>
      <w:rFonts w:ascii="Public Sans" w:cs="Public Sans" w:hAnsi="Public Sans"/>
      <w:color w:val="1A1A1A"/>
      <w:sz w:val="22"/>
      <w:lang w:val="en-UG" w:eastAsia="en-UG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Public Sans" w:cs="Public Sans" w:hAnsi="Public Sans"/>
      <w:color w:val="1A1A1A"/>
      <w:sz w:val="22"/>
      <w:lang w:val="en-UG" w:eastAsia="en-UG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Spectral" w:asciiTheme="majorHAnsi" w:cs="Spectral" w:cstheme="majorBidi" w:eastAsiaTheme="majorEastAsia" w:hAnsi="Spectral" w:hAnsiTheme="majorHAnsi"/>
      <w:b/>
      <w:color w:val="1A1A1A"/>
      <w:sz w:val="64"/>
      <w:szCs w:val="56"/>
      <w:lang w:val="en-UG" w:eastAsia="en-UG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Public Sans" w:cs="Public Sans" w:cstheme="majorBidi" w:eastAsiaTheme="majorEastAsia" w:hAnsi="Public Sans"/>
      <w:i/>
      <w:color w:val="5A5A5A"/>
      <w:spacing w:val="15"/>
      <w:sz w:val="30"/>
      <w:szCs w:val="28"/>
      <w:lang w:val="en-UG" w:eastAsia="en-UG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Public Sans" w:cs="Public Sans" w:hAnsi="Public Sans"/>
      <w:color w:val="5A5A5A"/>
      <w:sz w:val="22"/>
      <w:szCs w:val="24"/>
      <w:lang w:val="en-UG" w:eastAsia="en-UG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Public Sans" w:cs="Public Sans" w:hAnsi="Public Sans"/>
      <w:color w:val="5A5A5A"/>
      <w:sz w:val="22"/>
      <w:szCs w:val="24"/>
      <w:lang w:val="en-UG" w:eastAsia="en-UG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  <w:lang w:val="en-UG" w:eastAsia="en-UG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  <w:lang w:val="en-UG" w:eastAsia="en-UG"/>
    </w:rPr>
  </w:style>
  <w:style w:styleId="Bibliography" w:type="paragraph">
    <w:name w:val="Bibliography"/>
    <w:basedOn w:val="Normal"/>
    <w:next w:val="Bibliography"/>
    <w:qFormat/>
    <w:pPr/>
    <w:rPr>
      <w:lang w:val="en-UG" w:eastAsia="en-UG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Spectral" w:asciiTheme="majorHAnsi" w:cs="Spectral" w:cstheme="majorBidi" w:eastAsiaTheme="majorEastAsia" w:hAnsi="Spectral" w:hAnsiTheme="majorHAnsi"/>
      <w:b/>
      <w:i w:val="0"/>
      <w:color w:val="1A1A1A"/>
      <w:sz w:val="40"/>
      <w:szCs w:val="40"/>
      <w:lang w:val="en-UG" w:eastAsia="en-UG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Spectral" w:asciiTheme="majorHAnsi" w:cs="Spectral" w:cstheme="majorBidi" w:eastAsiaTheme="majorEastAsia" w:hAnsi="Spectral" w:hAnsiTheme="majorHAnsi"/>
      <w:b/>
      <w:i w:val="0"/>
      <w:color w:val="1A1A1A"/>
      <w:sz w:val="30"/>
      <w:szCs w:val="32"/>
      <w:lang w:val="en-UG" w:eastAsia="en-UG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Public Sans" w:cs="Public Sans" w:cstheme="majorBidi" w:eastAsiaTheme="majorEastAsia" w:hAnsi="Public Sans"/>
      <w:b/>
      <w:i w:val="0"/>
      <w:color w:val="1A1A1A"/>
      <w:sz w:val="25"/>
      <w:szCs w:val="28"/>
      <w:lang w:val="en-UG" w:eastAsia="en-UG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Public Sans" w:cs="Public Sans" w:cstheme="majorBidi" w:eastAsiaTheme="majorEastAsia" w:hAnsi="Public Sans"/>
      <w:b/>
      <w:i/>
      <w:iCs/>
      <w:color w:val="5A5A5A"/>
      <w:sz w:val="22"/>
      <w:lang w:val="en-UG" w:eastAsia="en-UG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Public Sans" w:cs="Public Sans" w:cstheme="majorBidi" w:eastAsiaTheme="majorEastAsia" w:hAnsi="Public Sans"/>
      <w:b/>
      <w:i w:val="0"/>
      <w:color w:val="1A1A1A"/>
      <w:sz w:val="22"/>
      <w:lang w:val="en-UG" w:eastAsia="en-UG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Public Sans" w:cs="Public Sans" w:cstheme="majorBidi" w:eastAsiaTheme="majorEastAsia" w:hAnsi="Public Sans"/>
      <w:b/>
      <w:i/>
      <w:iCs/>
      <w:color w:val="5A5A5A"/>
      <w:sz w:val="22"/>
      <w:lang w:val="en-UG" w:eastAsia="en-UG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  <w:lang w:val="en-UG" w:eastAsia="en-UG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  <w:lang w:val="en-UG" w:eastAsia="en-UG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  <w:lang w:val="en-UG" w:eastAsia="en-UG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Public Sans" w:cs="Public Sans" w:hAnsi="Public Sans"/>
      <w:i/>
      <w:color w:val="5A5A5A"/>
      <w:sz w:val="22"/>
      <w:lang w:val="en-UG" w:eastAsia="en-UG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lang w:val="en-UG" w:eastAsia="en-UG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lang w:val="en-UG" w:eastAsia="en-UG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  <w:lang w:val="en-UG" w:eastAsia="en-UG"/>
    </w:rPr>
  </w:style>
  <w:style w:customStyle="1" w:styleId="Definition" w:type="paragraph">
    <w:name w:val="Definition"/>
    <w:basedOn w:val="Normal"/>
    <w:rPr>
      <w:lang w:val="en-UG" w:eastAsia="en-UG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Public Sans" w:cs="Public Sans" w:hAnsi="Public Sans"/>
      <w:i/>
      <w:color w:val="5A5A5A"/>
      <w:sz w:val="18"/>
      <w:lang w:val="en-UG" w:eastAsia="en-UG"/>
    </w:rPr>
  </w:style>
  <w:style w:customStyle="1" w:styleId="TableCaption" w:type="paragraph">
    <w:name w:val="Table Caption"/>
    <w:basedOn w:val="Caption"/>
    <w:pPr>
      <w:keepNext/>
    </w:pPr>
    <w:rPr>
      <w:rFonts w:ascii="Public Sans" w:cs="Public Sans" w:hAnsi="Public Sans"/>
      <w:color w:val="1A1A1A"/>
      <w:sz w:val="20"/>
      <w:lang w:val="en-UG" w:eastAsia="en-UG"/>
    </w:rPr>
  </w:style>
  <w:style w:customStyle="1" w:styleId="ImageCaption" w:type="paragraph">
    <w:name w:val="Image Caption"/>
    <w:basedOn w:val="Caption"/>
    <w:rPr>
      <w:rFonts w:ascii="Public Sans" w:cs="Public Sans" w:hAnsi="Public Sans"/>
      <w:color w:val="5A5A5A"/>
      <w:sz w:val="18"/>
      <w:lang w:val="en-UG" w:eastAsia="en-UG"/>
    </w:rPr>
  </w:style>
  <w:style w:customStyle="1" w:styleId="Figure" w:type="paragraph">
    <w:name w:val="Figure"/>
    <w:basedOn w:val="Normal"/>
    <w:rPr>
      <w:lang w:val="en-UG" w:eastAsia="en-UG"/>
    </w:rPr>
  </w:style>
  <w:style w:customStyle="1" w:styleId="CaptionedFigure" w:type="paragraph">
    <w:name w:val="Captioned Figure"/>
    <w:basedOn w:val="Figure"/>
    <w:pPr>
      <w:keepNext/>
    </w:pPr>
    <w:rPr>
      <w:lang w:val="en-UG" w:eastAsia="en-UG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JetBrains Mono" w:cs="JetBrains Mono" w:hAnsi="JetBrains Mono"/>
      <w:color w:val="1A1A1A"/>
      <w:sz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  <w:lang w:val="en-UG" w:eastAsia="en-UG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lang w:val="en-UG" w:eastAsia="en-UG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Controlled Business Case</dc:title>
  <dc:creator>Chwezi Core Systems</dc:creator>
  <cp:keywords>Ogma Library; local-first; requirements; desktop; controlled baseline</cp:keywords>
  <dcterms:created xsi:type="dcterms:W3CDTF">2026-08-13T13:27:18Z</dcterms:created>
  <dcterms:modified xsi:type="dcterms:W3CDTF">2026-08-13T13:27:18Z</dcterms:modified>
  <dc:subject>Kaizen refresh 2026-09-10; visual checks skipped</dc:subject>
  <dc:description>Version 2.1; Review baseline — not approved for production; regenerated 2026-08-13</dc:description>
  <cp:lastModifiedBy>Codex Kaizen</cp:lastModifiedBy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