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Kaizen Overhaul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aseline--ogma-library-full-overhaul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Baseline — Ogma Library Full Overhaul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Item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Inherited state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baseline-snapshot-2026-08-13.zip</w:t>
            </w:r>
            <w:r>
              <w:t xml:space="preserve">, 153 entries, 1,306,458 bytes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Kaizen score</w:t>
            </w:r>
          </w:p>
        </w:tc>
        <w:tc>
          <w:tcPr/>
          <w:p>
            <w:pPr>
              <w:pStyle w:val="Compact"/>
            </w:pPr>
            <w:r>
              <w:t xml:space="preserve">46.2/100 independent first-cycle audit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Word artifacts</w:t>
            </w:r>
          </w:p>
        </w:tc>
        <w:tc>
          <w:tcPr/>
          <w:p>
            <w:pPr>
              <w:pStyle w:val="Compact"/>
            </w:pPr>
            <w:r>
              <w:t xml:space="preserve">16 valid DOCX packages, all stale; 0 PAGE fields; 0 updateFields; 10 blank titles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0 deliverable DOCX; 2 Word lock files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Validator</w:t>
            </w:r>
          </w:p>
        </w:tc>
        <w:tc>
          <w:tcPr/>
          <w:p>
            <w:pPr>
              <w:pStyle w:val="Compact"/>
            </w:pPr>
            <w:r>
              <w:t xml:space="preserve">FAIL: orphan Disposition term and missing test-completion phrases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SRS 87/5/9 vs governance 89/4/8; three empty story traces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Release claim</w:t>
            </w:r>
          </w:p>
        </w:tc>
        <w:tc>
          <w:tcPr/>
          <w:p>
            <w:pPr>
              <w:pStyle w:val="Compact"/>
            </w:pPr>
            <w:r>
              <w:t xml:space="preserve">Historical “Clean — ship” conflicted with current NO-GO evidence</w:t>
            </w:r>
          </w:p>
        </w:tc>
      </w:tr>
    </w:tbl>
    <w:p>
      <w:pPr>
        <w:pStyle w:val="BodyText"/>
      </w:pPr>
      <w:r>
        <w:t xml:space="preserve">Preservation rule: the snapshot is immutable recovery evidence. Regenerated v2.1 artifacts supersede, but do not rewrite, the recorded inherited state.</w:t>
      </w:r>
    </w:p>
    <w:bookmarkEnd w:id="9"/>
    <w:bookmarkStart w:id="10" w:name="findings-and-root-causes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Findings and Root Causes</w:t>
      </w:r>
    </w:p>
    <w:p>
      <w:pPr>
        <w:pStyle w:val="Compact"/>
        <w:numPr>
          <w:ilvl w:val="0"/>
          <w:numId w:val="1001"/>
        </w:numPr>
      </w:pPr>
      <w:r>
        <w:t xml:space="preserve">Markdown truth evolved after DOCX generation; export scripts had no controlled allow-list or freshness check.</w:t>
      </w:r>
    </w:p>
    <w:p>
      <w:pPr>
        <w:pStyle w:val="Compact"/>
        <w:numPr>
          <w:ilvl w:val="0"/>
          <w:numId w:val="1001"/>
        </w:numPr>
      </w:pPr>
      <w:r>
        <w:t xml:space="preserve">“Implemented,” “Done,” “As-built,” phase completion, and release acceptance were used as if equivalent.</w:t>
      </w:r>
    </w:p>
    <w:p>
      <w:pPr>
        <w:pStyle w:val="Compact"/>
        <w:numPr>
          <w:ilvl w:val="0"/>
          <w:numId w:val="1001"/>
        </w:numPr>
      </w:pPr>
      <w:r>
        <w:t xml:space="preserve">Current implementation evidence was not rerun before July dependency/test statements were repeated.</w:t>
      </w:r>
    </w:p>
    <w:p>
      <w:pPr>
        <w:pStyle w:val="Compact"/>
        <w:numPr>
          <w:ilvl w:val="0"/>
          <w:numId w:val="1001"/>
        </w:numPr>
      </w:pPr>
      <w:r>
        <w:t xml:space="preserve">Business-plan, website, finance, and design controls were implicit despite commercial and visual promises.</w:t>
      </w:r>
    </w:p>
    <w:p>
      <w:pPr>
        <w:pStyle w:val="Compact"/>
        <w:numPr>
          <w:ilvl w:val="0"/>
          <w:numId w:val="1001"/>
        </w:numPr>
      </w:pPr>
      <w:r>
        <w:t xml:space="preserve">Registry and governance summaries were manually maintained and drifted from SRS identifiers.</w:t>
      </w:r>
    </w:p>
    <w:p>
      <w:pPr>
        <w:pStyle w:val="Compact"/>
        <w:numPr>
          <w:ilvl w:val="0"/>
          <w:numId w:val="1001"/>
        </w:numPr>
      </w:pPr>
      <w:r>
        <w:t xml:space="preserve">Historical audit and anti-slop verdicts were presented without expiry or evidence scope.</w:t>
      </w:r>
    </w:p>
    <w:p>
      <w:pPr>
        <w:pStyle w:val="FirstParagraph"/>
      </w:pPr>
      <w:r>
        <w:t xml:space="preserve">Root cause: the project had strong document volume but no single evidence taxonomy and no atomic source → DOCX → export → render → hash release transaction.</w:t>
      </w:r>
    </w:p>
    <w:bookmarkEnd w:id="10"/>
    <w:bookmarkStart w:id="11" w:name="improvement-plan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Improvement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Change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Owner / trigger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Reconcile code, tests, packages, migrations, FR status, HLD and release claim</w:t>
            </w:r>
          </w:p>
        </w:tc>
        <w:tc>
          <w:tcPr/>
          <w:p>
            <w:pPr>
              <w:pStyle w:val="Compact"/>
            </w:pPr>
            <w:r>
              <w:t xml:space="preserve">One commit/date; validator green; 87/5/9 everywhere</w:t>
            </w:r>
          </w:p>
        </w:tc>
        <w:tc>
          <w:tcPr/>
          <w:p>
            <w:pPr>
              <w:pStyle w:val="Compact"/>
            </w:pPr>
            <w:r>
              <w:t xml:space="preserve">Documentation owner; each baseline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Replace stale DOCX/export set</w:t>
            </w:r>
          </w:p>
        </w:tc>
        <w:tc>
          <w:tcPr/>
          <w:p>
            <w:pPr>
              <w:pStyle w:val="Compact"/>
            </w:pPr>
            <w:r>
              <w:t xml:space="preserve">Explicit allow-list; fields/titles/a11y/render/hash pass</w:t>
            </w:r>
          </w:p>
        </w:tc>
        <w:tc>
          <w:tcPr/>
          <w:p>
            <w:pPr>
              <w:pStyle w:val="Compact"/>
            </w:pPr>
            <w:r>
              <w:t xml:space="preserve">Release documentation owner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Add finance/commercial NO-GO gate</w:t>
            </w:r>
          </w:p>
        </w:tc>
        <w:tc>
          <w:tcPr/>
          <w:p>
            <w:pPr>
              <w:pStyle w:val="Compact"/>
            </w:pPr>
            <w:r>
              <w:t xml:space="preserve">Finance audit present and linked from risks/audit/business case</w:t>
            </w:r>
          </w:p>
        </w:tc>
        <w:tc>
          <w:tcPr/>
          <w:p>
            <w:pPr>
              <w:pStyle w:val="Compact"/>
            </w:pPr>
            <w:r>
              <w:t xml:space="preserve">Product owner + finance controller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business case and public website spec</w:t>
            </w:r>
          </w:p>
        </w:tc>
        <w:tc>
          <w:tcPr/>
          <w:p>
            <w:pPr>
              <w:pStyle w:val="Compact"/>
            </w:pPr>
            <w:r>
              <w:t xml:space="preserve">Hypotheses separated from verified evidence</w:t>
            </w:r>
          </w:p>
        </w:tc>
        <w:tc>
          <w:tcPr/>
          <w:p>
            <w:pPr>
              <w:pStyle w:val="Compact"/>
            </w:pPr>
            <w:r>
              <w:t xml:space="preserve">Product/marketing owner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controlled visual system</w:t>
            </w:r>
          </w:p>
        </w:tc>
        <w:tc>
          <w:tcPr/>
          <w:p>
            <w:pPr>
              <w:pStyle w:val="Compact"/>
            </w:pPr>
            <w:r>
              <w:t xml:space="preserve">Typography/palette/a11y rules and implementation gap named</w:t>
            </w:r>
          </w:p>
        </w:tc>
        <w:tc>
          <w:tcPr/>
          <w:p>
            <w:pPr>
              <w:pStyle w:val="Compact"/>
            </w:pPr>
            <w:r>
              <w:t xml:space="preserve">Design/UX owner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Preserve release blockers</w:t>
            </w:r>
          </w:p>
        </w:tc>
        <w:tc>
          <w:tcPr/>
          <w:p>
            <w:pPr>
              <w:pStyle w:val="Compact"/>
            </w:pPr>
            <w:r>
              <w:t xml:space="preserve">Go-live remains NO-GO until named evidence closes each gate</w:t>
            </w:r>
          </w:p>
        </w:tc>
        <w:tc>
          <w:tcPr/>
          <w:p>
            <w:pPr>
              <w:pStyle w:val="Compact"/>
            </w:pPr>
            <w:r>
              <w:t xml:space="preserve">Accountable gate owner</w:t>
            </w:r>
          </w:p>
        </w:tc>
      </w:tr>
    </w:tbl>
    <w:p>
      <w:pPr>
        <w:pStyle w:val="BodyText"/>
      </w:pPr>
      <w:r>
        <w:t xml:space="preserve">Rollback: restore Markdown/DOCX from the baseline ZIP; never roll back the evidence taxonomy or silently reintroduce historical completion claims.</w:t>
      </w:r>
    </w:p>
    <w:bookmarkEnd w:id="11"/>
    <w:bookmarkStart w:id="12" w:name="actions-completed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Actions Completed</w:t>
      </w:r>
    </w:p>
    <w:p>
      <w:pPr>
        <w:pStyle w:val="Compact"/>
        <w:numPr>
          <w:ilvl w:val="0"/>
          <w:numId w:val="1002"/>
        </w:numPr>
      </w:pPr>
      <w:r>
        <w:t xml:space="preserve">Pinned implementation evidence to commit</w:t>
      </w:r>
      <w:r>
        <w:t xml:space="preserve"> </w:t>
      </w:r>
      <w:r>
        <w:rPr>
          <w:rStyle w:val="VerbatimChar"/>
        </w:rPr>
        <w:t xml:space="preserve">26df98322b7934919ddaba513ac02d9aaa44edbb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Reran canonical Release tests: 800 passed, 0 failed, 0 skipped.</w:t>
      </w:r>
    </w:p>
    <w:p>
      <w:pPr>
        <w:pStyle w:val="Compact"/>
        <w:numPr>
          <w:ilvl w:val="0"/>
          <w:numId w:val="1002"/>
        </w:numPr>
      </w:pPr>
      <w:r>
        <w:t xml:space="preserve">Reran transitive package vulnerability audit: no vulnerable package reported.</w:t>
      </w:r>
    </w:p>
    <w:p>
      <w:pPr>
        <w:pStyle w:val="Compact"/>
        <w:numPr>
          <w:ilvl w:val="0"/>
          <w:numId w:val="1002"/>
        </w:numPr>
      </w:pPr>
      <w:r>
        <w:t xml:space="preserve">Reconciled runtime to .NET 10 / EF Core 10.0.9 / 11 migrations; added ADR-0016.</w:t>
      </w:r>
    </w:p>
    <w:p>
      <w:pPr>
        <w:pStyle w:val="Compact"/>
        <w:numPr>
          <w:ilvl w:val="0"/>
          <w:numId w:val="1002"/>
        </w:numPr>
      </w:pPr>
      <w:r>
        <w:t xml:space="preserve">Standardised requirement status to 87 Code/test evidence, 5 Partial, 9 Planned.</w:t>
      </w:r>
    </w:p>
    <w:p>
      <w:pPr>
        <w:pStyle w:val="Compact"/>
        <w:numPr>
          <w:ilvl w:val="0"/>
          <w:numId w:val="1002"/>
        </w:numPr>
      </w:pPr>
      <w:r>
        <w:t xml:space="preserve">Repaired US-001, US-052, and US-057 baseline traces; corrected split-view and school-admin HLD claims.</w:t>
      </w:r>
    </w:p>
    <w:p>
      <w:pPr>
        <w:pStyle w:val="Compact"/>
        <w:numPr>
          <w:ilvl w:val="0"/>
          <w:numId w:val="1002"/>
        </w:numPr>
      </w:pPr>
      <w:r>
        <w:t xml:space="preserve">Replaced the historical audit verdict with documentation PASS / product NO-GO.</w:t>
      </w:r>
    </w:p>
    <w:p>
      <w:pPr>
        <w:pStyle w:val="Compact"/>
        <w:numPr>
          <w:ilvl w:val="0"/>
          <w:numId w:val="1002"/>
        </w:numPr>
      </w:pPr>
      <w:r>
        <w:t xml:space="preserve">Added source register, controlled business case, website specification, finance audit, design system, and current risk entries.</w:t>
      </w:r>
    </w:p>
    <w:p>
      <w:pPr>
        <w:pStyle w:val="Compact"/>
        <w:numPr>
          <w:ilvl w:val="0"/>
          <w:numId w:val="1002"/>
        </w:numPr>
      </w:pPr>
      <w:r>
        <w:t xml:space="preserve">Rebuilt the controlled v2.1 DOCX set and explicit export manifest; retained render/hash/accessibility evidence.</w:t>
      </w:r>
    </w:p>
    <w:bookmarkEnd w:id="12"/>
    <w:bookmarkStart w:id="13" w:name="check--quality-score-and-gate-results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Check — Quality Score and Gate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Dimension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Baseline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v2.1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Doctrine/lifecycle discipline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Taxonomy/routing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Requirement/design 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Applied 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Standards/source currency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Output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Accessibility/inclusion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Production/handoff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Documentation hygiene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Safety/integrity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84.3</w:t>
            </w:r>
          </w:p>
        </w:tc>
      </w:tr>
    </w:tbl>
    <w:p>
      <w:pPr>
        <w:pStyle w:val="BodyText"/>
      </w:pPr>
      <w:r>
        <w:t xml:space="preserve">The 55 production/handoff score is intentional: documentation quality improved, but product release evidence is still incomplete. A documentation score must not erase a product NO-GO.</w:t>
      </w:r>
    </w:p>
    <w:p>
      <w:pPr>
        <w:pStyle w:val="BodyText"/>
      </w:pPr>
      <w:r>
        <w:t xml:space="preserve">Gate evidence and exact command outcomes are recorded in</w:t>
      </w:r>
      <w:r>
        <w:t xml:space="preserve"> </w:t>
      </w:r>
      <w:r>
        <w:rPr>
          <w:rStyle w:val="VerbatimChar"/>
        </w:rPr>
        <w:t xml:space="preserve">06-evidence.md</w:t>
      </w:r>
      <w:r>
        <w:t xml:space="preserve">. Any red engine, DOCX, render, export, hash, source-ingestion, or anti-slop gate blocks this pack.</w:t>
      </w:r>
    </w:p>
    <w:bookmarkEnd w:id="13"/>
    <w:bookmarkStart w:id="16" w:name="Xfc04f8add25fd6a811cbf3114d0af63915352ed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Final Report — Ogma Library v2.1 Kaizen Overhaul</w:t>
      </w:r>
    </w:p>
    <w:p>
      <w:pPr>
        <w:pStyle w:val="FirstParagraph"/>
      </w:pPr>
      <w:r>
        <w:t xml:space="preserve">Ogma's documentation baseline moved from 46.2 to 84.3/100. The controlled pack now tells one defensible story: broad implementation and automated-test evidence exists, but explicit stubs and the security, performance, accessibility, platform, packaging, legal, design, commercial, and operational gates keep the product at NO-GO for public beta, production, paid launch, and classroom deployment.</w:t>
      </w:r>
    </w:p>
    <w:bookmarkStart w:id="14" w:name="delivere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Delivered</w:t>
      </w:r>
    </w:p>
    <w:p>
      <w:pPr>
        <w:pStyle w:val="Compact"/>
        <w:numPr>
          <w:ilvl w:val="0"/>
          <w:numId w:val="1003"/>
        </w:numPr>
      </w:pPr>
      <w:r>
        <w:t xml:space="preserve">reconciled PRD, SRS, stakeholder, HLD, development, testing, deployment, agile, user, governance, risk, traceability, and ADR content;</w:t>
      </w:r>
    </w:p>
    <w:p>
      <w:pPr>
        <w:pStyle w:val="Compact"/>
        <w:numPr>
          <w:ilvl w:val="0"/>
          <w:numId w:val="1003"/>
        </w:numPr>
      </w:pPr>
      <w:r>
        <w:t xml:space="preserve">new controlled business case and public website specification;</w:t>
      </w:r>
    </w:p>
    <w:p>
      <w:pPr>
        <w:pStyle w:val="Compact"/>
        <w:numPr>
          <w:ilvl w:val="0"/>
          <w:numId w:val="1003"/>
        </w:numPr>
      </w:pPr>
      <w:r>
        <w:t xml:space="preserve">finance-module/commercial audit and controlled design system;</w:t>
      </w:r>
    </w:p>
    <w:p>
      <w:pPr>
        <w:pStyle w:val="Compact"/>
        <w:numPr>
          <w:ilvl w:val="0"/>
          <w:numId w:val="1003"/>
        </w:numPr>
      </w:pPr>
      <w:r>
        <w:t xml:space="preserve">regenerated v2.1 Word set with explicit export allow-list, current fields, document metadata, accessible images, rendering checks, and SHA-256 evidence;</w:t>
      </w:r>
    </w:p>
    <w:p>
      <w:pPr>
        <w:pStyle w:val="Compact"/>
        <w:numPr>
          <w:ilvl w:val="0"/>
          <w:numId w:val="1003"/>
        </w:numPr>
      </w:pPr>
      <w:r>
        <w:t xml:space="preserve">recoverable inherited baseline plus reproducible build/validation scripts.</w:t>
      </w:r>
    </w:p>
    <w:bookmarkEnd w:id="14"/>
    <w:bookmarkStart w:id="15" w:name="next-kaizen-cycl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Next Kaizen Cycle</w:t>
      </w:r>
    </w:p>
    <w:p>
      <w:pPr>
        <w:pStyle w:val="Compact"/>
        <w:numPr>
          <w:ilvl w:val="0"/>
          <w:numId w:val="1004"/>
        </w:numPr>
      </w:pPr>
      <w:r>
        <w:t xml:space="preserve">Close or exclude explicit capability stubs and stale implementation-repository guidance.</w:t>
      </w:r>
    </w:p>
    <w:p>
      <w:pPr>
        <w:pStyle w:val="Compact"/>
        <w:numPr>
          <w:ilvl w:val="0"/>
          <w:numId w:val="1004"/>
        </w:numPr>
      </w:pPr>
      <w:r>
        <w:t xml:space="preserve">Produce Phase 19 security and malicious-PDF evidence.</w:t>
      </w:r>
    </w:p>
    <w:p>
      <w:pPr>
        <w:pStyle w:val="Compact"/>
        <w:numPr>
          <w:ilvl w:val="0"/>
          <w:numId w:val="1004"/>
        </w:numPr>
      </w:pPr>
      <w:r>
        <w:t xml:space="preserve">Run Phase 20 reference-hardware and real LAN/WebView/PDF acceptance.</w:t>
      </w:r>
    </w:p>
    <w:p>
      <w:pPr>
        <w:pStyle w:val="Compact"/>
        <w:numPr>
          <w:ilvl w:val="0"/>
          <w:numId w:val="1004"/>
        </w:numPr>
      </w:pPr>
      <w:r>
        <w:t xml:space="preserve">Implement the controlled visual system, remove Inter, procure icons, and complete WCAG/manual platform review.</w:t>
      </w:r>
    </w:p>
    <w:p>
      <w:pPr>
        <w:pStyle w:val="Compact"/>
        <w:numPr>
          <w:ilvl w:val="0"/>
          <w:numId w:val="1004"/>
        </w:numPr>
      </w:pPr>
      <w:r>
        <w:t xml:space="preserve">Ratify jurisdiction/minors controls and commercial/accounting terms.</w:t>
      </w:r>
    </w:p>
    <w:p>
      <w:pPr>
        <w:pStyle w:val="Compact"/>
        <w:numPr>
          <w:ilvl w:val="0"/>
          <w:numId w:val="1004"/>
        </w:numPr>
      </w:pPr>
      <w:r>
        <w:t xml:space="preserve">Package, sign, update/rollback drill, hosted CI, beta operations, SLOs, and accountable GO decision.</w:t>
      </w:r>
    </w:p>
    <w:p>
      <w:pPr>
        <w:pStyle w:val="FirstParagraph"/>
      </w:pPr>
      <w:r>
        <w:t xml:space="preserve">Owner review may use the export pack. Product release may not.</w:t>
      </w:r>
    </w:p>
    <w:bookmarkEnd w:id="15"/>
    <w:bookmarkEnd w:id="16"/>
    <w:bookmarkStart w:id="17" w:name="evidence-manifest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Evidence Manifest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Evidence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Command / source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Result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Implementation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rev-parse HEAD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C:\wamp64\www\Ogma-Library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26df98322b7934919ddaba513ac02d9aaa44edbb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Release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test OgmaLibrary.sln -c Release --nologo -v minimal</w:t>
            </w:r>
          </w:p>
        </w:tc>
        <w:tc>
          <w:tcPr/>
          <w:p>
            <w:pPr>
              <w:pStyle w:val="Compact"/>
            </w:pPr>
            <w:r>
              <w:t xml:space="preserve">800 passed; 0 failed; 0 skipped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Dependency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list OgmaLibrary.sln package --vulnerable --include-transitive</w:t>
            </w:r>
          </w:p>
        </w:tc>
        <w:tc>
          <w:tcPr/>
          <w:p>
            <w:pPr>
              <w:pStyle w:val="Compact"/>
            </w:pPr>
            <w:r>
              <w:t xml:space="preserve">No vulnerable package reported across 10 projects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SRS + governance matrix + registry</w:t>
            </w:r>
          </w:p>
        </w:tc>
        <w:tc>
          <w:tcPr/>
          <w:p>
            <w:pPr>
              <w:pStyle w:val="Compact"/>
            </w:pPr>
            <w:r>
              <w:t xml:space="preserve">101 total: 87 Code/test evidence, 5 Partial, 9 Planned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Source 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_context/source-register.md</w:t>
            </w:r>
          </w:p>
        </w:tc>
        <w:tc>
          <w:tcPr/>
          <w:p>
            <w:pPr>
              <w:pStyle w:val="Compact"/>
            </w:pPr>
            <w:r>
              <w:t xml:space="preserve">Official runtime, EF, Avalonia, privacy, API, and competitor anchors scoped and dated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_finance-audit-log/2026-08-13-finance-module-audit.md</w:t>
            </w:r>
          </w:p>
        </w:tc>
        <w:tc>
          <w:tcPr/>
          <w:p>
            <w:pPr>
              <w:pStyle w:val="Compact"/>
            </w:pPr>
            <w:r>
              <w:t xml:space="preserve">Conditional / NOT PRODUCTION APPROVED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HLD controlled design system</w:t>
            </w:r>
          </w:p>
        </w:tc>
        <w:tc>
          <w:tcPr/>
          <w:p>
            <w:pPr>
              <w:pStyle w:val="Compact"/>
            </w:pPr>
            <w:r>
              <w:t xml:space="preserve">Inter/icon gap disclosed; design release gate open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Engine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-X utf8 -m engine validate projects/Ogma-Library</w:t>
            </w:r>
          </w:p>
        </w:tc>
        <w:tc>
          <w:tcPr/>
          <w:p>
            <w:pPr>
              <w:pStyle w:val="Compact"/>
            </w:pPr>
            <w:r>
              <w:t xml:space="preserve">PASS; 363 identifiers and 186 glossary terms after sync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Word structural/accessibility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scripts/validate_docx.py</w:t>
            </w:r>
          </w:p>
        </w:tc>
        <w:tc>
          <w:tcPr/>
          <w:p>
            <w:pPr>
              <w:pStyle w:val="Compact"/>
            </w:pPr>
            <w:r>
              <w:t xml:space="preserve">19 controlled / 19 exported; 0 missing, unexpected, hash mismatch, high, or medium findings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PDF render audit</w:t>
            </w:r>
          </w:p>
        </w:tc>
        <w:tc>
          <w:tcPr/>
          <w:p>
            <w:pPr>
              <w:pStyle w:val="Compact"/>
            </w:pPr>
            <w:r>
              <w:t xml:space="preserve">LibreOffice +</w:t>
            </w:r>
            <w:r>
              <w:t xml:space="preserve"> </w:t>
            </w:r>
            <w:r>
              <w:rPr>
                <w:rStyle w:val="VerbatimChar"/>
              </w:rPr>
              <w:t xml:space="preserve">scripts/validate_rendered.py</w:t>
            </w:r>
          </w:p>
        </w:tc>
        <w:tc>
          <w:tcPr/>
          <w:p>
            <w:pPr>
              <w:pStyle w:val="Compact"/>
            </w:pPr>
            <w:r>
              <w:t xml:space="preserve">19 PDFs / 302 A4 pages; 0 blank, non-A4, or out-of-bounds findings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Visual contact 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rendered-contact-sheet.png</w:t>
            </w:r>
          </w:p>
        </w:tc>
        <w:tc>
          <w:tcPr/>
          <w:p>
            <w:pPr>
              <w:pStyle w:val="Compact"/>
            </w:pPr>
            <w:r>
              <w:t xml:space="preserve">Inspected; coherent Spectral/Public Sans hierarchy, ink-navy tables, vellum proof surface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Recovery/cleanup</w:t>
            </w:r>
          </w:p>
        </w:tc>
        <w:tc>
          <w:tcPr/>
          <w:p>
            <w:pPr>
              <w:pStyle w:val="Compact"/>
            </w:pPr>
            <w:r>
              <w:t xml:space="preserve">baseline ZIP + controlled v2.1 replacement</w:t>
            </w:r>
          </w:p>
        </w:tc>
        <w:tc>
          <w:tcPr/>
          <w:p>
            <w:pPr>
              <w:pStyle w:val="Compact"/>
            </w:pPr>
            <w:r>
              <w:t xml:space="preserve">16 stale DOCX removed after snapshot; recoverable from baseline ZIP; temporary rendered PDFs removed after QA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Controlled identifier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 baseline snapshot ... --label v2.1-kaizen-2026-08-13</w:t>
            </w:r>
          </w:p>
        </w:tc>
        <w:tc>
          <w:tcPr/>
          <w:p>
            <w:pPr>
              <w:pStyle w:val="Compact"/>
            </w:pPr>
            <w:r>
              <w:t xml:space="preserve">363 identifier hashes in</w:t>
            </w:r>
            <w:r>
              <w:t xml:space="preserve"> </w:t>
            </w:r>
            <w:r>
              <w:rPr>
                <w:rStyle w:val="VerbatimChar"/>
              </w:rPr>
              <w:t xml:space="preserve">09-governance-compliance/07-baseline-delta/v2.1-kaizen-2026-08-13.yaml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Evidence 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 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Ogma-Library-evidence-pack-v2.1.zip</w:t>
            </w:r>
            <w:r>
              <w:t xml:space="preserve">, 275,304 bytes at creation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Repository release gates</w:t>
            </w:r>
          </w:p>
        </w:tc>
        <w:tc>
          <w:tcPr/>
          <w:p>
            <w:pPr>
              <w:pStyle w:val="Compact"/>
            </w:pPr>
            <w:r>
              <w:t xml:space="preserve">precommit validator, source-ingestion guardrail, skill-engine baseline, routing smoke</w:t>
            </w:r>
          </w:p>
        </w:tc>
        <w:tc>
          <w:tcPr/>
          <w:p>
            <w:pPr>
              <w:pStyle w:val="Compact"/>
            </w:pPr>
            <w:r>
              <w:t xml:space="preserve">PASS; 0 source findings; 157 active skills; 52/52 routing fixtures</w:t>
            </w:r>
          </w:p>
        </w:tc>
      </w:tr>
    </w:tbl>
    <w:p>
      <w:pPr>
        <w:pStyle w:val="BodyText"/>
      </w:pPr>
      <w:r>
        <w:t xml:space="preserve">Evidence limitations: the local test machine is not reference hardware. Hosted CI, real target-platform acceptance, SAST/penetration, WCAG audit, legal approval, buyer evidence, packaging, signing, store review, production operations, and classroom deployment are NOT ASSESSED.</w:t>
      </w:r>
    </w:p>
    <w:bookmarkEnd w:id="17"/>
    <w:p>
      <w:r>
        <w:br w:type="page"/>
      </w:r>
    </w:p>
    <w:p>
      <w:pPr>
        <w:pStyle w:val="Heading1"/>
      </w:pPr>
      <w:r>
        <w:t>Kaizen refresh - 2026-09-10</w:t>
      </w:r>
    </w:p>
    <w:p>
      <w:r>
        <w:rPr>
          <w:b/>
        </w:rPr>
        <w:t xml:space="preserve">Refresh status: </w:t>
      </w:r>
      <w:r>
        <w:t>Applied local remediation and current-source updates. Visual/render/browser inspection was skipped at the requester's direction and is NOT ASSESSED.</w:t>
      </w:r>
    </w:p>
    <w:p>
      <w:r>
        <w:rPr>
          <w:b/>
        </w:rPr>
        <w:t xml:space="preserve">Source: </w:t>
      </w:r>
      <w:r>
        <w:t>docs/references/Ogma-Library_KaizenOverhaul_v2.1_2026-08-13.docx; repository head at evidence capture: e2be72fb332e</w:t>
      </w:r>
    </w:p>
    <w:p>
      <w:pPr>
        <w:pStyle w:val="Heading2"/>
      </w:pPr>
      <w:r>
        <w:t>Current-source requirements, design, and test update</w:t>
      </w:r>
    </w:p>
    <w:p>
      <w:r>
        <w:t>Specify PDF containment, page-count/navigation behaviour, malformed-document handling, interrupted-load recovery, search failure, identity, and metadata boundaries.</w:t>
      </w:r>
    </w:p>
    <w:p>
      <w:r>
        <w:t>Specify reproducible build inputs, signing/notarisation, update/rollback, supported OS/runtime matrix, hashes, and release ownership.</w:t>
      </w:r>
    </w:p>
    <w:p>
      <w:r>
        <w:t>Use WCAG 2.2 test oracles for reader keyboard/focus/status/reflow/error-recovery requirements; automated tests do not close physical/platform gates.</w:t>
      </w:r>
    </w:p>
    <w:p>
      <w:pPr>
        <w:pStyle w:val="Heading2"/>
      </w:pPr>
      <w:r>
        <w:t>Design-system decision</w:t>
      </w:r>
    </w:p>
    <w:p>
      <w:r>
        <w:t>Preserve the source document's existing typography, spacing, colour, and table styles. No new primary typeface is introduced in this no-visual-QA cycle; no visual quality claim is made.</w:t>
      </w:r>
    </w:p>
    <w:p>
      <w:pPr>
        <w:pStyle w:val="Heading2"/>
      </w:pPr>
      <w:r>
        <w:t>Verification and release posture</w:t>
      </w:r>
    </w:p>
    <w:p>
      <w:r>
        <w:t>Current automated baseline: 42 architecture, 955 core, and 163 UI tests (1,160 total); shelf3d typecheck/build/performance baseline was green.</w:t>
      </w:r>
    </w:p>
    <w:p>
      <w:r>
        <w:t>Keep release, PDF containment, signing, platform/accessibility, and reviewer evidence open until directly observed.</w:t>
      </w:r>
    </w:p>
    <w:p>
      <w:pPr>
        <w:pStyle w:val="Heading2"/>
      </w:pPr>
      <w:r>
        <w:t>Operational control</w:t>
      </w:r>
    </w:p>
    <w:p>
      <w:r>
        <w:t>Do not promote on automated green tests alone; require artifact hashes, signing evidence, rollback evidence, and supported-runtime proof.</w:t>
      </w:r>
    </w:p>
    <w:p>
      <w:pPr>
        <w:pStyle w:val="Heading2"/>
      </w:pPr>
      <w:r>
        <w:t>Authoritative currentness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t>ID</w:t>
            </w:r>
          </w:p>
        </w:tc>
        <w:tc>
          <w:tcPr>
            <w:tcW w:type="dxa" w:w="1950"/>
          </w:tcPr>
          <w:p>
            <w:r>
              <w:t>Source</w:t>
            </w:r>
          </w:p>
        </w:tc>
        <w:tc>
          <w:tcPr>
            <w:tcW w:type="dxa" w:w="1950"/>
          </w:tcPr>
          <w:p>
            <w:r>
              <w:t>Version/date</w:t>
            </w:r>
          </w:p>
        </w:tc>
        <w:tc>
          <w:tcPr>
            <w:tcW w:type="dxa" w:w="1950"/>
          </w:tcPr>
          <w:p>
            <w:r>
              <w:t>Primary URL</w:t>
            </w:r>
          </w:p>
        </w:tc>
        <w:tc>
          <w:tcPr>
            <w:tcW w:type="dxa" w:w="1950"/>
          </w:tcPr>
          <w:p>
            <w:r>
              <w:t>Adoption decision</w:t>
            </w:r>
          </w:p>
        </w:tc>
      </w:tr>
      <w:tr>
        <w:tc>
          <w:tcPr>
            <w:tcW w:type="dxa" w:w="1950"/>
          </w:tcPr>
          <w:p>
            <w:r>
              <w:t>DR-WCAG-22</w:t>
            </w:r>
          </w:p>
        </w:tc>
        <w:tc>
          <w:tcPr>
            <w:tcW w:type="dxa" w:w="1950"/>
          </w:tcPr>
          <w:p>
            <w:r>
              <w:t>WCAG 2.2</w:t>
            </w:r>
          </w:p>
        </w:tc>
        <w:tc>
          <w:tcPr>
            <w:tcW w:type="dxa" w:w="1950"/>
          </w:tcPr>
          <w:p>
            <w:r>
              <w:t>W3C Recommendation, 2024-12-12</w:t>
            </w:r>
          </w:p>
        </w:tc>
        <w:tc>
          <w:tcPr>
            <w:tcW w:type="dxa" w:w="1950"/>
          </w:tcPr>
          <w:p>
            <w:r>
              <w:t>https://www.w3.org/TR/WCAG22/</w:t>
            </w:r>
          </w:p>
        </w:tc>
        <w:tc>
          <w:tcPr>
            <w:tcW w:type="dxa" w:w="1950"/>
          </w:tcPr>
          <w:p>
            <w:r>
              <w:t>Retain; review 2026-10-10</w:t>
            </w:r>
          </w:p>
        </w:tc>
      </w:tr>
      <w:tr>
        <w:tc>
          <w:tcPr>
            <w:tcW w:type="dxa" w:w="1950"/>
          </w:tcPr>
          <w:p>
            <w:r>
              <w:t>DR-ASVS-5</w:t>
            </w:r>
          </w:p>
        </w:tc>
        <w:tc>
          <w:tcPr>
            <w:tcW w:type="dxa" w:w="1950"/>
          </w:tcPr>
          <w:p>
            <w:r>
              <w:t>OWASP ASVS</w:t>
            </w:r>
          </w:p>
        </w:tc>
        <w:tc>
          <w:tcPr>
            <w:tcW w:type="dxa" w:w="1950"/>
          </w:tcPr>
          <w:p>
            <w:r>
              <w:t>stable v5.0.0, 2025-05</w:t>
            </w:r>
          </w:p>
        </w:tc>
        <w:tc>
          <w:tcPr>
            <w:tcW w:type="dxa" w:w="1950"/>
          </w:tcPr>
          <w:p>
            <w:r>
              <w:t>https://github.com/OWASP/ASVS/releases</w:t>
            </w:r>
          </w:p>
        </w:tc>
        <w:tc>
          <w:tcPr>
            <w:tcW w:type="dxa" w:w="1950"/>
          </w:tcPr>
          <w:p>
            <w:r>
              <w:t>Retain stable release; review 2026-10-10</w:t>
            </w:r>
          </w:p>
        </w:tc>
      </w:tr>
      <w:tr>
        <w:tc>
          <w:tcPr>
            <w:tcW w:type="dxa" w:w="1950"/>
          </w:tcPr>
          <w:p>
            <w:r>
              <w:t>DR-SSDF-11</w:t>
            </w:r>
          </w:p>
        </w:tc>
        <w:tc>
          <w:tcPr>
            <w:tcW w:type="dxa" w:w="1950"/>
          </w:tcPr>
          <w:p>
            <w:r>
              <w:t>NIST SSDF</w:t>
            </w:r>
          </w:p>
        </w:tc>
        <w:tc>
          <w:tcPr>
            <w:tcW w:type="dxa" w:w="1950"/>
          </w:tcPr>
          <w:p>
            <w:r>
              <w:t>v1.1, 2022-02-03; updated 2022-11-29</w:t>
            </w:r>
          </w:p>
        </w:tc>
        <w:tc>
          <w:tcPr>
            <w:tcW w:type="dxa" w:w="1950"/>
          </w:tcPr>
          <w:p>
            <w:r>
              <w:t>https://www.nist.gov/publications/secure-software-development-framework-ssdf-version-11-recommendations-mitigating-risk</w:t>
            </w:r>
          </w:p>
        </w:tc>
        <w:tc>
          <w:tcPr>
            <w:tcW w:type="dxa" w:w="1950"/>
          </w:tcPr>
          <w:p>
            <w:r>
              <w:t>Retain; review 2027-09-10</w:t>
            </w:r>
          </w:p>
        </w:tc>
      </w:tr>
      <w:tr>
        <w:tc>
          <w:tcPr>
            <w:tcW w:type="dxa" w:w="1950"/>
          </w:tcPr>
          <w:p>
            <w:r>
              <w:t>DR-OPENAPI-311</w:t>
            </w:r>
          </w:p>
        </w:tc>
        <w:tc>
          <w:tcPr>
            <w:tcW w:type="dxa" w:w="1950"/>
          </w:tcPr>
          <w:p>
            <w:r>
              <w:t>OpenAPI</w:t>
            </w:r>
          </w:p>
        </w:tc>
        <w:tc>
          <w:tcPr>
            <w:tcW w:type="dxa" w:w="1950"/>
          </w:tcPr>
          <w:p>
            <w:r>
              <w:t>3.1.1, 2024-10-24; newer official entries exist</w:t>
            </w:r>
          </w:p>
        </w:tc>
        <w:tc>
          <w:tcPr>
            <w:tcW w:type="dxa" w:w="1950"/>
          </w:tcPr>
          <w:p>
            <w:r>
              <w:t>https://spec.openapis.org/oas/v3.1.1.html</w:t>
            </w:r>
          </w:p>
        </w:tc>
        <w:tc>
          <w:tcPr>
            <w:tcW w:type="dxa" w:w="1950"/>
          </w:tcPr>
          <w:p>
            <w:r>
              <w:t>Pin per project compatibility; review 2026-10-10</w:t>
            </w:r>
          </w:p>
        </w:tc>
      </w:tr>
      <w:tr>
        <w:tc>
          <w:tcPr>
            <w:tcW w:type="dxa" w:w="1950"/>
          </w:tcPr>
          <w:p>
            <w:r>
              <w:t>DR-PHP-SUPPORT</w:t>
            </w:r>
          </w:p>
        </w:tc>
        <w:tc>
          <w:tcPr>
            <w:tcW w:type="dxa" w:w="1950"/>
          </w:tcPr>
          <w:p>
            <w:r>
              <w:t>PHP supported versions</w:t>
            </w:r>
          </w:p>
        </w:tc>
        <w:tc>
          <w:tcPr>
            <w:tcW w:type="dxa" w:w="1950"/>
          </w:tcPr>
          <w:p>
            <w:r>
              <w:t>official support table accessed current page</w:t>
            </w:r>
          </w:p>
        </w:tc>
        <w:tc>
          <w:tcPr>
            <w:tcW w:type="dxa" w:w="1950"/>
          </w:tcPr>
          <w:p>
            <w:r>
              <w:t>https://www.php.net/supported-versions.php</w:t>
            </w:r>
          </w:p>
        </w:tc>
        <w:tc>
          <w:tcPr>
            <w:tcW w:type="dxa" w:w="1950"/>
          </w:tcPr>
          <w:p>
            <w:r>
              <w:t>Require supported branch; review 2026-10-10</w:t>
            </w:r>
          </w:p>
        </w:tc>
      </w:tr>
      <w:tr>
        <w:tc>
          <w:tcPr>
            <w:tcW w:type="dxa" w:w="1950"/>
          </w:tcPr>
          <w:p>
            <w:r>
              <w:t>DR-MYSQL-LTS</w:t>
            </w:r>
          </w:p>
        </w:tc>
        <w:tc>
          <w:tcPr>
            <w:tcW w:type="dxa" w:w="1950"/>
          </w:tcPr>
          <w:p>
            <w:r>
              <w:t>MySQL releases</w:t>
            </w:r>
          </w:p>
        </w:tc>
        <w:tc>
          <w:tcPr>
            <w:tcW w:type="dxa" w:w="1950"/>
          </w:tcPr>
          <w:p>
            <w:r>
              <w:t>8.4 LTS line</w:t>
            </w:r>
          </w:p>
        </w:tc>
        <w:tc>
          <w:tcPr>
            <w:tcW w:type="dxa" w:w="1950"/>
          </w:tcPr>
          <w:p>
            <w:r>
              <w:t>https://dev.mysql.com/doc/refman/8.4/en/mysql-releases.html</w:t>
            </w:r>
          </w:p>
        </w:tc>
        <w:tc>
          <w:tcPr>
            <w:tcW w:type="dxa" w:w="1950"/>
          </w:tcPr>
          <w:p>
            <w:r>
              <w:t>Candidate target only after rehearsal; review 2026-10-10</w:t>
            </w:r>
          </w:p>
        </w:tc>
      </w:tr>
      <w:tr>
        <w:tc>
          <w:tcPr>
            <w:tcW w:type="dxa" w:w="1950"/>
          </w:tcPr>
          <w:p>
            <w:r>
              <w:t>DR-MODEL</w:t>
            </w:r>
          </w:p>
        </w:tc>
        <w:tc>
          <w:tcPr>
            <w:tcW w:type="dxa" w:w="1950"/>
          </w:tcPr>
          <w:p>
            <w:r>
              <w:t>Official model releases</w:t>
            </w:r>
          </w:p>
        </w:tc>
        <w:tc>
          <w:tcPr>
            <w:tcW w:type="dxa" w:w="1950"/>
          </w:tcPr>
          <w:p>
            <w:r>
              <w:t>GPT-6 Astra and GPT-5.6 pages accessed 2026-09-10</w:t>
            </w:r>
          </w:p>
        </w:tc>
        <w:tc>
          <w:tcPr>
            <w:tcW w:type="dxa" w:w="1950"/>
          </w:tcPr>
          <w:p>
            <w:r>
              <w:t>https://openai.com/index/gpt-6-astra/</w:t>
            </w:r>
          </w:p>
        </w:tc>
        <w:tc>
          <w:tcPr>
            <w:tcW w:type="dxa" w:w="1950"/>
          </w:tcPr>
          <w:p>
            <w:r>
              <w:t>Retain pins; runtime/account catalogue NOT ASSESSED</w:t>
            </w:r>
          </w:p>
        </w:tc>
      </w:tr>
    </w:tbl>
    <w:p>
      <w:pPr>
        <w:pStyle w:val="Heading2"/>
      </w:pPr>
      <w:r>
        <w:t>Integrity limits</w:t>
      </w:r>
    </w:p>
    <w:p>
      <w:r>
        <w:t>Current official source pages were consulted on 2026-09-10; stale or ambiguous claims are not admitted as release proof.</w:t>
      </w:r>
    </w:p>
    <w:p>
      <w:r>
        <w:t>The local Codex model-policy check reports root-policy drift. No repair was applied; actual runtime/account model availability is NOT ASSESSED.</w:t>
      </w:r>
    </w:p>
    <w:p>
      <w:r>
        <w:t>Finance controls, live database evidence, legal/privacy approval, production artifact scans, reviewer sign-off, and other product-specific open gates remain open unless the evidence above explicitly closes them.</w:t>
      </w:r>
    </w:p>
    <w:p>
      <w:r>
        <w:t>This appendix updates requirements and design/test intent; it does not certify production readiness.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KAIZEN OVERHAUL REPORT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Kaizen Overhaul Report</dc:title>
  <dc:creator>Chwezi Core Systems</dc:creator>
  <cp:keywords>Ogma Library; local-first; requirements; desktop; controlled baseline</cp:keywords>
  <dcterms:created xsi:type="dcterms:W3CDTF">2026-08-13T13:27:38Z</dcterms:created>
  <dcterms:modified xsi:type="dcterms:W3CDTF">2026-08-13T13:27:38Z</dcterms:modified>
  <dc:subject>Kaizen refresh 2026-09-10; visual checks skipped</dc:subject>
  <dc:description>Version 2.1; Review baseline — not approved for production; regenerated 2026-08-13</dc:description>
  <cp:lastModifiedBy>Codex Kaizen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