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Public Website Specification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ae3138038130fd40cf9a189c36ecc5d8b08afba"/>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Ogma Library — Public Website Specification</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Version</w:t>
            </w:r>
          </w:p>
        </w:tc>
        <w:tc>
          <w:tcPr/>
          <w:p>
            <w:pPr>
              <w:pStyle w:val="Compact"/>
            </w:pPr>
            <w:r>
              <w:t xml:space="preserve">2.1</w:t>
            </w:r>
          </w:p>
        </w:tc>
      </w:tr>
      <w:tr>
        <w:trPr>
          <w:cantSplit/>
        </w:trPr>
        <w:tc>
          <w:tcPr/>
          <w:p>
            <w:pPr>
              <w:pStyle w:val="Compact"/>
            </w:pPr>
            <w:r>
              <w:t xml:space="preserve">Date</w:t>
            </w:r>
          </w:p>
        </w:tc>
        <w:tc>
          <w:tcPr/>
          <w:p>
            <w:pPr>
              <w:pStyle w:val="Compact"/>
            </w:pPr>
            <w:r>
              <w:t xml:space="preserve">2026-08-13</w:t>
            </w:r>
          </w:p>
        </w:tc>
      </w:tr>
      <w:tr>
        <w:trPr>
          <w:cantSplit/>
        </w:trPr>
        <w:tc>
          <w:tcPr/>
          <w:p>
            <w:pPr>
              <w:pStyle w:val="Compact"/>
            </w:pPr>
            <w:r>
              <w:t xml:space="preserve">Website implementation</w:t>
            </w:r>
          </w:p>
        </w:tc>
        <w:tc>
          <w:tcPr/>
          <w:p>
            <w:pPr>
              <w:pStyle w:val="Compact"/>
            </w:pPr>
            <w:r>
              <w:t xml:space="preserve">NOT ASSESSED / not supplied</w:t>
            </w:r>
          </w:p>
        </w:tc>
      </w:tr>
      <w:tr>
        <w:trPr>
          <w:cantSplit/>
        </w:trPr>
        <w:tc>
          <w:tcPr/>
          <w:p>
            <w:pPr>
              <w:pStyle w:val="Compact"/>
            </w:pPr>
            <w:r>
              <w:t xml:space="preserve">Purpose</w:t>
            </w:r>
          </w:p>
        </w:tc>
        <w:tc>
          <w:tcPr/>
          <w:p>
            <w:pPr>
              <w:pStyle w:val="Compact"/>
            </w:pPr>
            <w:r>
              <w:t xml:space="preserve">Explain, prove, qualify, and convert without overstating product readiness</w:t>
            </w:r>
          </w:p>
        </w:tc>
      </w:tr>
    </w:tbl>
    <w:p>
      <w:pPr>
        <w:pStyle w:val="BodyText"/>
      </w:pPr>
      <w:r>
        <w:t xml:space="preserve">The website may publish only approved claims from the controlled claim matrix. Before product release, its primary call to action is “Join the validation programme,” not “Buy now” or “Download production.”</w:t>
      </w:r>
    </w:p>
    <w:bookmarkEnd w:id="9"/>
    <w:bookmarkStart w:id="10" w:name="X7cce55f0e20a6a7b32bb6c422df26e7601a99d8"/>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Information Architecture and Conversion Paths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Page</w:t>
            </w:r>
          </w:p>
        </w:tc>
        <w:tc>
          <w:tcPr>
            <w:shd w:fill="132338"/>
          </w:tcPr>
          <w:p>
            <w:pPr>
              <w:pStyle w:val="Compact"/>
            </w:pPr>
            <w:r>
              <w:rPr>
                <w:rFonts w:ascii="Public Sans" w:hAnsi="Public Sans" w:eastAsia="Public Sans"/>
                <w:b/>
                <w:color w:val="FFFFFF"/>
                <w:sz w:val="17"/>
              </w:rPr>
              <w:t xml:space="preserve">Visitor job</w:t>
            </w:r>
          </w:p>
        </w:tc>
        <w:tc>
          <w:tcPr>
            <w:shd w:fill="132338"/>
          </w:tcPr>
          <w:p>
            <w:pPr>
              <w:pStyle w:val="Compact"/>
            </w:pPr>
            <w:r>
              <w:rPr>
                <w:rFonts w:ascii="Public Sans" w:hAnsi="Public Sans" w:eastAsia="Public Sans"/>
                <w:b/>
                <w:color w:val="FFFFFF"/>
                <w:sz w:val="17"/>
              </w:rPr>
              <w:t xml:space="preserve">Required evidence / CTA</w:t>
            </w:r>
          </w:p>
        </w:tc>
      </w:tr>
      <w:tr>
        <w:trPr>
          <w:cantSplit/>
        </w:trPr>
        <w:tc>
          <w:tcPr/>
          <w:p>
            <w:pPr>
              <w:pStyle w:val="Compact"/>
            </w:pPr>
            <w:r>
              <w:t xml:space="preserve">Home</w:t>
            </w:r>
          </w:p>
        </w:tc>
        <w:tc>
          <w:tcPr/>
          <w:p>
            <w:pPr>
              <w:pStyle w:val="Compact"/>
            </w:pPr>
            <w:r>
              <w:t xml:space="preserve">Understand Ogma in 30 seconds</w:t>
            </w:r>
          </w:p>
        </w:tc>
        <w:tc>
          <w:tcPr/>
          <w:p>
            <w:pPr>
              <w:pStyle w:val="Compact"/>
            </w:pPr>
            <w:r>
              <w:t xml:space="preserve">Concrete workflow, development status, validation-program CTA</w:t>
            </w:r>
          </w:p>
        </w:tc>
      </w:tr>
      <w:tr>
        <w:trPr>
          <w:cantSplit/>
        </w:trPr>
        <w:tc>
          <w:tcPr/>
          <w:p>
            <w:pPr>
              <w:pStyle w:val="Compact"/>
            </w:pPr>
            <w:r>
              <w:t xml:space="preserve">Personal library</w:t>
            </w:r>
          </w:p>
        </w:tc>
        <w:tc>
          <w:tcPr/>
          <w:p>
            <w:pPr>
              <w:pStyle w:val="Compact"/>
            </w:pPr>
            <w:r>
              <w:t xml:space="preserve">Judge import, search, reader, annotation, privacy</w:t>
            </w:r>
          </w:p>
        </w:tc>
        <w:tc>
          <w:tcPr/>
          <w:p>
            <w:pPr>
              <w:pStyle w:val="Compact"/>
            </w:pPr>
            <w:r>
              <w:t xml:space="preserve">Tested screenshots labelled development evidence; requirements links</w:t>
            </w:r>
          </w:p>
        </w:tc>
      </w:tr>
      <w:tr>
        <w:trPr>
          <w:cantSplit/>
        </w:trPr>
        <w:tc>
          <w:tcPr/>
          <w:p>
            <w:pPr>
              <w:pStyle w:val="Compact"/>
            </w:pPr>
            <w:r>
              <w:t xml:space="preserve">Schools</w:t>
            </w:r>
          </w:p>
        </w:tc>
        <w:tc>
          <w:tcPr/>
          <w:p>
            <w:pPr>
              <w:pStyle w:val="Compact"/>
            </w:pPr>
            <w:r>
              <w:t xml:space="preserve">Evaluate LAN/classroom fit</w:t>
            </w:r>
          </w:p>
        </w:tc>
        <w:tc>
          <w:tcPr/>
          <w:p>
            <w:pPr>
              <w:pStyle w:val="Compact"/>
            </w:pPr>
            <w:r>
              <w:t xml:space="preserve">Controller/minors obligations, deployment prerequisites, pilot CTA; no “compliant” badge</w:t>
            </w:r>
          </w:p>
        </w:tc>
      </w:tr>
      <w:tr>
        <w:trPr>
          <w:cantSplit/>
        </w:trPr>
        <w:tc>
          <w:tcPr/>
          <w:p>
            <w:pPr>
              <w:pStyle w:val="Compact"/>
            </w:pPr>
            <w:r>
              <w:t xml:space="preserve">Privacy and AI</w:t>
            </w:r>
          </w:p>
        </w:tc>
        <w:tc>
          <w:tcPr/>
          <w:p>
            <w:pPr>
              <w:pStyle w:val="Compact"/>
            </w:pPr>
            <w:r>
              <w:t xml:space="preserve">See exactly what can leave the device</w:t>
            </w:r>
          </w:p>
        </w:tc>
        <w:tc>
          <w:tcPr/>
          <w:p>
            <w:pPr>
              <w:pStyle w:val="Compact"/>
            </w:pPr>
            <w:r>
              <w:t xml:space="preserve">Tier model, payload-preview example, provider/retention caveats</w:t>
            </w:r>
          </w:p>
        </w:tc>
      </w:tr>
      <w:tr>
        <w:trPr>
          <w:cantSplit/>
        </w:trPr>
        <w:tc>
          <w:tcPr/>
          <w:p>
            <w:pPr>
              <w:pStyle w:val="Compact"/>
            </w:pPr>
            <w:r>
              <w:t xml:space="preserve">Pricing</w:t>
            </w:r>
          </w:p>
        </w:tc>
        <w:tc>
          <w:tcPr/>
          <w:p>
            <w:pPr>
              <w:pStyle w:val="Compact"/>
            </w:pPr>
            <w:r>
              <w:t xml:space="preserve">Compare approved offers</w:t>
            </w:r>
          </w:p>
        </w:tc>
        <w:tc>
          <w:tcPr/>
          <w:p>
            <w:pPr>
              <w:pStyle w:val="Compact"/>
            </w:pPr>
            <w:r>
              <w:t xml:space="preserve">Hidden until commercial gate; hypotheses never published as final</w:t>
            </w:r>
          </w:p>
        </w:tc>
      </w:tr>
      <w:tr>
        <w:trPr>
          <w:cantSplit/>
        </w:trPr>
        <w:tc>
          <w:tcPr/>
          <w:p>
            <w:pPr>
              <w:pStyle w:val="Compact"/>
            </w:pPr>
            <w:r>
              <w:t xml:space="preserve">Evidence</w:t>
            </w:r>
          </w:p>
        </w:tc>
        <w:tc>
          <w:tcPr/>
          <w:p>
            <w:pPr>
              <w:pStyle w:val="Compact"/>
            </w:pPr>
            <w:r>
              <w:t xml:space="preserve">Inspect test, accessibility, security, release, and known-limitations status</w:t>
            </w:r>
          </w:p>
        </w:tc>
        <w:tc>
          <w:tcPr/>
          <w:p>
            <w:pPr>
              <w:pStyle w:val="Compact"/>
            </w:pPr>
            <w:r>
              <w:t xml:space="preserve">Dated evidence matrix and refresh dates</w:t>
            </w:r>
          </w:p>
        </w:tc>
      </w:tr>
      <w:tr>
        <w:trPr>
          <w:cantSplit/>
        </w:trPr>
        <w:tc>
          <w:tcPr/>
          <w:p>
            <w:pPr>
              <w:pStyle w:val="Compact"/>
            </w:pPr>
            <w:r>
              <w:t xml:space="preserve">Support / legal</w:t>
            </w:r>
          </w:p>
        </w:tc>
        <w:tc>
          <w:tcPr/>
          <w:p>
            <w:pPr>
              <w:pStyle w:val="Compact"/>
            </w:pPr>
            <w:r>
              <w:t xml:space="preserve">Know support scope, terms, privacy, refunds, updates</w:t>
            </w:r>
          </w:p>
        </w:tc>
        <w:tc>
          <w:tcPr/>
          <w:p>
            <w:pPr>
              <w:pStyle w:val="Compact"/>
            </w:pPr>
            <w:r>
              <w:t xml:space="preserve">Approved policy documents and contact route</w:t>
            </w:r>
          </w:p>
        </w:tc>
      </w:tr>
    </w:tbl>
    <w:p>
      <w:pPr>
        <w:pStyle w:val="BodyText"/>
      </w:pPr>
      <w:r>
        <w:t xml:space="preserve">Navigation remains keyboard operable, descriptive, and no deeper than two levels for the core buyer journeys.</w:t>
      </w:r>
    </w:p>
    <w:bookmarkEnd w:id="10"/>
    <w:bookmarkStart w:id="11" w:name="claims-proof-and-content-controls"/>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Claims, Proof, and Content Controls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Proposed claim</w:t>
            </w:r>
          </w:p>
        </w:tc>
        <w:tc>
          <w:tcPr>
            <w:shd w:fill="132338"/>
          </w:tcPr>
          <w:p>
            <w:pPr>
              <w:pStyle w:val="Compact"/>
            </w:pPr>
            <w:r>
              <w:rPr>
                <w:rFonts w:ascii="Public Sans" w:hAnsi="Public Sans" w:eastAsia="Public Sans"/>
                <w:b/>
                <w:color w:val="FFFFFF"/>
                <w:sz w:val="17"/>
              </w:rPr>
              <w:t xml:space="preserve">Permitted wording now</w:t>
            </w:r>
          </w:p>
        </w:tc>
        <w:tc>
          <w:tcPr>
            <w:shd w:fill="132338"/>
          </w:tcPr>
          <w:p>
            <w:pPr>
              <w:pStyle w:val="Compact"/>
            </w:pPr>
            <w:r>
              <w:rPr>
                <w:rFonts w:ascii="Public Sans" w:hAnsi="Public Sans" w:eastAsia="Public Sans"/>
                <w:b/>
                <w:color w:val="FFFFFF"/>
                <w:sz w:val="17"/>
              </w:rPr>
              <w:t xml:space="preserve">Proof needed for stronger wording</w:t>
            </w:r>
          </w:p>
        </w:tc>
      </w:tr>
      <w:tr>
        <w:trPr>
          <w:cantSplit/>
        </w:trPr>
        <w:tc>
          <w:tcPr/>
          <w:p>
            <w:pPr>
              <w:pStyle w:val="Compact"/>
            </w:pPr>
            <w:r>
              <w:t xml:space="preserve">“Local-first”</w:t>
            </w:r>
          </w:p>
        </w:tc>
        <w:tc>
          <w:tcPr/>
          <w:p>
            <w:pPr>
              <w:pStyle w:val="Compact"/>
            </w:pPr>
            <w:r>
              <w:t xml:space="preserve">Core catalogue/reader behavior is designed for local operation; optional provider calls are user-controlled</w:t>
            </w:r>
          </w:p>
        </w:tc>
        <w:tc>
          <w:tcPr/>
          <w:p>
            <w:pPr>
              <w:pStyle w:val="Compact"/>
            </w:pPr>
            <w:r>
              <w:t xml:space="preserve">Network-blocked release-candidate journey and privacy review</w:t>
            </w:r>
          </w:p>
        </w:tc>
      </w:tr>
      <w:tr>
        <w:trPr>
          <w:cantSplit/>
        </w:trPr>
        <w:tc>
          <w:tcPr/>
          <w:p>
            <w:pPr>
              <w:pStyle w:val="Compact"/>
            </w:pPr>
            <w:r>
              <w:t xml:space="preserve">“800 tests pass”</w:t>
            </w:r>
          </w:p>
        </w:tc>
        <w:tc>
          <w:tcPr/>
          <w:p>
            <w:pPr>
              <w:pStyle w:val="Compact"/>
            </w:pPr>
            <w:r>
              <w:t xml:space="preserve">800 automated cases passed at named commit/date</w:t>
            </w:r>
          </w:p>
        </w:tc>
        <w:tc>
          <w:tcPr/>
          <w:p>
            <w:pPr>
              <w:pStyle w:val="Compact"/>
            </w:pPr>
            <w:r>
              <w:t xml:space="preserve">Public build must use the same commit/artifact chain</w:t>
            </w:r>
          </w:p>
        </w:tc>
      </w:tr>
      <w:tr>
        <w:trPr>
          <w:cantSplit/>
        </w:trPr>
        <w:tc>
          <w:tcPr/>
          <w:p>
            <w:pPr>
              <w:pStyle w:val="Compact"/>
            </w:pPr>
            <w:r>
              <w:t xml:space="preserve">“Private”</w:t>
            </w:r>
          </w:p>
        </w:tc>
        <w:tc>
          <w:tcPr/>
          <w:p>
            <w:pPr>
              <w:pStyle w:val="Compact"/>
            </w:pPr>
            <w:r>
              <w:t xml:space="preserve">Payload preview and privacy tiers have code/test evidence</w:t>
            </w:r>
          </w:p>
        </w:tc>
        <w:tc>
          <w:tcPr/>
          <w:p>
            <w:pPr>
              <w:pStyle w:val="Compact"/>
            </w:pPr>
            <w:r>
              <w:t xml:space="preserve">Threat model, SAST, penetration review, provider/legal review</w:t>
            </w:r>
          </w:p>
        </w:tc>
      </w:tr>
      <w:tr>
        <w:trPr>
          <w:cantSplit/>
        </w:trPr>
        <w:tc>
          <w:tcPr/>
          <w:p>
            <w:pPr>
              <w:pStyle w:val="Compact"/>
            </w:pPr>
            <w:r>
              <w:t xml:space="preserve">“Accessible”</w:t>
            </w:r>
          </w:p>
        </w:tc>
        <w:tc>
          <w:tcPr/>
          <w:p>
            <w:pPr>
              <w:pStyle w:val="Compact"/>
            </w:pPr>
            <w:r>
              <w:t xml:space="preserve">Accessibility is a binding target</w:t>
            </w:r>
          </w:p>
        </w:tc>
        <w:tc>
          <w:tcPr/>
          <w:p>
            <w:pPr>
              <w:pStyle w:val="Compact"/>
            </w:pPr>
            <w:r>
              <w:t xml:space="preserve">Manual WCAG 2.2 AA audit and assistive-technology evidence</w:t>
            </w:r>
          </w:p>
        </w:tc>
      </w:tr>
      <w:tr>
        <w:trPr>
          <w:cantSplit/>
        </w:trPr>
        <w:tc>
          <w:tcPr/>
          <w:p>
            <w:pPr>
              <w:pStyle w:val="Compact"/>
            </w:pPr>
            <w:r>
              <w:t xml:space="preserve">“For schools”</w:t>
            </w:r>
          </w:p>
        </w:tc>
        <w:tc>
          <w:tcPr/>
          <w:p>
            <w:pPr>
              <w:pStyle w:val="Compact"/>
            </w:pPr>
            <w:r>
              <w:t xml:space="preserve">Institutional workflows have partial code/test evidence</w:t>
            </w:r>
          </w:p>
        </w:tc>
        <w:tc>
          <w:tcPr/>
          <w:p>
            <w:pPr>
              <w:pStyle w:val="Compact"/>
            </w:pPr>
            <w:r>
              <w:t xml:space="preserve">Jurisdiction decision, minors DPIA, LAN pilot, support and education terms</w:t>
            </w:r>
          </w:p>
        </w:tc>
      </w:tr>
    </w:tbl>
    <w:p>
      <w:pPr>
        <w:pStyle w:val="BodyText"/>
      </w:pPr>
      <w:r>
        <w:t xml:space="preserve">Screenshots disclose synthetic/headless fixtures. Competitor comparisons use “not observed in the reviewed set as of 2026-08-13,” name sources, and expire before publication. No fabricated testimonial, logo, user count, rating, security badge, compliance seal, performance number, or availability date is allowed.</w:t>
      </w:r>
    </w:p>
    <w:bookmarkEnd w:id="11"/>
    <w:bookmarkStart w:id="12" w:name="X359de8c9cb0814d05844c3e5af325f95a4b4841"/>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Website Quality, Analytics, and Launch Gate</w:t>
      </w:r>
    </w:p>
    <w:p>
      <w:pPr>
        <w:pStyle w:val="Compact"/>
        <w:numPr>
          <w:ilvl w:val="0"/>
          <w:numId w:val="1001"/>
        </w:numPr>
      </w:pPr>
      <w:r>
        <w:t xml:space="preserve">Typography: Spectral for editorial headings, Public Sans for body/interface copy, JetBrains Mono for technical evidence. Palette: ink navy, oxblood, vellum, and muted brass; Inter and other banned generic primaries are prohibited.</w:t>
      </w:r>
    </w:p>
    <w:p>
      <w:pPr>
        <w:pStyle w:val="Compact"/>
        <w:numPr>
          <w:ilvl w:val="0"/>
          <w:numId w:val="1001"/>
        </w:numPr>
      </w:pPr>
      <w:r>
        <w:t xml:space="preserve">Accessibility: WCAG 2.2 AA target; keyboard complete; visible focus; 200% zoom without loss; reduced motion; meaningful alt text; form errors associated with fields.</w:t>
      </w:r>
    </w:p>
    <w:p>
      <w:pPr>
        <w:pStyle w:val="Compact"/>
        <w:numPr>
          <w:ilvl w:val="0"/>
          <w:numId w:val="1001"/>
        </w:numPr>
      </w:pPr>
      <w:r>
        <w:t xml:space="preserve">Performance budgets at P75 mobile: LCP ≤2.5 s, INP ≤200 ms, CLS ≤0.1; JavaScript ≤180 KB compressed on brochure pages and optimized images with explicit dimensions.</w:t>
      </w:r>
    </w:p>
    <w:p>
      <w:pPr>
        <w:pStyle w:val="Compact"/>
        <w:numPr>
          <w:ilvl w:val="0"/>
          <w:numId w:val="1001"/>
        </w:numPr>
      </w:pPr>
      <w:r>
        <w:t xml:space="preserve">SEO: unique title/description, canonical URL, sitemap, robots policy, structured Product/SoftwareApplication data only when the corresponding claims are approved.</w:t>
      </w:r>
    </w:p>
    <w:p>
      <w:pPr>
        <w:pStyle w:val="Compact"/>
        <w:numPr>
          <w:ilvl w:val="0"/>
          <w:numId w:val="1001"/>
        </w:numPr>
      </w:pPr>
      <w:r>
        <w:t xml:space="preserve">Analytics: consent-dependent, content-free events for CTA view/click, form start/submit/error, evidence-page view, and qualified pilot request. Never capture document titles, search terms, or AI payloads.</w:t>
      </w:r>
    </w:p>
    <w:p>
      <w:pPr>
        <w:pStyle w:val="Compact"/>
        <w:numPr>
          <w:ilvl w:val="0"/>
          <w:numId w:val="1001"/>
        </w:numPr>
      </w:pPr>
      <w:r>
        <w:t xml:space="preserve">Download integrity: signed artifacts only, SHA-256 displayed, version/OS/architecture explicit, release notes and rollback/support links adjacent.</w:t>
      </w:r>
    </w:p>
    <w:p>
      <w:pPr>
        <w:pStyle w:val="FirstParagraph"/>
      </w:pPr>
      <w:r>
        <w:t xml:space="preserve">Launch requires automated accessibility/performance checks, manual keyboard/screen-reader sampling, broken-link scan, privacy/legal/content approval, analytics validation, and a rollbackable deployment. A website build or hosted deployment is NOT ASSESSED in this workspace.</w:t>
      </w:r>
    </w:p>
    <w:bookmarkEnd w:id="12"/>
    <w:p>
      <w:r>
        <w:br w:type="page"/>
      </w:r>
    </w:p>
    <w:p>
      <w:pPr>
        <w:pStyle w:val="Heading1"/>
      </w:pPr>
      <w:r>
        <w:t>Kaizen refresh - 2026-09-10</w:t>
      </w:r>
    </w:p>
    <w:p>
      <w:r>
        <w:rPr>
          <w:b/>
        </w:rPr>
        <w:t xml:space="preserve">Refresh status: </w:t>
      </w:r>
      <w:r>
        <w:t>Applied local remediation and current-source updates. Visual/render/browser inspection was skipped at the requester's direction and is NOT ASSESSED.</w:t>
      </w:r>
    </w:p>
    <w:p>
      <w:r>
        <w:rPr>
          <w:b/>
        </w:rPr>
        <w:t xml:space="preserve">Source: </w:t>
      </w:r>
      <w:r>
        <w:t>docs/references/Ogma-Library_PublicWebsiteSpec_v2.1_2026-08-13.docx; repository head at evidence capture: e2be72fb332e</w:t>
      </w:r>
    </w:p>
    <w:p>
      <w:pPr>
        <w:pStyle w:val="Heading2"/>
      </w:pPr>
      <w:r>
        <w:t>Current-source requirements, design, and test update</w:t>
      </w:r>
    </w:p>
    <w:p>
      <w:r>
        <w:t>Specify PDF containment, page-count/navigation behaviour, malformed-document handling, interrupted-load recovery, search failure, identity, and metadata boundaries.</w:t>
      </w:r>
    </w:p>
    <w:p>
      <w:r>
        <w:t>Specify reproducible build inputs, signing/notarisation, update/rollback, supported OS/runtime matrix, hashes, and release ownership.</w:t>
      </w:r>
    </w:p>
    <w:p>
      <w:r>
        <w:t>Use WCAG 2.2 test oracles for reader keyboard/focus/status/reflow/error-recovery requirements; automated tests do not close physical/platform gates.</w:t>
      </w:r>
    </w:p>
    <w:p>
      <w:pPr>
        <w:pStyle w:val="Heading2"/>
      </w:pPr>
      <w:r>
        <w:t>Design-system decision</w:t>
      </w:r>
    </w:p>
    <w:p>
      <w:r>
        <w:t>Preserve the source document's existing typography, spacing, colour, and table styles. No new primary typeface is introduced in this no-visual-QA cycle; no visual quality claim is made.</w:t>
      </w:r>
    </w:p>
    <w:p>
      <w:pPr>
        <w:pStyle w:val="Heading2"/>
      </w:pPr>
      <w:r>
        <w:t>Verification and release posture</w:t>
      </w:r>
    </w:p>
    <w:p>
      <w:r>
        <w:t>Current automated baseline: 42 architecture, 955 core, and 163 UI tests (1,160 total); shelf3d typecheck/build/performance baseline was green.</w:t>
      </w:r>
    </w:p>
    <w:p>
      <w:r>
        <w:t>Keep release, PDF containment, signing, platform/accessibility, and reviewer evidence open until directly observed.</w:t>
      </w:r>
    </w:p>
    <w:p>
      <w:pPr>
        <w:pStyle w:val="Heading2"/>
      </w:pPr>
      <w:r>
        <w:t>Operational control</w:t>
      </w:r>
    </w:p>
    <w:p>
      <w:r>
        <w:t>Do not promote on automated green tests alone; require artifact hashes, signing evidence, rollback evidence, and supported-runtime proof.</w:t>
      </w:r>
    </w:p>
    <w:p>
      <w:pPr>
        <w:pStyle w:val="Heading2"/>
      </w:pPr>
      <w:r>
        <w:t>Authoritative currentness register</w:t>
      </w:r>
    </w:p>
    <w:tbl>
      <w:tblPr>
        <w:tblW w:type="auto" w:w="0"/>
        <w:tblLook w:firstColumn="1" w:firstRow="1" w:lastColumn="0" w:lastRow="0" w:noHBand="0" w:noVBand="1" w:val="04A0"/>
      </w:tblPr>
      <w:tblGrid>
        <w:gridCol w:w="1950"/>
        <w:gridCol w:w="1950"/>
        <w:gridCol w:w="1950"/>
        <w:gridCol w:w="1950"/>
        <w:gridCol w:w="1950"/>
      </w:tblGrid>
      <w:tr>
        <w:tc>
          <w:tcPr>
            <w:tcW w:type="dxa" w:w="1950"/>
          </w:tcPr>
          <w:p>
            <w:r>
              <w:t>ID</w:t>
            </w:r>
          </w:p>
        </w:tc>
        <w:tc>
          <w:tcPr>
            <w:tcW w:type="dxa" w:w="1950"/>
          </w:tcPr>
          <w:p>
            <w:r>
              <w:t>Source</w:t>
            </w:r>
          </w:p>
        </w:tc>
        <w:tc>
          <w:tcPr>
            <w:tcW w:type="dxa" w:w="1950"/>
          </w:tcPr>
          <w:p>
            <w:r>
              <w:t>Version/date</w:t>
            </w:r>
          </w:p>
        </w:tc>
        <w:tc>
          <w:tcPr>
            <w:tcW w:type="dxa" w:w="1950"/>
          </w:tcPr>
          <w:p>
            <w:r>
              <w:t>Primary URL</w:t>
            </w:r>
          </w:p>
        </w:tc>
        <w:tc>
          <w:tcPr>
            <w:tcW w:type="dxa" w:w="1950"/>
          </w:tcPr>
          <w:p>
            <w:r>
              <w:t>Adoption decision</w:t>
            </w:r>
          </w:p>
        </w:tc>
      </w:tr>
      <w:tr>
        <w:tc>
          <w:tcPr>
            <w:tcW w:type="dxa" w:w="1950"/>
          </w:tcPr>
          <w:p>
            <w:r>
              <w:t>DR-WCAG-22</w:t>
            </w:r>
          </w:p>
        </w:tc>
        <w:tc>
          <w:tcPr>
            <w:tcW w:type="dxa" w:w="1950"/>
          </w:tcPr>
          <w:p>
            <w:r>
              <w:t>WCAG 2.2</w:t>
            </w:r>
          </w:p>
        </w:tc>
        <w:tc>
          <w:tcPr>
            <w:tcW w:type="dxa" w:w="1950"/>
          </w:tcPr>
          <w:p>
            <w:r>
              <w:t>W3C Recommendation, 2024-12-12</w:t>
            </w:r>
          </w:p>
        </w:tc>
        <w:tc>
          <w:tcPr>
            <w:tcW w:type="dxa" w:w="1950"/>
          </w:tcPr>
          <w:p>
            <w:r>
              <w:t>https://www.w3.org/TR/WCAG22/</w:t>
            </w:r>
          </w:p>
        </w:tc>
        <w:tc>
          <w:tcPr>
            <w:tcW w:type="dxa" w:w="1950"/>
          </w:tcPr>
          <w:p>
            <w:r>
              <w:t>Retain; review 2026-10-10</w:t>
            </w:r>
          </w:p>
        </w:tc>
      </w:tr>
      <w:tr>
        <w:tc>
          <w:tcPr>
            <w:tcW w:type="dxa" w:w="1950"/>
          </w:tcPr>
          <w:p>
            <w:r>
              <w:t>DR-ASVS-5</w:t>
            </w:r>
          </w:p>
        </w:tc>
        <w:tc>
          <w:tcPr>
            <w:tcW w:type="dxa" w:w="1950"/>
          </w:tcPr>
          <w:p>
            <w:r>
              <w:t>OWASP ASVS</w:t>
            </w:r>
          </w:p>
        </w:tc>
        <w:tc>
          <w:tcPr>
            <w:tcW w:type="dxa" w:w="1950"/>
          </w:tcPr>
          <w:p>
            <w:r>
              <w:t>stable v5.0.0, 2025-05</w:t>
            </w:r>
          </w:p>
        </w:tc>
        <w:tc>
          <w:tcPr>
            <w:tcW w:type="dxa" w:w="1950"/>
          </w:tcPr>
          <w:p>
            <w:r>
              <w:t>https://github.com/OWASP/ASVS/releases</w:t>
            </w:r>
          </w:p>
        </w:tc>
        <w:tc>
          <w:tcPr>
            <w:tcW w:type="dxa" w:w="1950"/>
          </w:tcPr>
          <w:p>
            <w:r>
              <w:t>Retain stable release; review 2026-10-10</w:t>
            </w:r>
          </w:p>
        </w:tc>
      </w:tr>
      <w:tr>
        <w:tc>
          <w:tcPr>
            <w:tcW w:type="dxa" w:w="1950"/>
          </w:tcPr>
          <w:p>
            <w:r>
              <w:t>DR-SSDF-11</w:t>
            </w:r>
          </w:p>
        </w:tc>
        <w:tc>
          <w:tcPr>
            <w:tcW w:type="dxa" w:w="1950"/>
          </w:tcPr>
          <w:p>
            <w:r>
              <w:t>NIST SSDF</w:t>
            </w:r>
          </w:p>
        </w:tc>
        <w:tc>
          <w:tcPr>
            <w:tcW w:type="dxa" w:w="1950"/>
          </w:tcPr>
          <w:p>
            <w:r>
              <w:t>v1.1, 2022-02-03; updated 2022-11-29</w:t>
            </w:r>
          </w:p>
        </w:tc>
        <w:tc>
          <w:tcPr>
            <w:tcW w:type="dxa" w:w="1950"/>
          </w:tcPr>
          <w:p>
            <w:r>
              <w:t>https://www.nist.gov/publications/secure-software-development-framework-ssdf-version-11-recommendations-mitigating-risk</w:t>
            </w:r>
          </w:p>
        </w:tc>
        <w:tc>
          <w:tcPr>
            <w:tcW w:type="dxa" w:w="1950"/>
          </w:tcPr>
          <w:p>
            <w:r>
              <w:t>Retain; review 2027-09-10</w:t>
            </w:r>
          </w:p>
        </w:tc>
      </w:tr>
      <w:tr>
        <w:tc>
          <w:tcPr>
            <w:tcW w:type="dxa" w:w="1950"/>
          </w:tcPr>
          <w:p>
            <w:r>
              <w:t>DR-OPENAPI-311</w:t>
            </w:r>
          </w:p>
        </w:tc>
        <w:tc>
          <w:tcPr>
            <w:tcW w:type="dxa" w:w="1950"/>
          </w:tcPr>
          <w:p>
            <w:r>
              <w:t>OpenAPI</w:t>
            </w:r>
          </w:p>
        </w:tc>
        <w:tc>
          <w:tcPr>
            <w:tcW w:type="dxa" w:w="1950"/>
          </w:tcPr>
          <w:p>
            <w:r>
              <w:t>3.1.1, 2024-10-24; newer official entries exist</w:t>
            </w:r>
          </w:p>
        </w:tc>
        <w:tc>
          <w:tcPr>
            <w:tcW w:type="dxa" w:w="1950"/>
          </w:tcPr>
          <w:p>
            <w:r>
              <w:t>https://spec.openapis.org/oas/v3.1.1.html</w:t>
            </w:r>
          </w:p>
        </w:tc>
        <w:tc>
          <w:tcPr>
            <w:tcW w:type="dxa" w:w="1950"/>
          </w:tcPr>
          <w:p>
            <w:r>
              <w:t>Pin per project compatibility; review 2026-10-10</w:t>
            </w:r>
          </w:p>
        </w:tc>
      </w:tr>
      <w:tr>
        <w:tc>
          <w:tcPr>
            <w:tcW w:type="dxa" w:w="1950"/>
          </w:tcPr>
          <w:p>
            <w:r>
              <w:t>DR-PHP-SUPPORT</w:t>
            </w:r>
          </w:p>
        </w:tc>
        <w:tc>
          <w:tcPr>
            <w:tcW w:type="dxa" w:w="1950"/>
          </w:tcPr>
          <w:p>
            <w:r>
              <w:t>PHP supported versions</w:t>
            </w:r>
          </w:p>
        </w:tc>
        <w:tc>
          <w:tcPr>
            <w:tcW w:type="dxa" w:w="1950"/>
          </w:tcPr>
          <w:p>
            <w:r>
              <w:t>official support table accessed current page</w:t>
            </w:r>
          </w:p>
        </w:tc>
        <w:tc>
          <w:tcPr>
            <w:tcW w:type="dxa" w:w="1950"/>
          </w:tcPr>
          <w:p>
            <w:r>
              <w:t>https://www.php.net/supported-versions.php</w:t>
            </w:r>
          </w:p>
        </w:tc>
        <w:tc>
          <w:tcPr>
            <w:tcW w:type="dxa" w:w="1950"/>
          </w:tcPr>
          <w:p>
            <w:r>
              <w:t>Require supported branch; review 2026-10-10</w:t>
            </w:r>
          </w:p>
        </w:tc>
      </w:tr>
      <w:tr>
        <w:tc>
          <w:tcPr>
            <w:tcW w:type="dxa" w:w="1950"/>
          </w:tcPr>
          <w:p>
            <w:r>
              <w:t>DR-MYSQL-LTS</w:t>
            </w:r>
          </w:p>
        </w:tc>
        <w:tc>
          <w:tcPr>
            <w:tcW w:type="dxa" w:w="1950"/>
          </w:tcPr>
          <w:p>
            <w:r>
              <w:t>MySQL releases</w:t>
            </w:r>
          </w:p>
        </w:tc>
        <w:tc>
          <w:tcPr>
            <w:tcW w:type="dxa" w:w="1950"/>
          </w:tcPr>
          <w:p>
            <w:r>
              <w:t>8.4 LTS line</w:t>
            </w:r>
          </w:p>
        </w:tc>
        <w:tc>
          <w:tcPr>
            <w:tcW w:type="dxa" w:w="1950"/>
          </w:tcPr>
          <w:p>
            <w:r>
              <w:t>https://dev.mysql.com/doc/refman/8.4/en/mysql-releases.html</w:t>
            </w:r>
          </w:p>
        </w:tc>
        <w:tc>
          <w:tcPr>
            <w:tcW w:type="dxa" w:w="1950"/>
          </w:tcPr>
          <w:p>
            <w:r>
              <w:t>Candidate target only after rehearsal; review 2026-10-10</w:t>
            </w:r>
          </w:p>
        </w:tc>
      </w:tr>
      <w:tr>
        <w:tc>
          <w:tcPr>
            <w:tcW w:type="dxa" w:w="1950"/>
          </w:tcPr>
          <w:p>
            <w:r>
              <w:t>DR-MODEL</w:t>
            </w:r>
          </w:p>
        </w:tc>
        <w:tc>
          <w:tcPr>
            <w:tcW w:type="dxa" w:w="1950"/>
          </w:tcPr>
          <w:p>
            <w:r>
              <w:t>Official model releases</w:t>
            </w:r>
          </w:p>
        </w:tc>
        <w:tc>
          <w:tcPr>
            <w:tcW w:type="dxa" w:w="1950"/>
          </w:tcPr>
          <w:p>
            <w:r>
              <w:t>GPT-6 Astra and GPT-5.6 pages accessed 2026-09-10</w:t>
            </w:r>
          </w:p>
        </w:tc>
        <w:tc>
          <w:tcPr>
            <w:tcW w:type="dxa" w:w="1950"/>
          </w:tcPr>
          <w:p>
            <w:r>
              <w:t>https://openai.com/index/gpt-6-astra/</w:t>
            </w:r>
          </w:p>
        </w:tc>
        <w:tc>
          <w:tcPr>
            <w:tcW w:type="dxa" w:w="1950"/>
          </w:tcPr>
          <w:p>
            <w:r>
              <w:t>Retain pins; runtime/account catalogue NOT ASSESSED</w:t>
            </w:r>
          </w:p>
        </w:tc>
      </w:tr>
    </w:tbl>
    <w:p>
      <w:pPr>
        <w:pStyle w:val="Heading2"/>
      </w:pPr>
      <w:r>
        <w:t>Integrity limits</w:t>
      </w:r>
    </w:p>
    <w:p>
      <w:r>
        <w:t>Current official source pages were consulted on 2026-09-10; stale or ambiguous claims are not admitted as release proof.</w:t>
      </w:r>
    </w:p>
    <w:p>
      <w:r>
        <w:t>The local Codex model-policy check reports root-policy drift. No repair was applied; actual runtime/account model availability is NOT ASSESSED.</w:t>
      </w:r>
    </w:p>
    <w:p>
      <w:r>
        <w:t>Finance controls, live database evidence, legal/privacy approval, production artifact scans, reviewer sign-off, and other product-specific open gates remain open unless the evidence above explicitly closes them.</w:t>
      </w:r>
    </w:p>
    <w:p>
      <w:r>
        <w:t>This appendix updates requirements and design/test intent; it does not certify production readiness.</w:t>
      </w:r>
    </w:p>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PUBLIC WEBSITE SPECIFICATION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Website Specification</dc:title>
  <dc:creator>Chwezi Core Systems</dc:creator>
  <cp:keywords>Ogma Library; local-first; requirements; desktop; controlled baseline</cp:keywords>
  <dcterms:created xsi:type="dcterms:W3CDTF">2026-08-13T13:27:18Z</dcterms:created>
  <dcterms:modified xsi:type="dcterms:W3CDTF">2026-08-13T13:27:18Z</dcterms:modified>
  <dc:subject>Kaizen refresh 2026-09-10; visual checks skipped</dc:subject>
  <dc:description>Version 2.1; Review baseline — not approved for production; regenerated 2026-08-13</dc:description>
  <cp:lastModifiedBy>Codex Kaizen</cp:lastModifiedBy>
</cp:coreProperties>
</file>

<file path=docProps/custom.xml><?xml version="1.0" encoding="utf-8"?>
<Properties xmlns="http://schemas.openxmlformats.org/officeDocument/2006/custom-properties" xmlns:vt="http://schemas.openxmlformats.org/officeDocument/2006/docPropsVTypes"/>
</file>