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Test Completion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test-completion-report--ogma-library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Test Completion Report — Ogma Library</w:t>
      </w:r>
    </w:p>
    <w:p>
      <w:pPr>
        <w:pStyle w:val="FirstParagraph"/>
      </w:pPr>
      <w:r>
        <w:rPr>
          <w:b/>
          <w:bCs/>
        </w:rPr>
        <w:t xml:space="preserve">Tested scope:</w:t>
      </w:r>
      <w:r>
        <w:t xml:space="preserve"> </w:t>
      </w:r>
      <w:r>
        <w:t xml:space="preserve">automated code-level behavior at commit</w:t>
      </w:r>
      <w:r>
        <w:t xml:space="preserve"> </w:t>
      </w:r>
      <w:r>
        <w:rPr>
          <w:rStyle w:val="VerbatimChar"/>
        </w:rPr>
        <w:t xml:space="preserve">26df98322b7934919ddaba513ac02d9aaa44edbb</w:t>
      </w:r>
      <w:r>
        <w:t xml:space="preserve">, including representative requirement FR-LIB-001 and the complete trace set maintained in SRS Section 8.</w:t>
      </w:r>
      <w:r>
        <w:t xml:space="preserve"> </w:t>
      </w:r>
      <w:r>
        <w:rPr>
          <w:b/>
          <w:bCs/>
        </w:rPr>
        <w:t xml:space="preserve">Disposition:</w:t>
      </w:r>
      <w:r>
        <w:t xml:space="preserve"> </w:t>
      </w:r>
      <w:r>
        <w:t xml:space="preserve">automated gate PASS; public beta and production release NO-GO because platform, security, accessibility, performance, packaging, legal, and commercial acceptance remain open.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v2.1 review baseline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Run date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Implementation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26df98322b7934919ddaba513ac02d9aaa44edbb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test OgmaLibrary.sln -c Release --nologo -v minimal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Windows developer workstation; .NET 10; not W-REF-01 or M-REF-01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Canonical Release suite PASS at code-test scope</w:t>
            </w:r>
          </w:p>
        </w:tc>
      </w:tr>
    </w:tbl>
    <w:bookmarkStart w:id="9" w:name="execution-result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Execution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Test project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Passed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Failed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Skipped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Runner duration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OgmaLibrary.Tests.Architecture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min 17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OgmaLibrary.Tests.Ui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 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Canonical command completed successfully</w:t>
            </w:r>
          </w:p>
        </w:tc>
      </w:tr>
    </w:tbl>
    <w:p>
      <w:pPr>
        <w:pStyle w:val="BodyText"/>
      </w:pPr>
      <w:r>
        <w:t xml:space="preserve">The source tree contains 626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declarations across 120 declaring files; data-driven theories expand the executed count. This run supersedes the 2026-07-06 report in which NuGet audit blocked the canonical command and a diagnostic run had one failure.</w:t>
      </w:r>
    </w:p>
    <w:bookmarkEnd w:id="9"/>
    <w:bookmarkStart w:id="10" w:name="dependency-audit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Dependency Audit</w:t>
      </w:r>
    </w:p>
    <w:p>
      <w:pPr>
        <w:pStyle w:val="FirstParagraph"/>
      </w:pPr>
      <w:r>
        <w:rPr>
          <w:rStyle w:val="VerbatimChar"/>
        </w:rPr>
        <w:t xml:space="preserve">dotnet list OgmaLibrary.sln package --vulnerable --include-transitive</w:t>
      </w:r>
      <w:r>
        <w:t xml:space="preserve"> </w:t>
      </w:r>
      <w:r>
        <w:t xml:space="preserve">completed on 2026-08-13 and reported no vulnerable packages for all 10 projects. The earlier</w:t>
      </w:r>
      <w:r>
        <w:t xml:space="preserve"> </w:t>
      </w:r>
      <w:r>
        <w:rPr>
          <w:rStyle w:val="VerbatimChar"/>
        </w:rPr>
        <w:t xml:space="preserve">SQLitePCLRaw.lib.e_sqlite3</w:t>
      </w:r>
      <w:r>
        <w:t xml:space="preserve"> </w:t>
      </w:r>
      <w:r>
        <w:t xml:space="preserve">2.1.10/NU1903 blocker is closed in the inspected repository, which now references</w:t>
      </w:r>
      <w:r>
        <w:t xml:space="preserve"> </w:t>
      </w:r>
      <w:r>
        <w:rPr>
          <w:rStyle w:val="VerbatimChar"/>
        </w:rPr>
        <w:t xml:space="preserve">SQLitePCLRaw.bundle_e_sqlite3</w:t>
      </w:r>
      <w:r>
        <w:t xml:space="preserve"> </w:t>
      </w:r>
      <w:r>
        <w:t xml:space="preserve">3.0.3 and EF Core SQLite 10.0.9.</w:t>
      </w:r>
    </w:p>
    <w:bookmarkEnd w:id="10"/>
    <w:bookmarkStart w:id="11" w:name="evidence-classification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Evidence Classification</w:t>
      </w:r>
    </w:p>
    <w:p>
      <w:pPr>
        <w:pStyle w:val="FirstParagraph"/>
      </w:pPr>
      <w:r>
        <w:t xml:space="preserve">PASS means the canonical Release command completed and the 800 executed automated cases passed on the stated workstation and commit. It does not establish:</w:t>
      </w:r>
    </w:p>
    <w:p>
      <w:pPr>
        <w:pStyle w:val="Compact"/>
        <w:numPr>
          <w:ilvl w:val="0"/>
          <w:numId w:val="1001"/>
        </w:numPr>
      </w:pPr>
      <w:r>
        <w:t xml:space="preserve">Windows/macOS parity from a current CI run or a physical Mac;</w:t>
      </w:r>
    </w:p>
    <w:p>
      <w:pPr>
        <w:pStyle w:val="Compact"/>
        <w:numPr>
          <w:ilvl w:val="0"/>
          <w:numId w:val="1001"/>
        </w:numPr>
      </w:pPr>
      <w:r>
        <w:t xml:space="preserve">W-REF-01/M-REF-01 performance acceptance;</w:t>
      </w:r>
    </w:p>
    <w:p>
      <w:pPr>
        <w:pStyle w:val="Compact"/>
        <w:numPr>
          <w:ilvl w:val="0"/>
          <w:numId w:val="1001"/>
        </w:numPr>
      </w:pPr>
      <w:r>
        <w:t xml:space="preserve">live WebView2/WKWebView, multi-machine LAN, hostile-network, packaging, signing, notarisation, update, or rollback behavior;</w:t>
      </w:r>
    </w:p>
    <w:p>
      <w:pPr>
        <w:pStyle w:val="Compact"/>
        <w:numPr>
          <w:ilvl w:val="0"/>
          <w:numId w:val="1001"/>
        </w:numPr>
      </w:pPr>
      <w:r>
        <w:t xml:space="preserve">WCAG 2.2 AA conformance or representative-user usability;</w:t>
      </w:r>
    </w:p>
    <w:p>
      <w:pPr>
        <w:pStyle w:val="Compact"/>
        <w:numPr>
          <w:ilvl w:val="0"/>
          <w:numId w:val="1001"/>
        </w:numPr>
      </w:pPr>
      <w:r>
        <w:t xml:space="preserve">security assessment, SAST/DAST, penetration testing, malicious-PDF isolation, or supply-chain release approval;</w:t>
      </w:r>
    </w:p>
    <w:p>
      <w:pPr>
        <w:pStyle w:val="Compact"/>
        <w:numPr>
          <w:ilvl w:val="0"/>
          <w:numId w:val="1001"/>
        </w:numPr>
      </w:pPr>
      <w:r>
        <w:t xml:space="preserve">legal/privacy approval for off-device AI or schools/minors; or</w:t>
      </w:r>
    </w:p>
    <w:p>
      <w:pPr>
        <w:pStyle w:val="Compact"/>
        <w:numPr>
          <w:ilvl w:val="0"/>
          <w:numId w:val="1001"/>
        </w:numPr>
      </w:pPr>
      <w:r>
        <w:t xml:space="preserve">product/customer acceptance, pricing, licensing, support, or production readiness.</w:t>
      </w:r>
    </w:p>
    <w:bookmarkEnd w:id="11"/>
    <w:bookmarkStart w:id="12" w:name="release-verdict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Release Verdict</w:t>
      </w:r>
    </w:p>
    <w:p>
      <w:pPr>
        <w:pStyle w:val="FirstParagraph"/>
      </w:pPr>
      <w:r>
        <w:t xml:space="preserve">Automated code gate: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  <w:r>
        <w:br/>
      </w:r>
      <w:r>
        <w:t xml:space="preserve">Public Beta / production gate:</w:t>
      </w:r>
      <w:r>
        <w:t xml:space="preserve"> </w:t>
      </w:r>
      <w:r>
        <w:rPr>
          <w:b/>
          <w:bCs/>
        </w:rPr>
        <w:t xml:space="preserve">NOT ASSESSED / NO-GO</w:t>
      </w:r>
      <w:r>
        <w:t xml:space="preserve"> </w:t>
      </w:r>
      <w:r>
        <w:t xml:space="preserve">pending the Phase 19–23 evidence and owner approvals listed above.</w:t>
      </w:r>
    </w:p>
    <w:bookmarkEnd w:id="12"/>
    <w:bookmarkEnd w:id="13"/>
    <w:p>
      <w:r>
        <w:br w:type="page"/>
      </w:r>
    </w:p>
    <w:p>
      <w:pPr>
        <w:pStyle w:val="Heading1"/>
      </w:pPr>
      <w:r>
        <w:t>Kaizen refresh - 2026-09-10</w:t>
      </w:r>
    </w:p>
    <w:p>
      <w:r>
        <w:rPr>
          <w:b/>
        </w:rPr>
        <w:t xml:space="preserve">Refresh status: </w:t>
      </w:r>
      <w:r>
        <w:t>Applied local remediation and current-source updates. Visual/render/browser inspection was skipped at the requester's direction and is NOT ASSESSED.</w:t>
      </w:r>
    </w:p>
    <w:p>
      <w:r>
        <w:rPr>
          <w:b/>
        </w:rPr>
        <w:t xml:space="preserve">Source: </w:t>
      </w:r>
      <w:r>
        <w:t>docs/references/Ogma-Library_TestCompletionReport_v2.1_2026-08-13.docx; repository head at evidence capture: e2be72fb332e</w:t>
      </w:r>
    </w:p>
    <w:p>
      <w:pPr>
        <w:pStyle w:val="Heading2"/>
      </w:pPr>
      <w:r>
        <w:t>Current-source requirements, design, and test update</w:t>
      </w:r>
    </w:p>
    <w:p>
      <w:r>
        <w:t>Current automated baseline: 42 architecture, 955 core, and 163 UI tests (1,160 total); shelf3d typecheck/build/performance baseline was green.</w:t>
      </w:r>
    </w:p>
    <w:p>
      <w:r>
        <w:t>Keep release, PDF containment, signing, platform/accessibility, and reviewer evidence open until directly observed.</w:t>
      </w:r>
    </w:p>
    <w:p>
      <w:pPr>
        <w:pStyle w:val="Heading2"/>
      </w:pPr>
      <w:r>
        <w:t>Design-system decision</w:t>
      </w:r>
    </w:p>
    <w:p>
      <w:r>
        <w:t>Preserve the source document's existing typography, spacing, colour, and table styles. No new primary typeface is introduced in this no-visual-QA cycle; no visual quality claim is made.</w:t>
      </w:r>
    </w:p>
    <w:p>
      <w:pPr>
        <w:pStyle w:val="Heading2"/>
      </w:pPr>
      <w:r>
        <w:t>Operational control</w:t>
      </w:r>
    </w:p>
    <w:p>
      <w:r>
        <w:t>Do not promote on automated green tests alone; require artifact hashes, signing evidence, rollback evidence, and supported-runtime proof.</w:t>
      </w:r>
    </w:p>
    <w:p>
      <w:pPr>
        <w:pStyle w:val="Heading2"/>
      </w:pPr>
      <w:r>
        <w:t>Authoritative currentness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ID</w:t>
            </w:r>
          </w:p>
        </w:tc>
        <w:tc>
          <w:tcPr>
            <w:tcW w:type="dxa" w:w="1950"/>
          </w:tcPr>
          <w:p>
            <w:r>
              <w:t>Source</w:t>
            </w:r>
          </w:p>
        </w:tc>
        <w:tc>
          <w:tcPr>
            <w:tcW w:type="dxa" w:w="1950"/>
          </w:tcPr>
          <w:p>
            <w:r>
              <w:t>Version/date</w:t>
            </w:r>
          </w:p>
        </w:tc>
        <w:tc>
          <w:tcPr>
            <w:tcW w:type="dxa" w:w="1950"/>
          </w:tcPr>
          <w:p>
            <w:r>
              <w:t>Primary URL</w:t>
            </w:r>
          </w:p>
        </w:tc>
        <w:tc>
          <w:tcPr>
            <w:tcW w:type="dxa" w:w="1950"/>
          </w:tcPr>
          <w:p>
            <w:r>
              <w:t>Adoption decision</w:t>
            </w:r>
          </w:p>
        </w:tc>
      </w:tr>
      <w:tr>
        <w:tc>
          <w:tcPr>
            <w:tcW w:type="dxa" w:w="1950"/>
          </w:tcPr>
          <w:p>
            <w:r>
              <w:t>DR-WCAG-22</w:t>
            </w:r>
          </w:p>
        </w:tc>
        <w:tc>
          <w:tcPr>
            <w:tcW w:type="dxa" w:w="1950"/>
          </w:tcPr>
          <w:p>
            <w:r>
              <w:t>WCAG 2.2</w:t>
            </w:r>
          </w:p>
        </w:tc>
        <w:tc>
          <w:tcPr>
            <w:tcW w:type="dxa" w:w="1950"/>
          </w:tcPr>
          <w:p>
            <w:r>
              <w:t>W3C Recommendation, 2024-12-12</w:t>
            </w:r>
          </w:p>
        </w:tc>
        <w:tc>
          <w:tcPr>
            <w:tcW w:type="dxa" w:w="1950"/>
          </w:tcPr>
          <w:p>
            <w:r>
              <w:t>https://www.w3.org/TR/WCAG22/</w:t>
            </w:r>
          </w:p>
        </w:tc>
        <w:tc>
          <w:tcPr>
            <w:tcW w:type="dxa" w:w="1950"/>
          </w:tcPr>
          <w:p>
            <w:r>
              <w:t>Retain; review 2026-10-10</w:t>
            </w:r>
          </w:p>
        </w:tc>
      </w:tr>
      <w:tr>
        <w:tc>
          <w:tcPr>
            <w:tcW w:type="dxa" w:w="1950"/>
          </w:tcPr>
          <w:p>
            <w:r>
              <w:t>DR-ASVS-5</w:t>
            </w:r>
          </w:p>
        </w:tc>
        <w:tc>
          <w:tcPr>
            <w:tcW w:type="dxa" w:w="1950"/>
          </w:tcPr>
          <w:p>
            <w:r>
              <w:t>OWASP ASVS</w:t>
            </w:r>
          </w:p>
        </w:tc>
        <w:tc>
          <w:tcPr>
            <w:tcW w:type="dxa" w:w="1950"/>
          </w:tcPr>
          <w:p>
            <w:r>
              <w:t>stable v5.0.0, 2025-05</w:t>
            </w:r>
          </w:p>
        </w:tc>
        <w:tc>
          <w:tcPr>
            <w:tcW w:type="dxa" w:w="1950"/>
          </w:tcPr>
          <w:p>
            <w:r>
              <w:t>https://github.com/OWASP/ASVS/releases</w:t>
            </w:r>
          </w:p>
        </w:tc>
        <w:tc>
          <w:tcPr>
            <w:tcW w:type="dxa" w:w="1950"/>
          </w:tcPr>
          <w:p>
            <w:r>
              <w:t>Retain stable release; review 2026-10-10</w:t>
            </w:r>
          </w:p>
        </w:tc>
      </w:tr>
      <w:tr>
        <w:tc>
          <w:tcPr>
            <w:tcW w:type="dxa" w:w="1950"/>
          </w:tcPr>
          <w:p>
            <w:r>
              <w:t>DR-SSDF-11</w:t>
            </w:r>
          </w:p>
        </w:tc>
        <w:tc>
          <w:tcPr>
            <w:tcW w:type="dxa" w:w="1950"/>
          </w:tcPr>
          <w:p>
            <w:r>
              <w:t>NIST SSDF</w:t>
            </w:r>
          </w:p>
        </w:tc>
        <w:tc>
          <w:tcPr>
            <w:tcW w:type="dxa" w:w="1950"/>
          </w:tcPr>
          <w:p>
            <w:r>
              <w:t>v1.1, 2022-02-03; updated 2022-11-29</w:t>
            </w:r>
          </w:p>
        </w:tc>
        <w:tc>
          <w:tcPr>
            <w:tcW w:type="dxa" w:w="1950"/>
          </w:tcPr>
          <w:p>
            <w:r>
              <w:t>https://www.nist.gov/publications/secure-software-development-framework-ssdf-version-11-recommendations-mitigating-risk</w:t>
            </w:r>
          </w:p>
        </w:tc>
        <w:tc>
          <w:tcPr>
            <w:tcW w:type="dxa" w:w="1950"/>
          </w:tcPr>
          <w:p>
            <w:r>
              <w:t>Retain; review 2027-09-10</w:t>
            </w:r>
          </w:p>
        </w:tc>
      </w:tr>
      <w:tr>
        <w:tc>
          <w:tcPr>
            <w:tcW w:type="dxa" w:w="1950"/>
          </w:tcPr>
          <w:p>
            <w:r>
              <w:t>DR-OPENAPI-311</w:t>
            </w:r>
          </w:p>
        </w:tc>
        <w:tc>
          <w:tcPr>
            <w:tcW w:type="dxa" w:w="1950"/>
          </w:tcPr>
          <w:p>
            <w:r>
              <w:t>OpenAPI</w:t>
            </w:r>
          </w:p>
        </w:tc>
        <w:tc>
          <w:tcPr>
            <w:tcW w:type="dxa" w:w="1950"/>
          </w:tcPr>
          <w:p>
            <w:r>
              <w:t>3.1.1, 2024-10-24; newer official entries exist</w:t>
            </w:r>
          </w:p>
        </w:tc>
        <w:tc>
          <w:tcPr>
            <w:tcW w:type="dxa" w:w="1950"/>
          </w:tcPr>
          <w:p>
            <w:r>
              <w:t>https://spec.openapis.org/oas/v3.1.1.html</w:t>
            </w:r>
          </w:p>
        </w:tc>
        <w:tc>
          <w:tcPr>
            <w:tcW w:type="dxa" w:w="1950"/>
          </w:tcPr>
          <w:p>
            <w:r>
              <w:t>Pin per project compatibility; review 2026-10-10</w:t>
            </w:r>
          </w:p>
        </w:tc>
      </w:tr>
      <w:tr>
        <w:tc>
          <w:tcPr>
            <w:tcW w:type="dxa" w:w="1950"/>
          </w:tcPr>
          <w:p>
            <w:r>
              <w:t>DR-PHP-SUPPORT</w:t>
            </w:r>
          </w:p>
        </w:tc>
        <w:tc>
          <w:tcPr>
            <w:tcW w:type="dxa" w:w="1950"/>
          </w:tcPr>
          <w:p>
            <w:r>
              <w:t>PHP supported versions</w:t>
            </w:r>
          </w:p>
        </w:tc>
        <w:tc>
          <w:tcPr>
            <w:tcW w:type="dxa" w:w="1950"/>
          </w:tcPr>
          <w:p>
            <w:r>
              <w:t>official support table accessed current page</w:t>
            </w:r>
          </w:p>
        </w:tc>
        <w:tc>
          <w:tcPr>
            <w:tcW w:type="dxa" w:w="1950"/>
          </w:tcPr>
          <w:p>
            <w:r>
              <w:t>https://www.php.net/supported-versions.php</w:t>
            </w:r>
          </w:p>
        </w:tc>
        <w:tc>
          <w:tcPr>
            <w:tcW w:type="dxa" w:w="1950"/>
          </w:tcPr>
          <w:p>
            <w:r>
              <w:t>Require supported branch; review 2026-10-10</w:t>
            </w:r>
          </w:p>
        </w:tc>
      </w:tr>
      <w:tr>
        <w:tc>
          <w:tcPr>
            <w:tcW w:type="dxa" w:w="1950"/>
          </w:tcPr>
          <w:p>
            <w:r>
              <w:t>DR-MYSQL-LTS</w:t>
            </w:r>
          </w:p>
        </w:tc>
        <w:tc>
          <w:tcPr>
            <w:tcW w:type="dxa" w:w="1950"/>
          </w:tcPr>
          <w:p>
            <w:r>
              <w:t>MySQL releases</w:t>
            </w:r>
          </w:p>
        </w:tc>
        <w:tc>
          <w:tcPr>
            <w:tcW w:type="dxa" w:w="1950"/>
          </w:tcPr>
          <w:p>
            <w:r>
              <w:t>8.4 LTS line</w:t>
            </w:r>
          </w:p>
        </w:tc>
        <w:tc>
          <w:tcPr>
            <w:tcW w:type="dxa" w:w="1950"/>
          </w:tcPr>
          <w:p>
            <w:r>
              <w:t>https://dev.mysql.com/doc/refman/8.4/en/mysql-releases.html</w:t>
            </w:r>
          </w:p>
        </w:tc>
        <w:tc>
          <w:tcPr>
            <w:tcW w:type="dxa" w:w="1950"/>
          </w:tcPr>
          <w:p>
            <w:r>
              <w:t>Candidate target only after rehearsal; review 2026-10-10</w:t>
            </w:r>
          </w:p>
        </w:tc>
      </w:tr>
      <w:tr>
        <w:tc>
          <w:tcPr>
            <w:tcW w:type="dxa" w:w="1950"/>
          </w:tcPr>
          <w:p>
            <w:r>
              <w:t>DR-MODEL</w:t>
            </w:r>
          </w:p>
        </w:tc>
        <w:tc>
          <w:tcPr>
            <w:tcW w:type="dxa" w:w="1950"/>
          </w:tcPr>
          <w:p>
            <w:r>
              <w:t>Official model releases</w:t>
            </w:r>
          </w:p>
        </w:tc>
        <w:tc>
          <w:tcPr>
            <w:tcW w:type="dxa" w:w="1950"/>
          </w:tcPr>
          <w:p>
            <w:r>
              <w:t>GPT-6 Astra and GPT-5.6 pages accessed 2026-09-10</w:t>
            </w:r>
          </w:p>
        </w:tc>
        <w:tc>
          <w:tcPr>
            <w:tcW w:type="dxa" w:w="1950"/>
          </w:tcPr>
          <w:p>
            <w:r>
              <w:t>https://openai.com/index/gpt-6-astra/</w:t>
            </w:r>
          </w:p>
        </w:tc>
        <w:tc>
          <w:tcPr>
            <w:tcW w:type="dxa" w:w="1950"/>
          </w:tcPr>
          <w:p>
            <w:r>
              <w:t>Retain pins; runtime/account catalogue NOT ASSESSED</w:t>
            </w:r>
          </w:p>
        </w:tc>
      </w:tr>
    </w:tbl>
    <w:p>
      <w:pPr>
        <w:pStyle w:val="Heading2"/>
      </w:pPr>
      <w:r>
        <w:t>Integrity limits</w:t>
      </w:r>
    </w:p>
    <w:p>
      <w:r>
        <w:t>Current official source pages were consulted on 2026-09-10; stale or ambiguous claims are not admitted as release proof.</w:t>
      </w:r>
    </w:p>
    <w:p>
      <w:r>
        <w:t>The local Codex model-policy check reports root-policy drift. No repair was applied; actual runtime/account model availability is NOT ASSESSED.</w:t>
      </w:r>
    </w:p>
    <w:p>
      <w:r>
        <w:t>Finance controls, live database evidence, legal/privacy approval, production artifact scans, reviewer sign-off, and other product-specific open gates remain open unless the evidence above explicitly closes them.</w:t>
      </w:r>
    </w:p>
    <w:p>
      <w:r>
        <w:t>This appendix updates requirements and design/test intent; it does not certify production readiness.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TEST COMPLETION REPORT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Completion Report</dc:title>
  <dc:creator>Chwezi Core Systems</dc:creator>
  <cp:keywords>Ogma Library; local-first; requirements; desktop; controlled baseline</cp:keywords>
  <dcterms:created xsi:type="dcterms:W3CDTF">2026-08-13T13:27:26Z</dcterms:created>
  <dcterms:modified xsi:type="dcterms:W3CDTF">2026-08-13T13:27:26Z</dcterms:modified>
  <dc:subject>Kaizen refresh 2026-09-10; visual checks skipped</dc:subject>
  <dc:description>Version 2.1; Review baseline — not approved for production; regenerated 2026-08-13</dc:description>
  <cp:lastModifiedBy>Codex Kaizen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