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Risk Register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risk-register--ogma-library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Risk Register — Ogma 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Ogma Library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Bamuhigire, Lead Consultant, Chwezi 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Standard basis</w:t>
            </w:r>
          </w:p>
        </w:tc>
        <w:tc>
          <w:tcPr/>
          <w:p>
            <w:pPr>
              <w:pStyle w:val="Compact"/>
            </w:pPr>
            <w:r>
              <w:t xml:space="preserve">ISO 31000:2018; ISO/IEC 27001:2022 §6.1; IEEE 1012-2016 anomaly identification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p>
      <w:pPr>
        <w:pStyle w:val="BodyText"/>
      </w:pPr>
      <w:r>
        <w:t xml:space="preserve">Version 1.0 split risks across two formats (bulleted security risks, tabular delivery risks). Version 2.0 normalises all risks into one table, updates every status against the as-built evidence in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 </w:t>
      </w:r>
      <w:r>
        <w:t xml:space="preserve">and the codebase git history, and adds six risks (RISK-018 through RISK-023) arising from the classroom scope, the delivery model, and the open build items.</w:t>
      </w:r>
    </w:p>
    <w:bookmarkStart w:id="9" w:name="Xb2526ce6e17db5be68806b3af5f367e216bff6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Scoring Method</w:t>
      </w:r>
    </w:p>
    <w:p>
      <w:pPr>
        <w:pStyle w:val="Compact"/>
        <w:numPr>
          <w:ilvl w:val="0"/>
          <w:numId w:val="1001"/>
        </w:numPr>
      </w:pPr>
      <w:r>
        <w:t xml:space="preserve">Likelihood (L) and Impact (I) each 1–5 (1 = Rare/Negligible, 3 = Possible/Moderate, 5 = Almost Certain/Catastrophic). Score = L × I.</w:t>
      </w:r>
    </w:p>
    <w:p>
      <w:pPr>
        <w:pStyle w:val="Compact"/>
        <w:numPr>
          <w:ilvl w:val="0"/>
          <w:numId w:val="1001"/>
        </w:numPr>
      </w:pPr>
      <w:r>
        <w:t xml:space="preserve">Tolerance: 1–4 Low, 5–9 Medium, 10–15 High, 16–25 Critical. Scores of 10+ require a named mitigation with a dated verification point.</w:t>
      </w:r>
    </w:p>
    <w:p>
      <w:pPr>
        <w:pStyle w:val="Compact"/>
        <w:numPr>
          <w:ilvl w:val="0"/>
          <w:numId w:val="1001"/>
        </w:numPr>
      </w:pPr>
      <w:r>
        <w:t xml:space="preserve">Status values: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(mitigation pending),</w:t>
      </w:r>
      <w:r>
        <w:t xml:space="preserve"> </w:t>
      </w:r>
      <w:r>
        <w:rPr>
          <w:b/>
          <w:bCs/>
        </w:rPr>
        <w:t xml:space="preserve">Mitigated — verification pending</w:t>
      </w:r>
      <w:r>
        <w:t xml:space="preserve"> </w:t>
      </w:r>
      <w:r>
        <w:t xml:space="preserve">(controls implemented in code; adversarial or formal verification scheduled),</w:t>
      </w:r>
      <w:r>
        <w:t xml:space="preserve"> </w:t>
      </w:r>
      <w:r>
        <w:rPr>
          <w:b/>
          <w:bCs/>
        </w:rPr>
        <w:t xml:space="preserve">Retired</w:t>
      </w:r>
      <w:r>
        <w:t xml:space="preserve"> </w:t>
      </w:r>
      <w:r>
        <w:t xml:space="preserve">(risk event can no longer occur; evidence cited),</w:t>
      </w:r>
      <w:r>
        <w:t xml:space="preserve"> </w:t>
      </w:r>
      <w:r>
        <w:rPr>
          <w:b/>
          <w:bCs/>
        </w:rPr>
        <w:t xml:space="preserve">Accepted</w:t>
      </w:r>
      <w:r>
        <w:t xml:space="preserve"> </w:t>
      </w:r>
      <w:r>
        <w:t xml:space="preserve">(owner-recorded acceptance).</w:t>
      </w:r>
    </w:p>
    <w:p>
      <w:pPr>
        <w:pStyle w:val="Compact"/>
        <w:numPr>
          <w:ilvl w:val="0"/>
          <w:numId w:val="1001"/>
        </w:numPr>
      </w:pPr>
      <w:r>
        <w:t xml:space="preserve">Ratings shown are post-mitigation (residual). Owners are roles per</w:t>
      </w:r>
      <w:r>
        <w:t xml:space="preserve"> </w:t>
      </w:r>
      <w:r>
        <w:rPr>
          <w:rStyle w:val="VerbatimChar"/>
        </w:rPr>
        <w:t xml:space="preserve">_context/stakeholders.md</w:t>
      </w:r>
      <w:r>
        <w:t xml:space="preserve">.</w:t>
      </w:r>
    </w:p>
    <w:bookmarkEnd w:id="9"/>
    <w:bookmarkStart w:id="10" w:name="X11fa80402853ad4af4e211c3ee57d2b8934705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Risk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L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Score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Mitigation → controls/decisions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RISK-001</w:t>
            </w:r>
          </w:p>
        </w:tc>
        <w:tc>
          <w:tcPr/>
          <w:p>
            <w:pPr>
              <w:pStyle w:val="Compact"/>
            </w:pPr>
            <w:r>
              <w:t xml:space="preserve">Provider credential exposure via logs, settings, or crash reports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OS credential storage, log redaction, deletion on provider removal → CTRL-001, CTRL-002, CTRL-003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(Phase 19 SAST/review, US-051)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RISK-002</w:t>
            </w:r>
          </w:p>
        </w:tc>
        <w:tc>
          <w:tcPr/>
          <w:p>
            <w:pPr>
              <w:pStyle w:val="Compact"/>
            </w:pPr>
            <w:r>
              <w:t xml:space="preserve">Malicious/malformed PDF exploits render or OCR path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Untrusted-content workers, scripting disabled, bounded time/memory → CTRL-004..007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(malformed-corpus adversarial run, Phase 19)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RISK-003</w:t>
            </w:r>
          </w:p>
        </w:tc>
        <w:tc>
          <w:tcPr/>
          <w:p>
            <w:pPr>
              <w:pStyle w:val="Compact"/>
            </w:pPr>
            <w:r>
              <w:t xml:space="preserve">Metadata write-back corrupts an original file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Backup → diff → verify-reopen → restore inside validated root → CTRL-011, NFR-PROD-010; fault-injection tests pass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(Phase 20 fault-injection re-run on reference hardware)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RISK-004</w:t>
            </w:r>
          </w:p>
        </w:tc>
        <w:tc>
          <w:tcPr/>
          <w:p>
            <w:pPr>
              <w:pStyle w:val="Compact"/>
            </w:pPr>
            <w:r>
              <w:t xml:space="preserve">Path traversal / symlink escape beyond library root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Canonicalise and validate all paths; quarantine traversal entries → CTRL-008..010; Phase 16 path-validation tests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(Phase 19)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RISK-005</w:t>
            </w:r>
          </w:p>
        </w:tc>
        <w:tc>
          <w:tcPr/>
          <w:p>
            <w:pPr>
              <w:pStyle w:val="Compact"/>
            </w:pPr>
            <w:r>
              <w:t xml:space="preserve">Tampered or unsigned update installed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Code-signing, signature verification before install, authenticated update channel → CTRL-012, CTRL-013, ADR-0009</w:t>
            </w:r>
          </w:p>
        </w:tc>
        <w:tc>
          <w:tcPr/>
          <w:p>
            <w:pPr>
              <w:pStyle w:val="Compact"/>
            </w:pPr>
            <w:r>
              <w:t xml:space="preserve">Engineering lead (release)</w:t>
            </w:r>
          </w:p>
        </w:tc>
        <w:tc>
          <w:tcPr/>
          <w:p>
            <w:pPr>
              <w:pStyle w:val="Compact"/>
            </w:pPr>
            <w:r>
              <w:t xml:space="preserve">Open (no packaging exists yet; lands with US-056, Sprint-4)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RISK-006</w:t>
            </w:r>
          </w:p>
        </w:tc>
        <w:tc>
          <w:tcPr/>
          <w:p>
            <w:pPr>
              <w:pStyle w:val="Compact"/>
            </w:pPr>
            <w:r>
              <w:t xml:space="preserve">User content transmitted off-device without intent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Single egress chokepoint, active-tier requirement, confirmed payload preview, minimisation → CTRL-016, CTRL-017, CTRL-020; architecture test forbids bypass</w:t>
            </w:r>
          </w:p>
        </w:tc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(Phase 19 review of gateway paths)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RISK-007</w:t>
            </w:r>
          </w:p>
        </w:tc>
        <w:tc>
          <w:tcPr/>
          <w:p>
            <w:pPr>
              <w:pStyle w:val="Compact"/>
            </w:pPr>
            <w:r>
              <w:t xml:space="preserve">AI history/embeddings retain content after expected deletion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Scoped erasure of history, vectors, cached responses; provider deletion path surfaced → CTRL-023, NFR-PROD-014; erasure-residue tests pass</w:t>
            </w:r>
          </w:p>
        </w:tc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RISK-008</w:t>
            </w:r>
          </w:p>
        </w:tc>
        <w:tc>
          <w:tcPr/>
          <w:p>
            <w:pPr>
              <w:pStyle w:val="Compact"/>
            </w:pPr>
            <w:r>
              <w:t xml:space="preserve">Cross-jurisdiction transfer without notice or lawful basis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Provider region surfaced pre-use; DPIA screening per off-device feature → CTRL-021, CTRL-024; DPIA v2.0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(target-jurisdiction decision outstanding — audit finding F-14, DPIA §2.7)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RISK-009</w:t>
            </w:r>
          </w:p>
        </w:tc>
        <w:tc>
          <w:tcPr/>
          <w:p>
            <w:pPr>
              <w:pStyle w:val="Compact"/>
            </w:pPr>
            <w:r>
              <w:t xml:space="preserve">Provider trains on user content without distinct consent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No-training flag default opt-out; separate explicit opt-in → CTRL-022</w:t>
            </w:r>
          </w:p>
        </w:tc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RISK-010</w:t>
            </w:r>
          </w:p>
        </w:tc>
        <w:tc>
          <w:tcPr/>
          <w:p>
            <w:pPr>
              <w:pStyle w:val="Compact"/>
            </w:pPr>
            <w:r>
              <w:t xml:space="preserve">WebView-to-Three.js bridge unreliable on macOS WKWebView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 01 spike + Phase 14 shipped typed bridge with</w:t>
            </w:r>
            <w:r>
              <w:t xml:space="preserve"> </w:t>
            </w:r>
            <w:r>
              <w:rPr>
                <w:rStyle w:val="VerbatimChar"/>
              </w:rPr>
              <w:t xml:space="preserve">ogma://</w:t>
            </w:r>
            <w:r>
              <w:t xml:space="preserve"> </w:t>
            </w:r>
            <w:r>
              <w:t xml:space="preserve">scheme → ADR-0003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2026-06-02 (3D shelf implemented and tested; evidence:</w:t>
            </w:r>
            <w:r>
              <w:t xml:space="preserve"> </w:t>
            </w:r>
            <w:r>
              <w:rPr>
                <w:rStyle w:val="VerbatimChar"/>
              </w:rPr>
              <w:t xml:space="preserve">OgmaLibrary.Bookshelf3D</w:t>
            </w:r>
            <w:r>
              <w:t xml:space="preserve">, Phase 14 commits)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RISK-011</w:t>
            </w:r>
          </w:p>
        </w:tc>
        <w:tc>
          <w:tcPr/>
          <w:p>
            <w:pPr>
              <w:pStyle w:val="Compact"/>
            </w:pPr>
            <w:r>
              <w:t xml:space="preserve">Chosen PDFium wrapper fails to package on a target platform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Wrapper benchmark spike; renderer isolated behind adapter → ADR-0004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2026-05-31 (</w:t>
            </w:r>
            <w:r>
              <w:rPr>
                <w:rStyle w:val="VerbatimChar"/>
              </w:rPr>
              <w:t xml:space="preserve">PdfiumAdapter</w:t>
            </w:r>
            <w:r>
              <w:t xml:space="preserve"> </w:t>
            </w:r>
            <w:r>
              <w:t xml:space="preserve">via PDFtoImage/SkiaSharp shipped; reader in production use in dev builds)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RISK-012</w:t>
            </w:r>
          </w:p>
        </w:tc>
        <w:tc>
          <w:tcPr/>
          <w:p>
            <w:pPr>
              <w:pStyle w:val="Compact"/>
            </w:pPr>
            <w:r>
              <w:t xml:space="preserve">3D shelf degrades below frame-rate budget on large libraries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Virtualised shelf, visible-book cap, search-driven focus, grid/list fallback → NFR-OGMA-006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(binding measurement on UHD 620 at Phase 20, US-053)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RISK-013</w:t>
            </w:r>
          </w:p>
        </w:tc>
        <w:tc>
          <w:tcPr/>
          <w:p>
            <w:pPr>
              <w:pStyle w:val="Compact"/>
            </w:pPr>
            <w:r>
              <w:t xml:space="preserve">Full-text + embedding index grows unmanageably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Sidecar storage, configurable indexing, size exposed in Index Manager → FR-SEARCH-006, NFR-OGMA-004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(50,000-item scale test at Phase 20)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RISK-014</w:t>
            </w:r>
          </w:p>
        </w:tc>
        <w:tc>
          <w:tcPr/>
          <w:p>
            <w:pPr>
              <w:pStyle w:val="Compact"/>
            </w:pPr>
            <w:r>
              <w:t xml:space="preserve">External metadata providers return conflicting values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Field-level provenance and reviewable confidence merge; local edits win → FR-META-003, FR-META-004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2026-05-31 (merge policy + provenance implemented with provider-stub tests)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RISK-015</w:t>
            </w:r>
          </w:p>
        </w:tc>
        <w:tc>
          <w:tcPr/>
          <w:p>
            <w:pPr>
              <w:pStyle w:val="Compact"/>
            </w:pPr>
            <w:r>
              <w:t xml:space="preserve">OCR slow or inaccurate on scanned documents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Optional background OCR, stored confidence, OCR-derived labelling → FR-READ-010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(accuracy sampling on golden corpus at Phase 20)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RISK-016</w:t>
            </w:r>
          </w:p>
        </w:tc>
        <w:tc>
          <w:tcPr/>
          <w:p>
            <w:pPr>
              <w:pStyle w:val="Compact"/>
            </w:pPr>
            <w:r>
              <w:t xml:space="preserve">Runtime/package incompatibility with the .NET baseline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 00 compatibility matrix; .NET 8 fallback only behind documented blocker → ADR-0001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2026-05-30 (net10.0 solution builds warnings-as-errors with full test suite; residual package-mix issue tracked separately as RISK-022)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RISK-017</w:t>
            </w:r>
          </w:p>
        </w:tc>
        <w:tc>
          <w:tcPr/>
          <w:p>
            <w:pPr>
              <w:pStyle w:val="Compact"/>
            </w:pPr>
            <w:r>
              <w:t xml:space="preserve">Extracted text out of reading order pollutes search/citations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Extraction-quality flags; extracted text never treated as clean for AI/citation → FR-SEARCH-002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Mitigated — verification pending (two-column corpus checks at Phase 20)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RISK-018</w:t>
            </w:r>
          </w:p>
        </w:tc>
        <w:tc>
          <w:tcPr/>
          <w:p>
            <w:pPr>
              <w:pStyle w:val="Compact"/>
            </w:pPr>
            <w:r>
              <w:t xml:space="preserve">LAN host mode opens an attack surface (TLS misconfiguration, enrollment abuse, streaming endpoint exploitation) on school networks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Off-by-default host, TLS + TOFU fingerprints, enrollment codes, per-profile auth, path validation, session revocation, host audit → FR-LAN-001..010, CTRL-016, CTRL-018; adversarial testing scheduled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Open (Phase 19 threat-model execution, US-051, Sprint-1)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RISK-019</w:t>
            </w:r>
          </w:p>
        </w:tc>
        <w:tc>
          <w:tcPr/>
          <w:p>
            <w:pPr>
              <w:pStyle w:val="Compact"/>
            </w:pPr>
            <w:r>
              <w:t xml:space="preserve">Minors' reading and AI-query data mishandled in classroom deployments (surveillance, exposure, retention)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Aggregate-only disclosed dashboards → FR-CLIENT-012; metadata-only class default and admin-gated content tier → FR-ADMIN-006, FR-ADMIN-007; student deletion and institutional purge → FR-ADMIN-012, FR-ADMIN-013; DPIA v2.0 minors section (</w:t>
            </w:r>
            <w:r>
              <w:rPr>
                <w:rStyle w:val="VerbatimChar"/>
              </w:rPr>
              <w:t xml:space="preserve">03-dpia/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(jurisdiction decision F-14 and school-controller guidance outstanding; controls implemented)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RISK-020</w:t>
            </w:r>
          </w:p>
        </w:tc>
        <w:tc>
          <w:tcPr/>
          <w:p>
            <w:pPr>
              <w:pStyle w:val="Compact"/>
            </w:pPr>
            <w:r>
              <w:t xml:space="preserve">Microsoft Store / Mac App Store submission rejected (sandbox, entitlement, or policy findings), delaying launch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Early submission in Sprint-4 with filing (not approval) as exit criterion; Velopack direct channel as fallback → ADR-0009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(Phase 22)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RISK-021</w:t>
            </w:r>
          </w:p>
        </w:tc>
        <w:tc>
          <w:tcPr/>
          <w:p>
            <w:pPr>
              <w:pStyle w:val="Compact"/>
            </w:pPr>
            <w:r>
              <w:t xml:space="preserve">Single-maintainer bus factor: the compressed Phases 00–18 build concentrated all system knowledge in one contributor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XML-doc'd code, ADR catalog (ADR-0001..0015), grand-plan phase READMEs, this documentation baseline; team-of-3 forward plan spreads ownership by role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(Critical band; standing item at every sprint review until a second contributor closes a full story solo)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RISK-022</w:t>
            </w:r>
          </w:p>
        </w:tc>
        <w:tc>
          <w:tcPr/>
          <w:p>
            <w:pPr>
              <w:pStyle w:val="Compact"/>
            </w:pPr>
            <w:r>
              <w:t xml:space="preserve">Runtime/package incompatibility returns after a dependency change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Aligned .NET 10/EF Core 10 baseline; Release suite and vulnerability audit → ADR-0016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Retired for commit</w:t>
            </w:r>
            <w:r>
              <w:t xml:space="preserve"> </w:t>
            </w:r>
            <w:r>
              <w:rPr>
                <w:rStyle w:val="VerbatimChar"/>
              </w:rPr>
              <w:t xml:space="preserve">26df983</w:t>
            </w:r>
            <w:r>
              <w:t xml:space="preserve"> </w:t>
            </w:r>
            <w:r>
              <w:t xml:space="preserve">on 2026-08-13; reopen on package/runtime change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RISK-023</w:t>
            </w:r>
          </w:p>
        </w:tc>
        <w:tc>
          <w:tcPr/>
          <w:p>
            <w:pPr>
              <w:pStyle w:val="Compact"/>
            </w:pPr>
            <w:r>
              <w:t xml:space="preserve">Premium icon procurement delay blocks the release gate (placeholders are a release blocker by policy)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Owner decision + asset delivery, or recorded waiver, before Sprint-4 packaging → retrospective action A-3; grand plan principle 8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Open (due 2026-08-21)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RISK-024</w:t>
            </w:r>
          </w:p>
        </w:tc>
        <w:tc>
          <w:tcPr/>
          <w:p>
            <w:pPr>
              <w:pStyle w:val="Compact"/>
            </w:pPr>
            <w:r>
              <w:t xml:space="preserve">Primary UI ships with the banned Inter dependency and placeholder styling, weakening readability, identity, and premium positioning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Implement the controlled Spectral/Public Sans/JetBrains Mono system, replace icon placeholders, and run keyboard/contrast/zoom/manual screen review</w:t>
            </w:r>
          </w:p>
        </w:tc>
        <w:tc>
          <w:tcPr/>
          <w:p>
            <w:pPr>
              <w:pStyle w:val="Compact"/>
            </w:pPr>
            <w:r>
              <w:t xml:space="preserve">Design/UX lead</w:t>
            </w:r>
          </w:p>
        </w:tc>
        <w:tc>
          <w:tcPr/>
          <w:p>
            <w:pPr>
              <w:pStyle w:val="Compact"/>
            </w:pPr>
            <w:r>
              <w:t xml:space="preserve">Open; blocks design acceptance and store screenshots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RISK-025</w:t>
            </w:r>
          </w:p>
        </w:tc>
        <w:tc>
          <w:tcPr/>
          <w:p>
            <w:pPr>
              <w:pStyle w:val="Compact"/>
            </w:pPr>
            <w:r>
              <w:t xml:space="preserve">Pricing, school-seat terms, update obligations, refunds, taxes, or AI cost policy are sold before commercial controls are ratified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Business-case assumptions register, finance quality gate, store gross-to-net reconciliation, revenue/tax policy, refund/chargeback process, AI quota/cost controls</w:t>
            </w:r>
          </w:p>
        </w:tc>
        <w:tc>
          <w:tcPr/>
          <w:p>
            <w:pPr>
              <w:pStyle w:val="Compact"/>
            </w:pPr>
            <w:r>
              <w:t xml:space="preserve">Product owner + finance controller</w:t>
            </w:r>
          </w:p>
        </w:tc>
        <w:tc>
          <w:tcPr/>
          <w:p>
            <w:pPr>
              <w:pStyle w:val="Compact"/>
            </w:pPr>
            <w:r>
              <w:t xml:space="preserve">Open; blocks paid launch and education contracting</w:t>
            </w:r>
          </w:p>
        </w:tc>
      </w:tr>
    </w:tbl>
    <w:bookmarkEnd w:id="10"/>
    <w:bookmarkStart w:id="11" w:name="Xc5791f7e79582ee58e4cf668ac1bc2d7d7f18b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Residual-Risk Summary</w:t>
      </w:r>
    </w:p>
    <w:p>
      <w:pPr>
        <w:pStyle w:val="Compact"/>
        <w:numPr>
          <w:ilvl w:val="0"/>
          <w:numId w:val="1002"/>
        </w:numPr>
      </w:pPr>
      <w:r>
        <w:t xml:space="preserve">Critical band (16–25): RISK-021 only; no acceptance record was found, so it remains open.</w:t>
      </w:r>
    </w:p>
    <w:p>
      <w:pPr>
        <w:pStyle w:val="Compact"/>
        <w:numPr>
          <w:ilvl w:val="0"/>
          <w:numId w:val="1002"/>
        </w:numPr>
      </w:pPr>
      <w:r>
        <w:t xml:space="preserve">High band (10–15): RISK-002, RISK-008, RISK-018, RISK-019, RISK-023, RISK-024, and RISK-025.</w:t>
      </w:r>
    </w:p>
    <w:p>
      <w:pPr>
        <w:pStyle w:val="Compact"/>
        <w:numPr>
          <w:ilvl w:val="0"/>
          <w:numId w:val="1002"/>
        </w:numPr>
      </w:pPr>
      <w:r>
        <w:t xml:space="preserve">Retired with point-in-time evidence: RISK-010, RISK-011, RISK-014, RISK-016, and RISK-022. Retired risks remain visible and reopen when their trigger occurs.</w:t>
      </w:r>
    </w:p>
    <w:bookmarkEnd w:id="11"/>
    <w:bookmarkStart w:id="12" w:name="Xad5700e464ae43a575318c24fbf8e4250f44c1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Review Cadence and Escalation</w:t>
      </w:r>
    </w:p>
    <w:p>
      <w:pPr>
        <w:pStyle w:val="Compact"/>
        <w:numPr>
          <w:ilvl w:val="0"/>
          <w:numId w:val="1003"/>
        </w:numPr>
      </w:pPr>
      <w:r>
        <w:t xml:space="preserve">The register is reviewed at each sprint review (2-week cadence, starting 2026-07-24) and at every phase gate.</w:t>
      </w:r>
    </w:p>
    <w:p>
      <w:pPr>
        <w:pStyle w:val="Compact"/>
        <w:numPr>
          <w:ilvl w:val="0"/>
          <w:numId w:val="1003"/>
        </w:numPr>
      </w:pPr>
      <w:r>
        <w:t xml:space="preserve">A new risk takes the next sequential identifier; a retired risk keeps its row, closure date, and evidence pointer.</w:t>
      </w:r>
    </w:p>
    <w:p>
      <w:pPr>
        <w:pStyle w:val="Compact"/>
        <w:numPr>
          <w:ilvl w:val="0"/>
          <w:numId w:val="1003"/>
        </w:numPr>
      </w:pPr>
      <w:r>
        <w:t xml:space="preserve">Any risk entering the Critical band, and any High risk missing its dated verification point, escalates to the product owner at the sprint review; escalations and acceptances are recorded in the sign-off ledger.</w:t>
      </w:r>
    </w:p>
    <w:p>
      <w:pPr>
        <w:pStyle w:val="Compact"/>
        <w:numPr>
          <w:ilvl w:val="0"/>
          <w:numId w:val="1003"/>
        </w:numPr>
      </w:pPr>
      <w:r>
        <w:t xml:space="preserve">Trigger conditions for out-of-cycle reassessment: a Phase 19 adversarial finding, a store-submission rejection, any classroom-pilot incident involving student data, and any change to a baselined CTRL requirement (which also requires a Change Impact Analysis entry).</w:t>
      </w:r>
    </w:p>
    <w:bookmarkEnd w:id="12"/>
    <w:bookmarkEnd w:id="13"/>
    <w:p>
      <w:r>
        <w:br w:type="page"/>
      </w:r>
    </w:p>
    <w:p>
      <w:pPr>
        <w:pStyle w:val="Heading1"/>
      </w:pPr>
      <w:r>
        <w:t>Kaizen refresh - 2026-09-10</w:t>
      </w:r>
    </w:p>
    <w:p>
      <w:r>
        <w:rPr>
          <w:b/>
        </w:rPr>
        <w:t xml:space="preserve">Refresh status: </w:t>
      </w:r>
      <w:r>
        <w:t>Applied local remediation and current-source updates. Visual/render/browser inspection was skipped at the requester's direction and is NOT ASSESSED.</w:t>
      </w:r>
    </w:p>
    <w:p>
      <w:r>
        <w:rPr>
          <w:b/>
        </w:rPr>
        <w:t xml:space="preserve">Source: </w:t>
      </w:r>
      <w:r>
        <w:t>docs/references/Ogma-Library_RiskRegister_v2.1_2026-08-13.docx; repository head at evidence capture: e2be72fb332e</w:t>
      </w:r>
    </w:p>
    <w:p>
      <w:pPr>
        <w:pStyle w:val="Heading2"/>
      </w:pPr>
      <w:r>
        <w:t>Current-source requirements, design, and test update</w:t>
      </w:r>
    </w:p>
    <w:p>
      <w:r>
        <w:t>Specify PDF containment, page-count/navigation behaviour, malformed-document handling, interrupted-load recovery, search failure, identity, and metadata boundaries.</w:t>
      </w:r>
    </w:p>
    <w:p>
      <w:r>
        <w:t>Specify reproducible build inputs, signing/notarisation, update/rollback, supported OS/runtime matrix, hashes, and release ownership.</w:t>
      </w:r>
    </w:p>
    <w:p>
      <w:r>
        <w:t>Use WCAG 2.2 test oracles for reader keyboard/focus/status/reflow/error-recovery requirements; automated tests do not close physical/platform gates.</w:t>
      </w:r>
    </w:p>
    <w:p>
      <w:pPr>
        <w:pStyle w:val="Heading2"/>
      </w:pPr>
      <w:r>
        <w:t>Design-system decision</w:t>
      </w:r>
    </w:p>
    <w:p>
      <w:r>
        <w:t>Preserve the source document's existing typography, spacing, colour, and table styles. No new primary typeface is introduced in this no-visual-QA cycle; no visual quality claim is made.</w:t>
      </w:r>
    </w:p>
    <w:p>
      <w:pPr>
        <w:pStyle w:val="Heading2"/>
      </w:pPr>
      <w:r>
        <w:t>Verification and release posture</w:t>
      </w:r>
    </w:p>
    <w:p>
      <w:r>
        <w:t>Current automated baseline: 42 architecture, 955 core, and 163 UI tests (1,160 total); shelf3d typecheck/build/performance baseline was green.</w:t>
      </w:r>
    </w:p>
    <w:p>
      <w:r>
        <w:t>Keep release, PDF containment, signing, platform/accessibility, and reviewer evidence open until directly observed.</w:t>
      </w:r>
    </w:p>
    <w:p>
      <w:pPr>
        <w:pStyle w:val="Heading2"/>
      </w:pPr>
      <w:r>
        <w:t>Operational control</w:t>
      </w:r>
    </w:p>
    <w:p>
      <w:r>
        <w:t>Do not promote on automated green tests alone; require artifact hashes, signing evidence, rollback evidence, and supported-runtime proof.</w:t>
      </w:r>
    </w:p>
    <w:p>
      <w:pPr>
        <w:pStyle w:val="Heading2"/>
      </w:pPr>
      <w:r>
        <w:t>Authoritative currentness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r>
              <w:t>ID</w:t>
            </w:r>
          </w:p>
        </w:tc>
        <w:tc>
          <w:tcPr>
            <w:tcW w:type="dxa" w:w="1950"/>
          </w:tcPr>
          <w:p>
            <w:r>
              <w:t>Source</w:t>
            </w:r>
          </w:p>
        </w:tc>
        <w:tc>
          <w:tcPr>
            <w:tcW w:type="dxa" w:w="1950"/>
          </w:tcPr>
          <w:p>
            <w:r>
              <w:t>Version/date</w:t>
            </w:r>
          </w:p>
        </w:tc>
        <w:tc>
          <w:tcPr>
            <w:tcW w:type="dxa" w:w="1950"/>
          </w:tcPr>
          <w:p>
            <w:r>
              <w:t>Primary URL</w:t>
            </w:r>
          </w:p>
        </w:tc>
        <w:tc>
          <w:tcPr>
            <w:tcW w:type="dxa" w:w="1950"/>
          </w:tcPr>
          <w:p>
            <w:r>
              <w:t>Adoption decision</w:t>
            </w:r>
          </w:p>
        </w:tc>
      </w:tr>
      <w:tr>
        <w:tc>
          <w:tcPr>
            <w:tcW w:type="dxa" w:w="1950"/>
          </w:tcPr>
          <w:p>
            <w:r>
              <w:t>DR-WCAG-22</w:t>
            </w:r>
          </w:p>
        </w:tc>
        <w:tc>
          <w:tcPr>
            <w:tcW w:type="dxa" w:w="1950"/>
          </w:tcPr>
          <w:p>
            <w:r>
              <w:t>WCAG 2.2</w:t>
            </w:r>
          </w:p>
        </w:tc>
        <w:tc>
          <w:tcPr>
            <w:tcW w:type="dxa" w:w="1950"/>
          </w:tcPr>
          <w:p>
            <w:r>
              <w:t>W3C Recommendation, 2024-12-12</w:t>
            </w:r>
          </w:p>
        </w:tc>
        <w:tc>
          <w:tcPr>
            <w:tcW w:type="dxa" w:w="1950"/>
          </w:tcPr>
          <w:p>
            <w:r>
              <w:t>https://www.w3.org/TR/WCAG22/</w:t>
            </w:r>
          </w:p>
        </w:tc>
        <w:tc>
          <w:tcPr>
            <w:tcW w:type="dxa" w:w="1950"/>
          </w:tcPr>
          <w:p>
            <w:r>
              <w:t>Retain; review 2026-10-10</w:t>
            </w:r>
          </w:p>
        </w:tc>
      </w:tr>
      <w:tr>
        <w:tc>
          <w:tcPr>
            <w:tcW w:type="dxa" w:w="1950"/>
          </w:tcPr>
          <w:p>
            <w:r>
              <w:t>DR-ASVS-5</w:t>
            </w:r>
          </w:p>
        </w:tc>
        <w:tc>
          <w:tcPr>
            <w:tcW w:type="dxa" w:w="1950"/>
          </w:tcPr>
          <w:p>
            <w:r>
              <w:t>OWASP ASVS</w:t>
            </w:r>
          </w:p>
        </w:tc>
        <w:tc>
          <w:tcPr>
            <w:tcW w:type="dxa" w:w="1950"/>
          </w:tcPr>
          <w:p>
            <w:r>
              <w:t>stable v5.0.0, 2025-05</w:t>
            </w:r>
          </w:p>
        </w:tc>
        <w:tc>
          <w:tcPr>
            <w:tcW w:type="dxa" w:w="1950"/>
          </w:tcPr>
          <w:p>
            <w:r>
              <w:t>https://github.com/OWASP/ASVS/releases</w:t>
            </w:r>
          </w:p>
        </w:tc>
        <w:tc>
          <w:tcPr>
            <w:tcW w:type="dxa" w:w="1950"/>
          </w:tcPr>
          <w:p>
            <w:r>
              <w:t>Retain stable release; review 2026-10-10</w:t>
            </w:r>
          </w:p>
        </w:tc>
      </w:tr>
      <w:tr>
        <w:tc>
          <w:tcPr>
            <w:tcW w:type="dxa" w:w="1950"/>
          </w:tcPr>
          <w:p>
            <w:r>
              <w:t>DR-SSDF-11</w:t>
            </w:r>
          </w:p>
        </w:tc>
        <w:tc>
          <w:tcPr>
            <w:tcW w:type="dxa" w:w="1950"/>
          </w:tcPr>
          <w:p>
            <w:r>
              <w:t>NIST SSDF</w:t>
            </w:r>
          </w:p>
        </w:tc>
        <w:tc>
          <w:tcPr>
            <w:tcW w:type="dxa" w:w="1950"/>
          </w:tcPr>
          <w:p>
            <w:r>
              <w:t>v1.1, 2022-02-03; updated 2022-11-29</w:t>
            </w:r>
          </w:p>
        </w:tc>
        <w:tc>
          <w:tcPr>
            <w:tcW w:type="dxa" w:w="1950"/>
          </w:tcPr>
          <w:p>
            <w:r>
              <w:t>https://www.nist.gov/publications/secure-software-development-framework-ssdf-version-11-recommendations-mitigating-risk</w:t>
            </w:r>
          </w:p>
        </w:tc>
        <w:tc>
          <w:tcPr>
            <w:tcW w:type="dxa" w:w="1950"/>
          </w:tcPr>
          <w:p>
            <w:r>
              <w:t>Retain; review 2027-09-10</w:t>
            </w:r>
          </w:p>
        </w:tc>
      </w:tr>
      <w:tr>
        <w:tc>
          <w:tcPr>
            <w:tcW w:type="dxa" w:w="1950"/>
          </w:tcPr>
          <w:p>
            <w:r>
              <w:t>DR-OPENAPI-311</w:t>
            </w:r>
          </w:p>
        </w:tc>
        <w:tc>
          <w:tcPr>
            <w:tcW w:type="dxa" w:w="1950"/>
          </w:tcPr>
          <w:p>
            <w:r>
              <w:t>OpenAPI</w:t>
            </w:r>
          </w:p>
        </w:tc>
        <w:tc>
          <w:tcPr>
            <w:tcW w:type="dxa" w:w="1950"/>
          </w:tcPr>
          <w:p>
            <w:r>
              <w:t>3.1.1, 2024-10-24; newer official entries exist</w:t>
            </w:r>
          </w:p>
        </w:tc>
        <w:tc>
          <w:tcPr>
            <w:tcW w:type="dxa" w:w="1950"/>
          </w:tcPr>
          <w:p>
            <w:r>
              <w:t>https://spec.openapis.org/oas/v3.1.1.html</w:t>
            </w:r>
          </w:p>
        </w:tc>
        <w:tc>
          <w:tcPr>
            <w:tcW w:type="dxa" w:w="1950"/>
          </w:tcPr>
          <w:p>
            <w:r>
              <w:t>Pin per project compatibility; review 2026-10-10</w:t>
            </w:r>
          </w:p>
        </w:tc>
      </w:tr>
      <w:tr>
        <w:tc>
          <w:tcPr>
            <w:tcW w:type="dxa" w:w="1950"/>
          </w:tcPr>
          <w:p>
            <w:r>
              <w:t>DR-PHP-SUPPORT</w:t>
            </w:r>
          </w:p>
        </w:tc>
        <w:tc>
          <w:tcPr>
            <w:tcW w:type="dxa" w:w="1950"/>
          </w:tcPr>
          <w:p>
            <w:r>
              <w:t>PHP supported versions</w:t>
            </w:r>
          </w:p>
        </w:tc>
        <w:tc>
          <w:tcPr>
            <w:tcW w:type="dxa" w:w="1950"/>
          </w:tcPr>
          <w:p>
            <w:r>
              <w:t>official support table accessed current page</w:t>
            </w:r>
          </w:p>
        </w:tc>
        <w:tc>
          <w:tcPr>
            <w:tcW w:type="dxa" w:w="1950"/>
          </w:tcPr>
          <w:p>
            <w:r>
              <w:t>https://www.php.net/supported-versions.php</w:t>
            </w:r>
          </w:p>
        </w:tc>
        <w:tc>
          <w:tcPr>
            <w:tcW w:type="dxa" w:w="1950"/>
          </w:tcPr>
          <w:p>
            <w:r>
              <w:t>Require supported branch; review 2026-10-10</w:t>
            </w:r>
          </w:p>
        </w:tc>
      </w:tr>
      <w:tr>
        <w:tc>
          <w:tcPr>
            <w:tcW w:type="dxa" w:w="1950"/>
          </w:tcPr>
          <w:p>
            <w:r>
              <w:t>DR-MYSQL-LTS</w:t>
            </w:r>
          </w:p>
        </w:tc>
        <w:tc>
          <w:tcPr>
            <w:tcW w:type="dxa" w:w="1950"/>
          </w:tcPr>
          <w:p>
            <w:r>
              <w:t>MySQL releases</w:t>
            </w:r>
          </w:p>
        </w:tc>
        <w:tc>
          <w:tcPr>
            <w:tcW w:type="dxa" w:w="1950"/>
          </w:tcPr>
          <w:p>
            <w:r>
              <w:t>8.4 LTS line</w:t>
            </w:r>
          </w:p>
        </w:tc>
        <w:tc>
          <w:tcPr>
            <w:tcW w:type="dxa" w:w="1950"/>
          </w:tcPr>
          <w:p>
            <w:r>
              <w:t>https://dev.mysql.com/doc/refman/8.4/en/mysql-releases.html</w:t>
            </w:r>
          </w:p>
        </w:tc>
        <w:tc>
          <w:tcPr>
            <w:tcW w:type="dxa" w:w="1950"/>
          </w:tcPr>
          <w:p>
            <w:r>
              <w:t>Candidate target only after rehearsal; review 2026-10-10</w:t>
            </w:r>
          </w:p>
        </w:tc>
      </w:tr>
      <w:tr>
        <w:tc>
          <w:tcPr>
            <w:tcW w:type="dxa" w:w="1950"/>
          </w:tcPr>
          <w:p>
            <w:r>
              <w:t>DR-MODEL</w:t>
            </w:r>
          </w:p>
        </w:tc>
        <w:tc>
          <w:tcPr>
            <w:tcW w:type="dxa" w:w="1950"/>
          </w:tcPr>
          <w:p>
            <w:r>
              <w:t>Official model releases</w:t>
            </w:r>
          </w:p>
        </w:tc>
        <w:tc>
          <w:tcPr>
            <w:tcW w:type="dxa" w:w="1950"/>
          </w:tcPr>
          <w:p>
            <w:r>
              <w:t>GPT-6 Astra and GPT-5.6 pages accessed 2026-09-10</w:t>
            </w:r>
          </w:p>
        </w:tc>
        <w:tc>
          <w:tcPr>
            <w:tcW w:type="dxa" w:w="1950"/>
          </w:tcPr>
          <w:p>
            <w:r>
              <w:t>https://openai.com/index/gpt-6-astra/</w:t>
            </w:r>
          </w:p>
        </w:tc>
        <w:tc>
          <w:tcPr>
            <w:tcW w:type="dxa" w:w="1950"/>
          </w:tcPr>
          <w:p>
            <w:r>
              <w:t>Retain pins; runtime/account catalogue NOT ASSESSED</w:t>
            </w:r>
          </w:p>
        </w:tc>
      </w:tr>
    </w:tbl>
    <w:p>
      <w:pPr>
        <w:pStyle w:val="Heading2"/>
      </w:pPr>
      <w:r>
        <w:t>Integrity limits</w:t>
      </w:r>
    </w:p>
    <w:p>
      <w:r>
        <w:t>Current official source pages were consulted on 2026-09-10; stale or ambiguous claims are not admitted as release proof.</w:t>
      </w:r>
    </w:p>
    <w:p>
      <w:r>
        <w:t>The local Codex model-policy check reports root-policy drift. No repair was applied; actual runtime/account model availability is NOT ASSESSED.</w:t>
      </w:r>
    </w:p>
    <w:p>
      <w:r>
        <w:t>Finance controls, live database evidence, legal/privacy approval, production artifact scans, reviewer sign-off, and other product-specific open gates remain open unless the evidence above explicitly closes them.</w:t>
      </w:r>
    </w:p>
    <w:p>
      <w:r>
        <w:t>This appendix updates requirements and design/test intent; it does not certify production readiness.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RISK REGISTER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Register</dc:title>
  <dc:creator>Chwezi Core Systems</dc:creator>
  <cp:keywords>Ogma Library; local-first; requirements; desktop; controlled baseline</cp:keywords>
  <dcterms:created xsi:type="dcterms:W3CDTF">2026-08-13T13:27:36Z</dcterms:created>
  <dcterms:modified xsi:type="dcterms:W3CDTF">2026-08-13T13:27:36Z</dcterms:modified>
  <dc:subject>Kaizen refresh 2026-09-10; visual checks skipped</dc:subject>
  <dc:description>Version 2.1; Review baseline — not approved for production; regenerated 2026-08-13</dc:description>
  <cp:lastModifiedBy>Codex Kaizen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Risk Register</vt:lpwstr>
  </property>
  <property fmtid="{D5CDD505-2E9C-101B-9397-08002B2CF9AE}" pid="3" name="phase">
    <vt:lpwstr>09</vt:lpwstr>
  </property>
</Properties>
</file>