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Requirements Traceability Matrix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Xf447a46770b42096d9796ba9c0a8a76b08a6255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Requirements Traceability Matrix — Governance Rollup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Field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Ogma Library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Traceability Matrix (governance rollup)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Chwezi Core Systems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Peter Bamuhigire, Lead Consultant, Chwezi Core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2.1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2026-08-13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Draft for owner sign-off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Standard basis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IEEE 1012-2016 (bidirectional traceability)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Confidential — Internal Use Only</w:t>
            </w:r>
          </w:p>
        </w:tc>
      </w:tr>
    </w:tbl>
    <w:p>
      <w:pPr>
        <w:pStyle w:val="BodyText"/>
      </w:pPr>
      <w:r>
        <w:t xml:space="preserve">This governance rollup uses the same 101-requirement inventory and status taxonomy as SRS Section 8. “Code/test evidence” means the named behavior is represented in source and automated checks; it does not mean release acceptance. Story traces live in</w:t>
      </w:r>
      <w:r>
        <w:t xml:space="preserve"> </w:t>
      </w:r>
      <w:r>
        <w:rPr>
          <w:rStyle w:val="VerbatimChar"/>
        </w:rPr>
        <w:t xml:space="preserve">07-agile-artifacts/02-user-stories.md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_registry/baseline-trace.yaml</w:t>
      </w:r>
      <w:r>
        <w:t xml:space="preserve">.</w:t>
      </w:r>
    </w:p>
    <w:bookmarkStart w:id="9" w:name="Xad0a4799dc8026c00b7a0062ec65045602acc4b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Business Goals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BG-001 Visible library</w:t>
      </w:r>
      <w:r>
        <w:t xml:space="preserve"> </w:t>
      </w:r>
      <w:r>
        <w:t xml:space="preserve">— covers, shelves, metadata, multiple browsing modes.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BG-002 Usable library</w:t>
      </w:r>
      <w:r>
        <w:t xml:space="preserve"> </w:t>
      </w:r>
      <w:r>
        <w:t xml:space="preserve">— progress, bookmarks, annotations, search, statistics.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BG-003 Intelligent library</w:t>
      </w:r>
      <w:r>
        <w:t xml:space="preserve"> </w:t>
      </w:r>
      <w:r>
        <w:t xml:space="preserve">— an explainable AI advisor over the user's own collection.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BG-004 Durable ownership</w:t>
      </w:r>
      <w:r>
        <w:t xml:space="preserve"> </w:t>
      </w:r>
      <w:r>
        <w:t xml:space="preserve">— files stay the user's files; the catalogue augments, never replaces.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BG-005 Private by default</w:t>
      </w:r>
      <w:r>
        <w:t xml:space="preserve"> </w:t>
      </w:r>
      <w:r>
        <w:t xml:space="preserve">— on-device by default; every off-device transmission explicit, consented, reversible.</w:t>
      </w:r>
    </w:p>
    <w:p>
      <w:pPr>
        <w:pStyle w:val="FirstParagraph"/>
      </w:pPr>
      <w:r>
        <w:t xml:space="preserve">The classroom scope expansion (LAN/CLIENT/ADMIN, baseline v2.0) extends BG-001/BG-002 to a shared institutional collection and BG-005 to students as data subjects; no new business goal was created — the Change Impact Analysis entry for the expansion records this decision.</w:t>
      </w:r>
    </w:p>
    <w:bookmarkEnd w:id="9"/>
    <w:bookmarkStart w:id="10" w:name="X968870449b72cbb42d5e03af3b75d722649fd0d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Forward Traceability: Goals → Modules → Verification →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Business goal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FR module (count)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Primary verification method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Verification vehicle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Implementation status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BG-001, BG-004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LIB (7)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Fixture-tree scanning and identity round-trip tests; golden corpus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7 code/test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BG-001, BG-002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 (7)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View-equivalence and filter-conjunction assertions; smart-shelf evaluator 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6 code/test evidence; 1 Planned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BG-001, BG-004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META (8)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Provider-stub lookups; write-back fault injection; health-dashboard checks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8 code/test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BG-002, BG-004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READ (15)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Reader-state round-trip; annotation durability; OCR and password fixtures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14 code/test evidence; 1 Planned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BG-002, BG-003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SEARCH (6)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Query-replay benchmarks; index rebuild reconciliation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6 code/test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BG-003, BG-005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AI (11)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Gateway payload-capture and tier-enforcement tests; AI evaluation harness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10 code/test evidence; 1 Planned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BG-001, BG-005 (institutional)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LAN (10)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LAN tooling; path-validation and TLS/TOFU 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10 code/test evidence; platform acceptance open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BG-002, BG-005 (students)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CLIENT (13)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Sync-conflict, offline-cache, profile-isolation, read-only architecture 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13 code/test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BG-003, BG-005 (students)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ADMIN (13)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Proxy key-capture, quota-enforcement, audit-export tests; DPIA screening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13 code/test evidence; release acceptance open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BG-004 (ecosystem)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EXT (3)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 (planned)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Gateway-enforced plugin contract demonstration; import reconciliation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 Partial; 2 Planned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BG-001, BG-002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UX (8)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Test + Inspection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Headless UI state tests; scripted journeys; WCAG 2.2 AA audit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4 Partial; 4 Planned/not formally accepted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101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87 code/test evidence, 5 Partial, 9 Planned</w:t>
            </w:r>
          </w:p>
        </w:tc>
      </w:tr>
    </w:tbl>
    <w:bookmarkEnd w:id="10"/>
    <w:bookmarkStart w:id="11" w:name="X7103bce53f48700774496845b418fa9776611bd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Backward Traceability: Coverage of Each Goal</w:t>
      </w:r>
    </w:p>
    <w:p>
      <w:pPr>
        <w:pStyle w:val="FirstParagraph"/>
      </w:pPr>
      <w:r>
        <w:t xml:space="preserve">Every business goal has implementing requirements and no goal is orphaned: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Business goal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modules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Delivered evidence today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LIB, CAT, META, LAN, UX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Catalogue, 4 views incl. 3D shelf, health dashboard, published host catalogues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READ, SEARCH, CAT, CLIENT, UX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Resume/annotations/search shipped; formal journey measurement pending Phase 20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AI, SEARCH, ADMIN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Explained recommendations, plans, semantic search, managed classroom AI; answer mode pending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LIB, META, READ, EXT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Identity preservation, reversible write-back, citation export; importers/read API pending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BG-005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AI, LAN, CLIENT, ADMIN + CTRL-001..024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Tier system, payload preview, Privacy Center, student privacy isolation; at-rest encryption pending Phase 19</w:t>
            </w:r>
          </w:p>
        </w:tc>
      </w:tr>
    </w:tbl>
    <w:p>
      <w:pPr>
        <w:pStyle w:val="BodyText"/>
      </w:pPr>
      <w:r>
        <w:t xml:space="preserve">Conversely, every FR module names its goals (column 1 of §2), so no implemented capability lacks a business anchor.</w:t>
      </w:r>
    </w:p>
    <w:bookmarkEnd w:id="11"/>
    <w:bookmarkStart w:id="12" w:name="X335866562f8ec0b2d29cabb0f24e1e416eb62a8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NFR → Mechanism → Test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NFR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Budget/obligation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mechanism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Test layer / evidence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Cold start ≤ 3 s (P95, W-REF-01)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Deferred service start, skeleton shell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CI benchmark (trend) → Phase 20 acceptance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Trend-only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Catalogue load ≤ 2 s, 2,000 books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Read-model projection, virtualised 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gc-perf-2000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corpus benchmark → Phase 20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Trend-only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Metadata search ≤ 150 ms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In-memory read model + indexed queries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Query-replay benchmark → Phase 20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Trend-only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Full-text search ≤ 500 ms warm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FTS5 external-content index, BM25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Query-replay benchmark → Phase 20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Trend-only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Page turn ≤ 100 ms cached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PageRenderCache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Render-cache benchmark → Phase 20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Trend-only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3D shelf ≥ 60 FPS, 500 books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Virtualised Three.js scene, spine texture atlas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WebView frame timing on UHD 620 → Phase 20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Trend-only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AI gateway overhead ≤ 10 s metadata-only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Gateway instrumentation timestamps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Gateway-side elapsed minus provider round-trip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Trend-only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Annotation durability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Transactional annotation persistence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Fault-injection round-trip 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Passing (dev evidence)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Job recovery, no duplicate work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Idempotent background workers, job journal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Kill-and-restart fault injection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Passing (dev evidence)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Local-first availability/offline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On-device catalogue, sidecar, local AI path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Network-blocked integration 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Passing (dev evidence)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NFR-PROD-007/008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WCAG 2.2 AA keyboard/screen-reader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Icon + aria label per control, keyboard paths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Headless UI walkthroughs → Phase 21 audit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 verification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Data portability, no lock-in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Portable export bundle (catalogue + sidecar)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Export/import round-trip test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Passing (dev evidence)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Reversible destructive operations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Backup → diff → verify → restore pipeline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Write-back fault injection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Passing (dev evidence)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Signed builds, idempotent backed-up migrations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EF migrations (10, idempotent); signing at Phase 22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Migration tests; packaging pending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Partial — signing Planned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NFR-PROD-013/014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Audit trail; AI history/embedding erasure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AuditEvents</w:t>
            </w:r>
            <w:r>
              <w:rPr>
                <w:sz w:val="16"/>
              </w:rPr>
              <w:t xml:space="preserve">, scoped erasure services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Erasure-residue and audit 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Passing (dev evidence)</w:t>
            </w:r>
          </w:p>
        </w:tc>
      </w:tr>
    </w:tbl>
    <w:p>
      <w:pPr>
        <w:pStyle w:val="BodyText"/>
      </w:pPr>
      <w:r>
        <w:t xml:space="preserve">Rule of interpretation (from</w:t>
      </w:r>
      <w:r>
        <w:t xml:space="preserve"> </w:t>
      </w:r>
      <w:r>
        <w:rPr>
          <w:rStyle w:val="VerbatimChar"/>
        </w:rPr>
        <w:t xml:space="preserve">_context/reference-hardware.md</w:t>
      </w:r>
      <w:r>
        <w:t xml:space="preserve">): NFR-OGMA budgets are binding for release gates at MVP scale; all pre-Phase-20 measurements are trend-only and never asserted as acceptance evidence. Where an NFR-PROD default and an NFR-OGMA budget address the same attribute, NFR-OGMA binds at 2,000-book scale and NFR-PROD holds as the 50,000-item V1 target gated at Phase 20.</w:t>
      </w:r>
    </w:p>
    <w:bookmarkEnd w:id="12"/>
    <w:bookmarkStart w:id="13" w:name="X0c16f88e0906dfe91d11a1f29370efcce6f0c9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 Gap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#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Gap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Severity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Remediation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G-1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8 Planned FRs have no implementing code (FR-CAT-007, FR-READ-012, FR-AI-008, FR-EXT-001..003, FR-UX-003, FR-UX-006)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Major (release-scope)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Scheduled in the forward sprint plan, Sprints 2–6; not release blockers for the personal MVP except FR-UX-006 (owner decision pending)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G-2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All NFR-OGMA performance figures are trend-only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 acceptance on W-REF-01/M-REF-01 (story US-053)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G-3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LAN/CLIENT verification recorded on Windows only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macOS/Linux verification pass, retrospective action A-5, due 2026-08-07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G-4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Three stories had empty baseline traces in v2.0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Remediated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US-001, US-052, and US-057 now trace to controlled NFRs; validator evidence is retained in the Kaizen pack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G-5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SRS and governance counts diverged in v2.0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Remediated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Both now report 87 code/test evidence, 5 Partial, and 9 Planned</w:t>
            </w:r>
          </w:p>
        </w:tc>
      </w:tr>
    </w:tbl>
    <w:p>
      <w:pPr>
        <w:pStyle w:val="BodyText"/>
      </w:pPr>
      <w:r>
        <w:t xml:space="preserve">No orphan requirement or goal is asserted after registry validation. Coverage is 101/101 FRs at module/story level. Status coverage is 87 code/test evidence, 5 Partial, and 9 Planned; release-acceptance coverage is not inferred from those counts.</w:t>
      </w:r>
    </w:p>
    <w:bookmarkEnd w:id="13"/>
    <w:bookmarkStart w:id="14" w:name="Xa0c920b4d1424525a4133bcdf6ad4849112b7ad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Change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2026-07-06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First governance rollup at baseline v2.0; replaces group-only traceability noted as a v1.0 defect 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../audit-report.md</w:t>
            </w:r>
          </w:p>
        </w:tc>
      </w:tr>
    </w:tbl>
    <w:bookmarkEnd w:id="14"/>
    <w:bookmarkEnd w:id="15"/>
    <w:p>
      <w:r>
        <w:br w:type="page"/>
      </w:r>
    </w:p>
    <w:p>
      <w:pPr>
        <w:pStyle w:val="Heading1"/>
      </w:pPr>
      <w:r>
        <w:t>Kaizen refresh - 2026-09-10</w:t>
      </w:r>
    </w:p>
    <w:p>
      <w:r>
        <w:rPr>
          <w:b/>
        </w:rPr>
        <w:t xml:space="preserve">Refresh status: </w:t>
      </w:r>
      <w:r>
        <w:t>Applied local remediation and current-source updates. Visual/render/browser inspection was skipped at the requester's direction and is NOT ASSESSED.</w:t>
      </w:r>
    </w:p>
    <w:p>
      <w:r>
        <w:rPr>
          <w:b/>
        </w:rPr>
        <w:t xml:space="preserve">Source: </w:t>
      </w:r>
      <w:r>
        <w:t>docs/references/Ogma-Library_TraceabilityMatrix_v2.1_2026-08-13.docx; repository head at evidence capture: e2be72fb332e</w:t>
      </w:r>
    </w:p>
    <w:p>
      <w:pPr>
        <w:pStyle w:val="Heading2"/>
      </w:pPr>
      <w:r>
        <w:t>Current-source requirements, design, and test update</w:t>
      </w:r>
    </w:p>
    <w:p>
      <w:r>
        <w:t>Specify PDF containment, page-count/navigation behaviour, malformed-document handling, interrupted-load recovery, search failure, identity, and metadata boundaries.</w:t>
      </w:r>
    </w:p>
    <w:p>
      <w:r>
        <w:t>Specify reproducible build inputs, signing/notarisation, update/rollback, supported OS/runtime matrix, hashes, and release ownership.</w:t>
      </w:r>
    </w:p>
    <w:p>
      <w:r>
        <w:t>Use WCAG 2.2 test oracles for reader keyboard/focus/status/reflow/error-recovery requirements; automated tests do not close physical/platform gates.</w:t>
      </w:r>
    </w:p>
    <w:p>
      <w:pPr>
        <w:pStyle w:val="Heading2"/>
      </w:pPr>
      <w:r>
        <w:t>Design-system decision</w:t>
      </w:r>
    </w:p>
    <w:p>
      <w:r>
        <w:t>Preserve the source document's existing typography, spacing, colour, and table styles. No new primary typeface is introduced in this no-visual-QA cycle; no visual quality claim is made.</w:t>
      </w:r>
    </w:p>
    <w:p>
      <w:pPr>
        <w:pStyle w:val="Heading2"/>
      </w:pPr>
      <w:r>
        <w:t>Verification and release posture</w:t>
      </w:r>
    </w:p>
    <w:p>
      <w:r>
        <w:t>Current automated baseline: 42 architecture, 955 core, and 163 UI tests (1,160 total); shelf3d typecheck/build/performance baseline was green.</w:t>
      </w:r>
    </w:p>
    <w:p>
      <w:r>
        <w:t>Keep release, PDF containment, signing, platform/accessibility, and reviewer evidence open until directly observed.</w:t>
      </w:r>
    </w:p>
    <w:p>
      <w:pPr>
        <w:pStyle w:val="Heading2"/>
      </w:pPr>
      <w:r>
        <w:t>Operational control</w:t>
      </w:r>
    </w:p>
    <w:p>
      <w:r>
        <w:t>Do not promote on automated green tests alone; require artifact hashes, signing evidence, rollback evidence, and supported-runtime proof.</w:t>
      </w:r>
    </w:p>
    <w:p>
      <w:pPr>
        <w:pStyle w:val="Heading2"/>
      </w:pPr>
      <w:r>
        <w:t>Authoritative currentness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73"/>
        <w:gridCol w:w="3073"/>
        <w:gridCol w:w="3073"/>
        <w:gridCol w:w="3073"/>
        <w:gridCol w:w="3073"/>
      </w:tblGrid>
      <w:tr>
        <w:tc>
          <w:tcPr>
            <w:tcW w:type="dxa" w:w="3073"/>
          </w:tcPr>
          <w:p>
            <w:r>
              <w:t>ID</w:t>
            </w:r>
          </w:p>
        </w:tc>
        <w:tc>
          <w:tcPr>
            <w:tcW w:type="dxa" w:w="3073"/>
          </w:tcPr>
          <w:p>
            <w:r>
              <w:t>Source</w:t>
            </w:r>
          </w:p>
        </w:tc>
        <w:tc>
          <w:tcPr>
            <w:tcW w:type="dxa" w:w="3073"/>
          </w:tcPr>
          <w:p>
            <w:r>
              <w:t>Version/date</w:t>
            </w:r>
          </w:p>
        </w:tc>
        <w:tc>
          <w:tcPr>
            <w:tcW w:type="dxa" w:w="3073"/>
          </w:tcPr>
          <w:p>
            <w:r>
              <w:t>Primary URL</w:t>
            </w:r>
          </w:p>
        </w:tc>
        <w:tc>
          <w:tcPr>
            <w:tcW w:type="dxa" w:w="3073"/>
          </w:tcPr>
          <w:p>
            <w:r>
              <w:t>Adoption decision</w:t>
            </w:r>
          </w:p>
        </w:tc>
      </w:tr>
      <w:tr>
        <w:tc>
          <w:tcPr>
            <w:tcW w:type="dxa" w:w="3073"/>
          </w:tcPr>
          <w:p>
            <w:r>
              <w:t>DR-WCAG-22</w:t>
            </w:r>
          </w:p>
        </w:tc>
        <w:tc>
          <w:tcPr>
            <w:tcW w:type="dxa" w:w="3073"/>
          </w:tcPr>
          <w:p>
            <w:r>
              <w:t>WCAG 2.2</w:t>
            </w:r>
          </w:p>
        </w:tc>
        <w:tc>
          <w:tcPr>
            <w:tcW w:type="dxa" w:w="3073"/>
          </w:tcPr>
          <w:p>
            <w:r>
              <w:t>W3C Recommendation, 2024-12-12</w:t>
            </w:r>
          </w:p>
        </w:tc>
        <w:tc>
          <w:tcPr>
            <w:tcW w:type="dxa" w:w="3073"/>
          </w:tcPr>
          <w:p>
            <w:r>
              <w:t>https://www.w3.org/TR/WCAG22/</w:t>
            </w:r>
          </w:p>
        </w:tc>
        <w:tc>
          <w:tcPr>
            <w:tcW w:type="dxa" w:w="3073"/>
          </w:tcPr>
          <w:p>
            <w:r>
              <w:t>Retain; review 2026-10-10</w:t>
            </w:r>
          </w:p>
        </w:tc>
      </w:tr>
      <w:tr>
        <w:tc>
          <w:tcPr>
            <w:tcW w:type="dxa" w:w="3073"/>
          </w:tcPr>
          <w:p>
            <w:r>
              <w:t>DR-ASVS-5</w:t>
            </w:r>
          </w:p>
        </w:tc>
        <w:tc>
          <w:tcPr>
            <w:tcW w:type="dxa" w:w="3073"/>
          </w:tcPr>
          <w:p>
            <w:r>
              <w:t>OWASP ASVS</w:t>
            </w:r>
          </w:p>
        </w:tc>
        <w:tc>
          <w:tcPr>
            <w:tcW w:type="dxa" w:w="3073"/>
          </w:tcPr>
          <w:p>
            <w:r>
              <w:t>stable v5.0.0, 2025-05</w:t>
            </w:r>
          </w:p>
        </w:tc>
        <w:tc>
          <w:tcPr>
            <w:tcW w:type="dxa" w:w="3073"/>
          </w:tcPr>
          <w:p>
            <w:r>
              <w:t>https://github.com/OWASP/ASVS/releases</w:t>
            </w:r>
          </w:p>
        </w:tc>
        <w:tc>
          <w:tcPr>
            <w:tcW w:type="dxa" w:w="3073"/>
          </w:tcPr>
          <w:p>
            <w:r>
              <w:t>Retain stable release; review 2026-10-10</w:t>
            </w:r>
          </w:p>
        </w:tc>
      </w:tr>
      <w:tr>
        <w:tc>
          <w:tcPr>
            <w:tcW w:type="dxa" w:w="3073"/>
          </w:tcPr>
          <w:p>
            <w:r>
              <w:t>DR-SSDF-11</w:t>
            </w:r>
          </w:p>
        </w:tc>
        <w:tc>
          <w:tcPr>
            <w:tcW w:type="dxa" w:w="3073"/>
          </w:tcPr>
          <w:p>
            <w:r>
              <w:t>NIST SSDF</w:t>
            </w:r>
          </w:p>
        </w:tc>
        <w:tc>
          <w:tcPr>
            <w:tcW w:type="dxa" w:w="3073"/>
          </w:tcPr>
          <w:p>
            <w:r>
              <w:t>v1.1, 2022-02-03; updated 2022-11-29</w:t>
            </w:r>
          </w:p>
        </w:tc>
        <w:tc>
          <w:tcPr>
            <w:tcW w:type="dxa" w:w="3073"/>
          </w:tcPr>
          <w:p>
            <w:r>
              <w:t>https://www.nist.gov/publications/secure-software-development-framework-ssdf-version-11-recommendations-mitigating-risk</w:t>
            </w:r>
          </w:p>
        </w:tc>
        <w:tc>
          <w:tcPr>
            <w:tcW w:type="dxa" w:w="3073"/>
          </w:tcPr>
          <w:p>
            <w:r>
              <w:t>Retain; review 2027-09-10</w:t>
            </w:r>
          </w:p>
        </w:tc>
      </w:tr>
      <w:tr>
        <w:tc>
          <w:tcPr>
            <w:tcW w:type="dxa" w:w="3073"/>
          </w:tcPr>
          <w:p>
            <w:r>
              <w:t>DR-OPENAPI-311</w:t>
            </w:r>
          </w:p>
        </w:tc>
        <w:tc>
          <w:tcPr>
            <w:tcW w:type="dxa" w:w="3073"/>
          </w:tcPr>
          <w:p>
            <w:r>
              <w:t>OpenAPI</w:t>
            </w:r>
          </w:p>
        </w:tc>
        <w:tc>
          <w:tcPr>
            <w:tcW w:type="dxa" w:w="3073"/>
          </w:tcPr>
          <w:p>
            <w:r>
              <w:t>3.1.1, 2024-10-24; newer official entries exist</w:t>
            </w:r>
          </w:p>
        </w:tc>
        <w:tc>
          <w:tcPr>
            <w:tcW w:type="dxa" w:w="3073"/>
          </w:tcPr>
          <w:p>
            <w:r>
              <w:t>https://spec.openapis.org/oas/v3.1.1.html</w:t>
            </w:r>
          </w:p>
        </w:tc>
        <w:tc>
          <w:tcPr>
            <w:tcW w:type="dxa" w:w="3073"/>
          </w:tcPr>
          <w:p>
            <w:r>
              <w:t>Pin per project compatibility; review 2026-10-10</w:t>
            </w:r>
          </w:p>
        </w:tc>
      </w:tr>
      <w:tr>
        <w:tc>
          <w:tcPr>
            <w:tcW w:type="dxa" w:w="3073"/>
          </w:tcPr>
          <w:p>
            <w:r>
              <w:t>DR-PHP-SUPPORT</w:t>
            </w:r>
          </w:p>
        </w:tc>
        <w:tc>
          <w:tcPr>
            <w:tcW w:type="dxa" w:w="3073"/>
          </w:tcPr>
          <w:p>
            <w:r>
              <w:t>PHP supported versions</w:t>
            </w:r>
          </w:p>
        </w:tc>
        <w:tc>
          <w:tcPr>
            <w:tcW w:type="dxa" w:w="3073"/>
          </w:tcPr>
          <w:p>
            <w:r>
              <w:t>official support table accessed current page</w:t>
            </w:r>
          </w:p>
        </w:tc>
        <w:tc>
          <w:tcPr>
            <w:tcW w:type="dxa" w:w="3073"/>
          </w:tcPr>
          <w:p>
            <w:r>
              <w:t>https://www.php.net/supported-versions.php</w:t>
            </w:r>
          </w:p>
        </w:tc>
        <w:tc>
          <w:tcPr>
            <w:tcW w:type="dxa" w:w="3073"/>
          </w:tcPr>
          <w:p>
            <w:r>
              <w:t>Require supported branch; review 2026-10-10</w:t>
            </w:r>
          </w:p>
        </w:tc>
      </w:tr>
      <w:tr>
        <w:tc>
          <w:tcPr>
            <w:tcW w:type="dxa" w:w="3073"/>
          </w:tcPr>
          <w:p>
            <w:r>
              <w:t>DR-MYSQL-LTS</w:t>
            </w:r>
          </w:p>
        </w:tc>
        <w:tc>
          <w:tcPr>
            <w:tcW w:type="dxa" w:w="3073"/>
          </w:tcPr>
          <w:p>
            <w:r>
              <w:t>MySQL releases</w:t>
            </w:r>
          </w:p>
        </w:tc>
        <w:tc>
          <w:tcPr>
            <w:tcW w:type="dxa" w:w="3073"/>
          </w:tcPr>
          <w:p>
            <w:r>
              <w:t>8.4 LTS line</w:t>
            </w:r>
          </w:p>
        </w:tc>
        <w:tc>
          <w:tcPr>
            <w:tcW w:type="dxa" w:w="3073"/>
          </w:tcPr>
          <w:p>
            <w:r>
              <w:t>https://dev.mysql.com/doc/refman/8.4/en/mysql-releases.html</w:t>
            </w:r>
          </w:p>
        </w:tc>
        <w:tc>
          <w:tcPr>
            <w:tcW w:type="dxa" w:w="3073"/>
          </w:tcPr>
          <w:p>
            <w:r>
              <w:t>Candidate target only after rehearsal; review 2026-10-10</w:t>
            </w:r>
          </w:p>
        </w:tc>
      </w:tr>
      <w:tr>
        <w:tc>
          <w:tcPr>
            <w:tcW w:type="dxa" w:w="3073"/>
          </w:tcPr>
          <w:p>
            <w:r>
              <w:t>DR-MODEL</w:t>
            </w:r>
          </w:p>
        </w:tc>
        <w:tc>
          <w:tcPr>
            <w:tcW w:type="dxa" w:w="3073"/>
          </w:tcPr>
          <w:p>
            <w:r>
              <w:t>Official model releases</w:t>
            </w:r>
          </w:p>
        </w:tc>
        <w:tc>
          <w:tcPr>
            <w:tcW w:type="dxa" w:w="3073"/>
          </w:tcPr>
          <w:p>
            <w:r>
              <w:t>GPT-6 Astra and GPT-5.6 pages accessed 2026-09-10</w:t>
            </w:r>
          </w:p>
        </w:tc>
        <w:tc>
          <w:tcPr>
            <w:tcW w:type="dxa" w:w="3073"/>
          </w:tcPr>
          <w:p>
            <w:r>
              <w:t>https://openai.com/index/gpt-6-astra/</w:t>
            </w:r>
          </w:p>
        </w:tc>
        <w:tc>
          <w:tcPr>
            <w:tcW w:type="dxa" w:w="3073"/>
          </w:tcPr>
          <w:p>
            <w:r>
              <w:t>Retain pins; runtime/account catalogue NOT ASSESSED</w:t>
            </w:r>
          </w:p>
        </w:tc>
      </w:tr>
    </w:tbl>
    <w:p>
      <w:pPr>
        <w:pStyle w:val="Heading2"/>
      </w:pPr>
      <w:r>
        <w:t>Integrity limits</w:t>
      </w:r>
    </w:p>
    <w:p>
      <w:r>
        <w:t>Current official source pages were consulted on 2026-09-10; stale or ambiguous claims are not admitted as release proof.</w:t>
      </w:r>
    </w:p>
    <w:p>
      <w:r>
        <w:t>The local Codex model-policy check reports root-policy drift. No repair was applied; actual runtime/account model availability is NOT ASSESSED.</w:t>
      </w:r>
    </w:p>
    <w:p>
      <w:r>
        <w:t>Finance controls, live database evidence, legal/privacy approval, production artifact scans, reviewer sign-off, and other product-specific open gates remain open unless the evidence above explicitly closes them.</w:t>
      </w:r>
    </w:p>
    <w:p>
      <w:r>
        <w:t>This appendix updates requirements and design/test intent; it does not certify production readiness.</w:t>
      </w:r>
    </w:p>
    <w:sectPr>
      <w:headerReference w:type="default" r:id="rId9"/>
      <w:footerReference w:type="default" r:id="rId10"/>
      <w:footnotePr>
        <w:numRestart w:val="eachSect"/>
      </w:footnotePr>
      <w:pgSz w:orient="landscape" w:w="16838" w:h="11906"/>
      <w:pgMar w:bottom="850" w:left="737" w:right="737" w:top="85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REQUIREMENTS TRACEABILITY MATRIX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Traceability Matrix</dc:title>
  <dc:creator>Chwezi Core Systems</dc:creator>
  <cp:keywords>Ogma Library; local-first; requirements; desktop; controlled baseline</cp:keywords>
  <dcterms:created xsi:type="dcterms:W3CDTF">2026-08-13T13:27:37Z</dcterms:created>
  <dcterms:modified xsi:type="dcterms:W3CDTF">2026-08-13T13:27:37Z</dcterms:modified>
  <dc:subject>Kaizen refresh 2026-09-10; visual checks skipped</dc:subject>
  <dc:description>Version 2.1; Review baseline — not approved for production; regenerated 2026-08-13</dc:description>
  <cp:lastModifiedBy>Codex Kaizen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">
    <vt:lpwstr>Traceability Matrix (Governance Rollup)</vt:lpwstr>
  </property>
  <property fmtid="{D5CDD505-2E9C-101B-9397-08002B2CF9AE}" pid="3" name="phase">
    <vt:lpwstr>09</vt:lpwstr>
  </property>
</Properties>
</file>