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</w:pPr>
      <w:r>
        <w:rPr>
          <w:rFonts w:ascii="Spectral" w:hAnsi="Spectral"/>
          <w:b/>
          <w:color w:val="18313A"/>
          <w:sz w:val="52"/>
        </w:rPr>
        <w:t>Collection delay and cash timing</w:t>
      </w:r>
    </w:p>
    <w:p>
      <w:pPr>
        <w:spacing w:after="280"/>
      </w:pPr>
      <w:r>
        <w:rPr>
          <w:rFonts w:ascii="Atkinson Hyperlegible" w:hAnsi="Atkinson Hyperlegible"/>
          <w:color w:val="58676D"/>
          <w:sz w:val="24"/>
        </w:rPr>
        <w:t>Synthetic research note  /  Four-period operating cash bridge</w:t>
      </w:r>
    </w:p>
    <w:p>
      <w:pPr>
        <w:spacing w:after="400"/>
      </w:pPr>
      <w:r>
        <w:rPr>
          <w:b/>
          <w:color w:val="176B68"/>
        </w:rPr>
        <w:t>SYNTHETIC TEST DATA - internal output-format demonstration</w:t>
      </w:r>
    </w:p>
    <w:p>
      <w:pPr>
        <w:pStyle w:val="Heading1"/>
      </w:pPr>
      <w:r>
        <w:t>Finding</w:t>
      </w:r>
    </w:p>
    <w:p>
      <w:pPr/>
      <w:r>
        <w:t>With billings and cash costs held constant, longer collection delays deepen the temporary cash trough. In this artificial four-period example, the largest scenario gap is 20 SCU beyond the assumed 100 SCU buffer. The numbers demonstrate timing arithmetic only.</w:t>
      </w:r>
    </w:p>
    <w:p>
      <w:r>
        <w:t>The result is conditional on the input fixture. It does not establish a customer, market, revenue-recognition rule, financing source, accounting basis, tax treatment or rollout decision.</w:t>
      </w:r>
    </w:p>
    <w:p>
      <w:pPr>
        <w:pStyle w:val="Heading1"/>
      </w:pPr>
      <w:r>
        <w:t>Scenario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48"/>
        <w:gridCol w:w="1008"/>
        <w:gridCol w:w="1224"/>
        <w:gridCol w:w="864"/>
        <w:gridCol w:w="864"/>
        <w:gridCol w:w="1080"/>
      </w:tblGrid>
      <w:tr>
        <w:trPr>
          <w:tblHeader w:val="true"/>
        </w:trPr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Lag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Billings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Cash trough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Gap</w:t>
            </w:r>
          </w:p>
        </w:tc>
        <w:tc>
          <w:tcPr>
            <w:tcW w:type="dxa" w:w="1348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Ending AR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64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00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  <w:tc>
          <w:tcPr>
            <w:tcW w:type="dxa" w:w="86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86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08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64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400</w:t>
            </w:r>
          </w:p>
        </w:tc>
        <w:tc>
          <w:tcPr>
            <w:tcW w:type="dxa" w:w="122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-120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120</w:t>
            </w:r>
          </w:p>
        </w:tc>
        <w:tc>
          <w:tcPr>
            <w:tcW w:type="dxa" w:w="86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20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200</w:t>
            </w:r>
          </w:p>
        </w:tc>
      </w:tr>
    </w:tbl>
    <w:p>
      <w:pPr>
        <w:spacing w:before="60"/>
      </w:pPr>
      <w:r>
        <w:rPr>
          <w:i/>
          <w:sz w:val="16"/>
        </w:rPr>
        <w:t>1  SCU is a synthetic cash unit. Ending receivables equal total fixture billings less receipts within the four periods; this is not an accounting receivables balance.</w:t>
      </w:r>
    </w:p>
    <w:p>
      <w:pPr>
        <w:pStyle w:val="Heading1"/>
      </w:pPr>
      <w:r>
        <w:t>Buffer gap by collection delay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 descr="Three synthetic collection-delay cases show the gap beyond the assumed 100 SCU buffer: 0-period lag: 0 SCU; 1-period lag: 0 SCU; 2-period lag: 20 SC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-timing-g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Scenario comparison of unfunded gaps beyond the assumed buffer.</w:t>
      </w:r>
    </w:p>
    <w:p>
      <w:pPr>
        <w:pStyle w:val="Caption"/>
      </w:pPr>
      <w:r>
        <w:t>Source: P13-SYNTHETIC-CASH-TIMING-FIXTURE (synthetic fixture; 2026-09-27).</w:t>
      </w:r>
    </w:p>
    <w:p>
      <w:r>
        <w:br w:type="page"/>
      </w:r>
    </w:p>
    <w:p>
      <w:pPr>
        <w:pStyle w:val="Heading1"/>
      </w:pPr>
      <w:r>
        <w:t>Reperformance detail</w:t>
      </w:r>
    </w:p>
    <w:p>
      <w:r>
        <w:t>The next table is intentionally long enough to exercise row continuity and repeated headers across a page boundary. Every value traces to the one synthetic fixture; calculations are reproduced in the editable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"/>
        <w:gridCol w:w="1181"/>
        <w:gridCol w:w="1181"/>
        <w:gridCol w:w="1181"/>
        <w:gridCol w:w="1440"/>
      </w:tblGrid>
      <w:tr>
        <w:trPr>
          <w:tblHeader w:val="true"/>
        </w:trPr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Billings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Receipts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Cash costs</w:t>
            </w:r>
          </w:p>
        </w:tc>
        <w:tc>
          <w:tcPr>
            <w:tcW w:type="dxa" w:w="1572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Closing cash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80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120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160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-20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One-period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-60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2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-120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-80</w:t>
            </w:r>
          </w:p>
        </w:tc>
      </w:tr>
      <w:tr>
        <w:tc>
          <w:tcPr>
            <w:tcW w:type="dxa" w:w="2088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Two-period lag</w:t>
            </w:r>
          </w:p>
        </w:tc>
        <w:tc>
          <w:tcPr>
            <w:tcW w:type="dxa" w:w="792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</w:t>
            </w:r>
          </w:p>
        </w:tc>
        <w:tc>
          <w:tcPr>
            <w:tcW w:type="dxa" w:w="1181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60</w:t>
            </w:r>
          </w:p>
        </w:tc>
        <w:tc>
          <w:tcPr>
            <w:tcW w:type="dxa" w:w="1440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-40</w:t>
            </w:r>
          </w:p>
        </w:tc>
      </w:tr>
    </w:tbl>
    <w:p>
      <w:r>
        <w:rPr>
          <w:sz w:val="16"/>
        </w:rPr>
        <w:t>Source: synthetic fixture only. No source transaction, accounting period or report balance is represented.</w:t>
      </w:r>
    </w:p>
    <w:p>
      <w:pPr>
        <w:pStyle w:val="Heading1"/>
      </w:pPr>
      <w:r>
        <w:t>Inputs and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16"/>
        <w:gridCol w:w="5184"/>
      </w:tblGrid>
      <w:tr>
        <w:trPr>
          <w:tblHeader w:val="true"/>
        </w:trPr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144"/>
            <w:shd w:fill="18313A"/>
            <w:vAlign w:val="center"/>
          </w:tcPr>
          <w:p>
            <w:r>
              <w:rPr>
                <w:rFonts w:ascii="Atkinson Hyperlegible" w:hAnsi="Atkinson Hyperlegible"/>
                <w:b/>
                <w:color w:val="FFFFFF"/>
                <w:sz w:val="16"/>
              </w:rPr>
              <w:t>Interpretation / limit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Billings / cash costs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100 / 60 SCU per period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Artificial inputs; held constant across all scenarios.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Opening cash / buffer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0 / 100 SCU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The buffer is assumed; it is not committed funding.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Horizon / collection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4 periods / 100%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Simplifying test assumptions; credit risk is not modelled.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Reporting framework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Not selected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entity-specific financial statements are produced.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Revenue / tax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NOT ASSESSED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recognition, tax rate or statutory treatment is included.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Source / date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P13-SYNTHETIC-CASH-TIMING-FIXTURE / 2026-09-27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Synthetic fixture; date is not an effective date for law or policy.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Reconciliation / approval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Arithmetic only / none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No subledger, control account, report, Controller or tax sign-off was supplied.</w:t>
            </w:r>
          </w:p>
        </w:tc>
      </w:tr>
      <w:tr>
        <w:tc>
          <w:tcPr>
            <w:tcW w:type="dxa" w:w="194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Translation / portability</w:t>
            </w:r>
          </w:p>
        </w:tc>
        <w:tc>
          <w:tcPr>
            <w:tcW w:type="dxa" w:w="2016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French sample / local PDF</w:t>
            </w:r>
          </w:p>
        </w:tc>
        <w:tc>
          <w:tcPr>
            <w:tcW w:type="dxa" w:w="5184"/>
            <w:vAlign w:val="center"/>
            <w:shd w:fill="F7F5F0"/>
          </w:tcPr>
          <w:p>
            <w:pPr>
              <w:spacing w:before="40" w:after="40"/>
            </w:pPr>
            <w:r>
              <w:rPr>
                <w:rFonts w:ascii="Atkinson Hyperlegible" w:hAnsi="Atkinson Hyperlegible"/>
                <w:color w:val="18313A"/>
                <w:sz w:val="15"/>
              </w:rPr>
              <w:t>Translation review, font embedding and recipient-machine proof remain NOT ASSESSED.</w:t>
            </w:r>
          </w:p>
        </w:tc>
      </w:tr>
    </w:tbl>
    <w:p>
      <w:pPr>
        <w:pStyle w:val="Heading1"/>
      </w:pPr>
      <w:r>
        <w:t>Bilingual disclosure sample</w:t>
      </w:r>
    </w:p>
    <w:p>
      <w:r>
        <w:t>Illustrative scenario only; these figures do not describe a customer or forecast.</w:t>
      </w:r>
    </w:p>
    <w:p>
      <w:r>
        <w:t>Scénario illustratif uniquement ; ces chiffres ne décrivent pas un client ni une prévision. (French layout sample; translation not reviewed.)</w:t>
      </w:r>
    </w:p>
    <w:p>
      <w:pPr>
        <w:pStyle w:val="Heading1"/>
      </w:pPr>
      <w:r>
        <w:t>Countercase and next evidence</w:t>
      </w:r>
    </w:p>
    <w:p>
      <w:r>
        <w:t>A longer delay matters only if the inputs and decision horizon are representative. The same gap can disappear with opening liquidity, lower costs, partial collections or a different horizon. None of those alternatives was tested here.</w:t>
      </w:r>
    </w:p>
    <w:p>
      <w:r>
        <w:t>Before a real decision, obtain an approved transaction and reporting scope, trace source-event timing, confirm available funding, and have the accountable finance reviewer reperform the calculation. Do not convert this example into a forecast or funding recommendation.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tkinson Hyperlegible" w:hAnsi="Atkinson Hyperlegible"/>
        <w:color w:val="58676D"/>
        <w:sz w:val="14"/>
      </w:rPr>
      <w:t xml:space="preserve">INTERNAL DEMONSTRATION  •  NOT CLIENT MATERIAL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tkinson Hyperlegible" w:hAnsi="Atkinson Hyperlegible"/>
        <w:color w:val="58676D"/>
      </w:rPr>
      <w:t>CHWEZI  /  SYNTHETIC FORMAT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tkinson Hyperlegible" w:hAnsi="Atkinson Hyperlegible"/>
      <w:color w:val="18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tkinson Hyperlegible" w:hAnsi="Atkinson Hyperlegible"/>
      <w:color w:val="58676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pectral" w:hAnsi="Spectral"/>
      <w:b/>
      <w:bCs/>
      <w:color w:val="176B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tkinson Hyperlegible" w:hAnsi="Atkinson Hyperlegible"/>
      <w:b/>
      <w:bCs/>
      <w:color w:val="18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pectral" w:hAnsi="Spectral"/>
      <w:b/>
      <w:color w:val="1831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tkinson Hyperlegible" w:hAnsi="Atkinson Hyperlegible"/>
      <w:color w:val="18313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tkinson Hyperlegible" w:hAnsi="Atkinson Hyperlegible"/>
      <w:color w:val="18313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tkinson Hyperlegible" w:hAnsi="Atkinson Hyperlegible"/>
      <w:color w:val="18313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tkinson Hyperlegible" w:hAnsi="Atkinson Hyperlegible"/>
      <w:b/>
      <w:bCs/>
      <w:color w:val="5867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