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80" w:after="160"/>
        <w:rPr/>
      </w:pPr>
      <w:r>
        <w:rPr>
          <w:rFonts w:ascii="Spectral" w:hAnsi="Spectral"/>
          <w:b/>
          <w:color w:val="18313A"/>
          <w:sz w:val="52"/>
        </w:rPr>
        <w:t>Proposal: keep the output test</w:t>
      </w:r>
    </w:p>
    <w:p>
      <w:pPr>
        <w:pStyle w:val="Normal"/>
        <w:spacing w:before="0" w:after="280"/>
        <w:rPr/>
      </w:pPr>
      <w:r>
        <w:rPr>
          <w:color w:val="58676D"/>
          <w:sz w:val="24"/>
        </w:rPr>
        <w:t>Internal decision brief  /  No fee, client or delivery commitment</w:t>
      </w:r>
    </w:p>
    <w:p>
      <w:pPr>
        <w:pStyle w:val="Normal"/>
        <w:spacing w:before="0" w:after="400"/>
        <w:rPr/>
      </w:pPr>
      <w:r>
        <w:rPr>
          <w:b/>
          <w:color w:val="176B68"/>
        </w:rPr>
        <w:t>SYNTHETIC TEST DATA - internal output-format demonstration</w:t>
      </w:r>
    </w:p>
    <w:p>
      <w:pPr>
        <w:pStyle w:val="Heading1"/>
        <w:rPr/>
      </w:pPr>
      <w:r>
        <w:rPr/>
        <w:t>Decision requested</w:t>
      </w:r>
    </w:p>
    <w:p>
      <w:pPr>
        <w:pStyle w:val="Normal"/>
        <w:rPr/>
      </w:pPr>
      <w:r>
        <w:rPr/>
        <w:t>Keep this pack as a synthetic, local production test while domain and recipient review gates remain open. It is not a client deliverable or a request to publish or spend.</w:t>
      </w:r>
    </w:p>
    <w:p>
      <w:pPr>
        <w:pStyle w:val="Heading1"/>
        <w:rPr/>
      </w:pPr>
      <w:r>
        <w:rPr/>
        <w:t>Why this test</w:t>
      </w:r>
    </w:p>
    <w:p>
      <w:pPr>
        <w:pStyle w:val="Normal"/>
        <w:rPr/>
      </w:pPr>
      <w:r>
        <w:rPr/>
        <w:t>The same limited collection-timing example is carried into four editable formats. That makes it possible to check whether figures, caveats and table structure survive document, workbook, slide and PDF production.</w:t>
      </w:r>
    </w:p>
    <w:p>
      <w:pPr>
        <w:pStyle w:val="Heading1"/>
        <w:rPr/>
      </w:pPr>
      <w:r>
        <w:rPr/>
        <w:t>What the pack demonstrates</w:t>
      </w:r>
    </w:p>
    <w:tbl>
      <w:tblPr>
        <w:tblStyle w:val="TableGrid"/>
        <w:tblW w:w="914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159"/>
        <w:gridCol w:w="3816"/>
        <w:gridCol w:w="3169"/>
      </w:tblGrid>
      <w:tr>
        <w:trPr>
          <w:tblHeader w:val="true"/>
        </w:trPr>
        <w:tc>
          <w:tcPr>
            <w:tcW w:w="2159" w:type="dxa"/>
            <w:tcBorders/>
            <w:shd w:fill="18313A"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color w:val="FFFFFF"/>
                <w:kern w:val="0"/>
                <w:sz w:val="16"/>
                <w:szCs w:val="22"/>
                <w:lang w:val="en-US" w:eastAsia="en-US" w:bidi="ar-SA"/>
              </w:rPr>
              <w:t>Output</w:t>
            </w:r>
          </w:p>
        </w:tc>
        <w:tc>
          <w:tcPr>
            <w:tcW w:w="3816" w:type="dxa"/>
            <w:tcBorders/>
            <w:shd w:fill="18313A"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color w:val="FFFFFF"/>
                <w:kern w:val="0"/>
                <w:sz w:val="16"/>
                <w:szCs w:val="22"/>
                <w:lang w:val="en-US" w:eastAsia="en-US" w:bidi="ar-SA"/>
              </w:rPr>
              <w:t>Test performed</w:t>
            </w:r>
          </w:p>
        </w:tc>
        <w:tc>
          <w:tcPr>
            <w:tcW w:w="3169" w:type="dxa"/>
            <w:tcBorders/>
            <w:shd w:fill="18313A"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color w:val="FFFFFF"/>
                <w:kern w:val="0"/>
                <w:sz w:val="16"/>
                <w:szCs w:val="22"/>
                <w:lang w:val="en-US" w:eastAsia="en-US" w:bidi="ar-SA"/>
              </w:rPr>
              <w:t>Limit</w:t>
            </w:r>
          </w:p>
        </w:tc>
      </w:tr>
      <w:tr>
        <w:trPr/>
        <w:tc>
          <w:tcPr>
            <w:tcW w:w="215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color w:val="18313A"/>
                <w:kern w:val="0"/>
                <w:sz w:val="15"/>
                <w:szCs w:val="22"/>
                <w:lang w:val="en-US" w:eastAsia="en-US" w:bidi="ar-SA"/>
              </w:rPr>
              <w:t>Research report DOCX/PDF</w:t>
            </w:r>
          </w:p>
        </w:tc>
        <w:tc>
          <w:tcPr>
            <w:tcW w:w="381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color w:val="18313A"/>
                <w:kern w:val="0"/>
                <w:sz w:val="15"/>
                <w:szCs w:val="22"/>
                <w:lang w:val="en-US" w:eastAsia="en-US" w:bidi="ar-SA"/>
              </w:rPr>
              <w:t>Source note, conclusion limits, chart, long repeated-header table and bilingual sample.</w:t>
            </w:r>
          </w:p>
        </w:tc>
        <w:tc>
          <w:tcPr>
            <w:tcW w:w="316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color w:val="18313A"/>
                <w:kern w:val="0"/>
                <w:sz w:val="15"/>
                <w:szCs w:val="22"/>
                <w:lang w:val="en-US" w:eastAsia="en-US" w:bidi="ar-SA"/>
              </w:rPr>
              <w:t>No external research or human translation review.</w:t>
            </w:r>
          </w:p>
        </w:tc>
      </w:tr>
      <w:tr>
        <w:trPr/>
        <w:tc>
          <w:tcPr>
            <w:tcW w:w="2159" w:type="dxa"/>
            <w:tcBorders/>
            <w:shd w:fill="F7F5F0" w:val="clear"/>
            <w:vAlign w:val="center"/>
          </w:tcPr>
          <w:p>
            <w:pPr>
              <w:pStyle w:val="Normal"/>
              <w:widowControl/>
              <w:spacing w:before="40" w:after="40"/>
              <w:jc w:val="start"/>
              <w:rPr>
                <w:rFonts w:eastAsia="ＭＳ 明朝" w:cs=""/>
                <w:kern w:val="0"/>
                <w:szCs w:val="22"/>
                <w:lang w:val="en-US" w:eastAsia="en-US" w:bidi="ar-SA"/>
              </w:rPr>
            </w:pPr>
            <w:r>
              <w:rPr>
                <w:rFonts w:eastAsia="ＭＳ 明朝" w:cs=""/>
                <w:color w:val="18313A"/>
                <w:kern w:val="0"/>
                <w:sz w:val="15"/>
                <w:szCs w:val="22"/>
                <w:lang w:val="en-US" w:eastAsia="en-US" w:bidi="ar-SA"/>
              </w:rPr>
              <w:t>Cash timing XLSX/PDF</w:t>
            </w:r>
          </w:p>
        </w:tc>
        <w:tc>
          <w:tcPr>
            <w:tcW w:w="3816" w:type="dxa"/>
            <w:tcBorders/>
            <w:shd w:fill="F7F5F0" w:val="clear"/>
            <w:vAlign w:val="center"/>
          </w:tcPr>
          <w:p>
            <w:pPr>
              <w:pStyle w:val="Normal"/>
              <w:widowControl/>
              <w:spacing w:before="40" w:after="40"/>
              <w:jc w:val="start"/>
              <w:rPr>
                <w:rFonts w:eastAsia="ＭＳ 明朝" w:cs=""/>
                <w:kern w:val="0"/>
                <w:szCs w:val="22"/>
                <w:lang w:val="en-US" w:eastAsia="en-US" w:bidi="ar-SA"/>
              </w:rPr>
            </w:pPr>
            <w:r>
              <w:rPr>
                <w:rFonts w:eastAsia="ＭＳ 明朝" w:cs=""/>
                <w:color w:val="18313A"/>
                <w:kern w:val="0"/>
                <w:sz w:val="15"/>
                <w:szCs w:val="22"/>
                <w:lang w:val="en-US" w:eastAsia="en-US" w:bidi="ar-SA"/>
              </w:rPr>
              <w:t>Editable assumptions, linked formulas, summary, chart and print view.</w:t>
            </w:r>
          </w:p>
        </w:tc>
        <w:tc>
          <w:tcPr>
            <w:tcW w:w="3169" w:type="dxa"/>
            <w:tcBorders/>
            <w:shd w:fill="F7F5F0" w:val="clear"/>
            <w:vAlign w:val="center"/>
          </w:tcPr>
          <w:p>
            <w:pPr>
              <w:pStyle w:val="Normal"/>
              <w:widowControl/>
              <w:spacing w:before="40" w:after="40"/>
              <w:jc w:val="start"/>
              <w:rPr>
                <w:rFonts w:eastAsia="ＭＳ 明朝" w:cs=""/>
                <w:kern w:val="0"/>
                <w:szCs w:val="22"/>
                <w:lang w:val="en-US" w:eastAsia="en-US" w:bidi="ar-SA"/>
              </w:rPr>
            </w:pPr>
            <w:r>
              <w:rPr>
                <w:rFonts w:eastAsia="ＭＳ 明朝" w:cs=""/>
                <w:color w:val="18313A"/>
                <w:kern w:val="0"/>
                <w:sz w:val="15"/>
                <w:szCs w:val="22"/>
                <w:lang w:val="en-US" w:eastAsia="en-US" w:bidi="ar-SA"/>
              </w:rPr>
              <w:t>Not a business plan, forecast or financial statement.</w:t>
            </w:r>
          </w:p>
        </w:tc>
      </w:tr>
      <w:tr>
        <w:trPr/>
        <w:tc>
          <w:tcPr>
            <w:tcW w:w="215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color w:val="18313A"/>
                <w:kern w:val="0"/>
                <w:sz w:val="15"/>
                <w:szCs w:val="22"/>
                <w:lang w:val="en-US" w:eastAsia="en-US" w:bidi="ar-SA"/>
              </w:rPr>
              <w:t>Executive PPTX/PDF</w:t>
            </w:r>
          </w:p>
        </w:tc>
        <w:tc>
          <w:tcPr>
            <w:tcW w:w="3816"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color w:val="18313A"/>
                <w:kern w:val="0"/>
                <w:sz w:val="15"/>
                <w:szCs w:val="22"/>
                <w:lang w:val="en-US" w:eastAsia="en-US" w:bidi="ar-SA"/>
              </w:rPr>
              <w:t>Conclusion titles, comparison chart, action boundaries and slide export.</w:t>
            </w:r>
          </w:p>
        </w:tc>
        <w:tc>
          <w:tcPr>
            <w:tcW w:w="3169" w:type="dxa"/>
            <w:tcBorders/>
            <w:vAlign w:val="center"/>
          </w:tcPr>
          <w:p>
            <w:pPr>
              <w:pStyle w:val="Normal"/>
              <w:widowControl/>
              <w:spacing w:before="40" w:after="40"/>
              <w:jc w:val="start"/>
              <w:rPr>
                <w:rFonts w:eastAsia="ＭＳ 明朝" w:cs=""/>
                <w:kern w:val="0"/>
                <w:szCs w:val="22"/>
                <w:lang w:val="en-US" w:eastAsia="en-US" w:bidi="ar-SA"/>
              </w:rPr>
            </w:pPr>
            <w:r>
              <w:rPr>
                <w:rFonts w:eastAsia="ＭＳ 明朝" w:cs=""/>
                <w:color w:val="18313A"/>
                <w:kern w:val="0"/>
                <w:sz w:val="15"/>
                <w:szCs w:val="22"/>
                <w:lang w:val="en-US" w:eastAsia="en-US" w:bidi="ar-SA"/>
              </w:rPr>
              <w:t>No real sponsor brief or live-room test.</w:t>
            </w:r>
          </w:p>
        </w:tc>
      </w:tr>
    </w:tbl>
    <w:p>
      <w:pPr>
        <w:pStyle w:val="Heading1"/>
        <w:rPr/>
      </w:pPr>
      <w:r>
        <w:rPr/>
        <w:t>Evidence and objection</w:t>
      </w:r>
    </w:p>
    <w:p>
      <w:pPr>
        <w:pStyle w:val="Normal"/>
        <w:rPr/>
      </w:pPr>
      <w:r>
        <w:rPr/>
        <w:t>The synthetic calculation is independently reproducible from the four-period input table; billings and costs remain fixed across scenarios. A reasonable objection is that good local rendering does not prove compatibility with every customer's Office version, printer, font set or accessibility workflow. That objection is valid, so this output is evidence of one local toolchain only.</w:t>
      </w:r>
    </w:p>
    <w:p>
      <w:pPr>
        <w:pStyle w:val="Heading1"/>
        <w:rPr/>
      </w:pPr>
      <w:r>
        <w:rPr/>
        <w:t>Boundaries</w:t>
      </w:r>
    </w:p>
    <w:p>
      <w:pPr>
        <w:pStyle w:val="ListBullet"/>
        <w:numPr>
          <w:ilvl w:val="0"/>
          <w:numId w:val="1"/>
        </w:numPr>
        <w:rPr/>
      </w:pPr>
      <w:r>
        <w:rPr/>
        <w:t>No customer, product, geography or market denominator is established.</w:t>
      </w:r>
    </w:p>
    <w:p>
      <w:pPr>
        <w:pStyle w:val="ListBullet"/>
        <w:numPr>
          <w:ilvl w:val="0"/>
          <w:numId w:val="1"/>
        </w:numPr>
        <w:rPr/>
      </w:pPr>
      <w:r>
        <w:rPr/>
        <w:t>Revenue recognition, reporting framework, tax and statutory treatment are NOT_ASSESSED.</w:t>
      </w:r>
    </w:p>
    <w:p>
      <w:pPr>
        <w:pStyle w:val="ListBullet"/>
        <w:numPr>
          <w:ilvl w:val="0"/>
          <w:numId w:val="1"/>
        </w:numPr>
        <w:rPr/>
      </w:pPr>
      <w:r>
        <w:rPr/>
        <w:t>No actual financing source, approved threshold, transaction or management decision is represented.</w:t>
      </w:r>
    </w:p>
    <w:p>
      <w:pPr>
        <w:pStyle w:val="Heading1"/>
        <w:rPr/>
      </w:pPr>
      <w:r>
        <w:rPr/>
        <w:t>Recommended next step</w:t>
      </w:r>
    </w:p>
    <w:p>
      <w:pPr>
        <w:pStyle w:val="Normal"/>
        <w:widowControl/>
        <w:bidi w:val="0"/>
        <w:spacing w:lineRule="auto" w:line="269" w:before="0" w:after="120"/>
        <w:jc w:val="start"/>
        <w:rPr/>
      </w:pPr>
      <w:r>
        <w:rPr/>
        <w:t>Retain the generated source files and render manifest for internal format testing. Obtain a named language reviewer, domain owner and recipient-application check before any client-facing use. No budget or timeline is proposed because no sponsor scope was supplied.</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238" w:right="1238" w:gutter="0" w:header="720" w:top="1037" w:footer="720" w:bottom="103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tkinson Hyperlegible">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Spectral">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color w:val="58676D"/>
        <w:sz w:val="14"/>
      </w:rPr>
      <w:t xml:space="preserve">INTERNAL DEMONSTRATION  •  NOT CLIENT MATERIAL     |     </w:t>
    </w: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color w:val="58676D"/>
        <w:sz w:val="14"/>
      </w:rPr>
      <w:t xml:space="preserve">INTERNAL DEMONSTRATION  •  NOT CLIENT MATERIAL     |     </w:t>
    </w: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ption"/>
      <w:spacing w:lineRule="auto" w:line="240" w:before="0" w:after="120"/>
      <w:rPr/>
    </w:pPr>
    <w:r>
      <w:rPr>
        <w:color w:val="58676D"/>
      </w:rPr>
      <w:t>CHWEZI  /  SYNTHETIC FORMAT REVIEW</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ption"/>
      <w:spacing w:lineRule="auto" w:line="240" w:before="0" w:after="120"/>
      <w:rPr/>
    </w:pPr>
    <w:r>
      <w:rPr>
        <w:color w:val="58676D"/>
      </w:rPr>
      <w:t>CHWEZI  /  SYNTHETIC FORMAT REVIEW</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9" w:before="0" w:after="120"/>
      <w:jc w:val="start"/>
    </w:pPr>
    <w:rPr>
      <w:rFonts w:ascii="Atkinson Hyperlegible" w:hAnsi="Atkinson Hyperlegible" w:eastAsia="ＭＳ 明朝" w:cs=""/>
      <w:color w:val="18313A"/>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76B68"/>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8313A"/>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rFonts w:ascii="Atkinson Hyperlegible" w:hAnsi="Atkinson Hyperlegible"/>
      <w:b/>
      <w:bCs/>
      <w:color w:val="58676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Atkinson Hyperlegible" w:hAnsi="Atkinson Hyperlegible"/>
      <w:color w:val="58676D"/>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8313A"/>
      <w:spacing w:val="5"/>
      <w:kern w:val="2"/>
      <w:sz w:val="54"/>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rFonts w:ascii="Atkinson Hyperlegible" w:hAnsi="Atkinson Hyperlegible"/>
      <w:color w:val="18313A"/>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rFonts w:ascii="Atkinson Hyperlegible" w:hAnsi="Atkinson Hyperlegible"/>
      <w:color w:val="18313A"/>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rFonts w:ascii="Atkinson Hyperlegible" w:hAnsi="Atkinson Hyperlegible"/>
      <w:color w:val="18313A"/>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LibreOffice/26.2.4.2$Windows_X86_64 LibreOffice_project/0229ac93fcf0d7cbc6376066c6f35021cef002dc</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