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Xf447c32359867ecf79261eaa23acf4dc34e4494"/>
    <w:p>
      <w:pPr>
        <w:pStyle w:val="Heading1"/>
      </w:pPr>
      <w:r>
        <w:t xml:space="preserve">Technical Approach and Methodology (synthetic sample)</w:t>
      </w:r>
    </w:p>
    <w:p>
      <w:pPr>
        <w:pStyle w:val="FirstParagraph"/>
      </w:pPr>
      <w:r>
        <w:t xml:space="preserve">This is a fictional sample built for M10-13-T02 evidence. It is not a client deliverable.</w:t>
      </w:r>
    </w:p>
    <w:bookmarkStart w:id="12" w:name="solution-context"/>
    <w:p>
      <w:pPr>
        <w:pStyle w:val="Heading2"/>
      </w:pPr>
      <w:r>
        <w:t xml:space="preserve">Solution context</w:t>
      </w:r>
    </w:p>
    <w:p>
      <w:pPr>
        <w:pStyle w:val="FirstParagraph"/>
      </w:pPr>
      <w:r>
        <w:t xml:space="preserve">The proposed system sits inside the client organisation and exchanges data with three external services.</w:t>
      </w:r>
    </w:p>
    <w:p>
      <w:pPr>
        <w:pStyle w:val="CaptionedFigure"/>
      </w:pPr>
      <w:r>
        <w:drawing>
          <wp:inline>
            <wp:extent cx="5334000" cy="870986"/>
            <wp:effectExtent b="0" l="0" r="0" t="0"/>
            <wp:docPr descr="Solution context: finance staff and district officers use the proposed integrated financial management system, which submits invoices to URA EFRIS, receives collections through a mobile-money gateway and verifies payee identity against NIRA." title="" id="10" name="Picture"/>
            <a:graphic>
              <a:graphicData uri="http://schemas.openxmlformats.org/drawingml/2006/picture">
                <pic:pic>
                  <pic:nvPicPr>
                    <pic:cNvPr descr="_figures/Sample_Technical_Proposal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0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Proposed solution context</w:t>
      </w:r>
    </w:p>
    <w:bookmarkEnd w:id="12"/>
    <w:bookmarkStart w:id="16" w:name="delivery-workflow"/>
    <w:p>
      <w:pPr>
        <w:pStyle w:val="Heading2"/>
      </w:pPr>
      <w:r>
        <w:t xml:space="preserve">Delivery workflow</w:t>
      </w:r>
    </w:p>
    <w:p>
      <w:pPr>
        <w:pStyle w:val="FirstParagraph"/>
      </w:pPr>
      <w:r>
        <w:t xml:space="preserve">Delivery follows the ERP sequence in the methodology skill: each phase closes with a finance-owner approval gate before the next begins.</w:t>
      </w:r>
    </w:p>
    <w:p>
      <w:pPr>
        <w:pStyle w:val="CaptionedFigure"/>
      </w:pPr>
      <w:r>
        <w:drawing>
          <wp:inline>
            <wp:extent cx="5334000" cy="561197"/>
            <wp:effectExtent b="0" l="0" r="0" t="0"/>
            <wp:docPr descr="Delivery workflow: discovery, posting-rule design, configured prototype, migrated-data rehearsal, user acceptance testing, cutover and first close, each separated by a finance-owner approval gate." title="" id="14" name="Picture"/>
            <a:graphic>
              <a:graphicData uri="http://schemas.openxmlformats.org/drawingml/2006/picture">
                <pic:pic>
                  <pic:nvPicPr>
                    <pic:cNvPr descr="_figures/Sample_Technical_Proposal-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Delivery workflow and approval gates</w:t>
      </w:r>
    </w:p>
    <w:p>
      <w:pPr>
        <w:pStyle w:val="BodyText"/>
      </w:pPr>
      <w:r>
        <w:t xml:space="preserve">Figure numbering, captions and alt text are applied at build time.</w:t>
      </w:r>
    </w:p>
    <w:bookmarkEnd w:id="16"/>
    <w:bookmarkEnd w:id="17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2026-09-29T01:19:05Z</dcterms:created>
  <dcterms:modified xsi:type="dcterms:W3CDTF">2026-09-29T01:19:05Z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