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X0f400131db0bb0aafbda5cdcdef757458be111c"/>
    <w:p>
      <w:pPr>
        <w:pStyle w:val="Heading1"/>
      </w:pPr>
      <w:r>
        <w:t xml:space="preserve">ADR-0001: Service-oriented PHP 8.3 with PHP-DI over a full-stack framework</w:t>
      </w:r>
    </w:p>
    <w:p>
      <w:pPr>
        <w:pStyle w:val="Compact"/>
        <w:numPr>
          <w:ilvl w:val="0"/>
          <w:numId w:val="1001"/>
        </w:numPr>
      </w:pPr>
      <w:r>
        <w:t xml:space="preserve">Status: accepted</w:t>
      </w:r>
    </w:p>
    <w:p>
      <w:pPr>
        <w:pStyle w:val="Compact"/>
        <w:numPr>
          <w:ilvl w:val="0"/>
          <w:numId w:val="1001"/>
        </w:numPr>
      </w:pPr>
      <w:r>
        <w:t xml:space="preserve">Decided on: 2026-06-28</w:t>
      </w:r>
    </w:p>
    <w:p>
      <w:pPr>
        <w:pStyle w:val="Compact"/>
        <w:numPr>
          <w:ilvl w:val="0"/>
          <w:numId w:val="1001"/>
        </w:numPr>
      </w:pPr>
      <w:r>
        <w:t xml:space="preserve">Deciders: Peter Bamuhigire (Lead Consultant, Chwezi Core)</w:t>
      </w:r>
    </w:p>
    <w:bookmarkStart w:id="9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Kraal Code is built as a service-oriented PHP application, not on a full-stack framework such as</w:t>
      </w:r>
      <w:r>
        <w:t xml:space="preserve"> </w:t>
      </w:r>
      <w:r>
        <w:t xml:space="preserve">Laravel. The codebase (</w:t>
      </w:r>
      <w:r>
        <w:rPr>
          <w:rStyle w:val="VerbatimChar"/>
        </w:rPr>
        <w:t xml:space="preserve">composer.json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evidence) is PHP 8.3.14 with</w:t>
      </w:r>
      <w:r>
        <w:t xml:space="preserve"> </w:t>
      </w:r>
      <w:r>
        <w:rPr>
          <w:rStyle w:val="VerbatimChar"/>
        </w:rPr>
        <w:t xml:space="preserve">strict_types</w:t>
      </w:r>
      <w:r>
        <w:t xml:space="preserve">,</w:t>
      </w:r>
      <w:r>
        <w:t xml:space="preserve"> </w:t>
      </w:r>
      <w:r>
        <w:t xml:space="preserve">PHP-DI for dependency injection, PSR-4 autoloading under</w:t>
      </w:r>
      <w:r>
        <w:t xml:space="preserve"> </w:t>
      </w:r>
      <w:r>
        <w:rPr>
          <w:rStyle w:val="VerbatimChar"/>
        </w:rPr>
        <w:t xml:space="preserve">KraalCode\</w:t>
      </w:r>
      <w:r>
        <w:t xml:space="preserve">, and PDO prepared</w:t>
      </w:r>
      <w:r>
        <w:t xml:space="preserve"> </w:t>
      </w:r>
      <w:r>
        <w:t xml:space="preserve">statements throughout. Earlier draft documentation mislabelled the stack as Laravel.</w:t>
      </w:r>
    </w:p>
    <w:bookmarkEnd w:id="9"/>
    <w:bookmarkStart w:id="10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Adopt and document the real stack: PHP 8.3 + PHP-DI service/repository architecture on MySQL 9.1,</w:t>
      </w:r>
      <w:r>
        <w:t xml:space="preserve"> </w:t>
      </w:r>
      <w:r>
        <w:t xml:space="preserve">with Firebase JWT, mPDF, PhpSpreadsheet, PHPMailer, and Argon2id hashing; quality tooling PHPUnit,</w:t>
      </w:r>
      <w:r>
        <w:t xml:space="preserve"> </w:t>
      </w:r>
      <w:r>
        <w:t xml:space="preserve">PHPStan, and PHP-CS-Fixer. The SRS, HLD, LLD, technical specification, and coding standards state</w:t>
      </w:r>
      <w:r>
        <w:t xml:space="preserve"> </w:t>
      </w:r>
      <w:r>
        <w:t xml:space="preserve">this architecture; "Laravel" is not canonised.</w:t>
      </w:r>
    </w:p>
    <w:bookmarkEnd w:id="10"/>
    <w:bookmarkStart w:id="11" w:name="consequences"/>
    <w:p>
      <w:pPr>
        <w:pStyle w:val="Heading2"/>
      </w:pPr>
      <w:r>
        <w:t xml:space="preserve">Consequences</w:t>
      </w:r>
    </w:p>
    <w:p>
      <w:pPr>
        <w:pStyle w:val="FirstParagraph"/>
      </w:pPr>
      <w:r>
        <w:t xml:space="preserve">The design and development artifacts are corrected to the real stack (a documentation</w:t>
      </w:r>
      <w:r>
        <w:t xml:space="preserve"> </w:t>
      </w:r>
      <w:r>
        <w:rPr>
          <w:rStyle w:val="VerbatimChar"/>
        </w:rPr>
        <w:t xml:space="preserve">[CODE-DEBT]</w:t>
      </w:r>
      <w:r>
        <w:t xml:space="preserve"> </w:t>
      </w:r>
      <w:r>
        <w:t xml:space="preserve">resolved). Constructor injection via PHP-DI is the standard composition mechanism;</w:t>
      </w:r>
      <w:r>
        <w:t xml:space="preserve"> </w:t>
      </w:r>
      <w:r>
        <w:t xml:space="preserve">no service location. This decision affects platform isolation requirement NFR-PLAT-002.</w:t>
      </w:r>
    </w:p>
    <w:bookmarkEnd w:id="11"/>
    <w:bookmarkEnd w:id="12"/>
    <w:bookmarkStart w:id="16" w:name="Xf6e6812f3b23637e903eb8010cd59ef129cb6b4"/>
    <w:p>
      <w:pPr>
        <w:pStyle w:val="Heading1"/>
      </w:pPr>
      <w:r>
        <w:t xml:space="preserve">ADR-0002: MySQL 9.1 InnoDB as the single relational store</w:t>
      </w:r>
    </w:p>
    <w:p>
      <w:pPr>
        <w:pStyle w:val="Compact"/>
        <w:numPr>
          <w:ilvl w:val="0"/>
          <w:numId w:val="1002"/>
        </w:numPr>
      </w:pPr>
      <w:r>
        <w:t xml:space="preserve">Status: accepted</w:t>
      </w:r>
    </w:p>
    <w:p>
      <w:pPr>
        <w:pStyle w:val="Compact"/>
        <w:numPr>
          <w:ilvl w:val="0"/>
          <w:numId w:val="1002"/>
        </w:numPr>
      </w:pPr>
      <w:r>
        <w:t xml:space="preserve">Decided on: 2026-06-28</w:t>
      </w:r>
    </w:p>
    <w:p>
      <w:pPr>
        <w:pStyle w:val="Compact"/>
        <w:numPr>
          <w:ilvl w:val="0"/>
          <w:numId w:val="1002"/>
        </w:numPr>
      </w:pPr>
      <w:r>
        <w:t xml:space="preserve">Deciders: Peter Bamuhigire (Lead Consultant, Chwezi Core)</w:t>
      </w:r>
    </w:p>
    <w:bookmarkStart w:id="13" w:name="context-1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Kraal Code requires ACID transactions for ledger integrity, row-level locking for concurrent</w:t>
      </w:r>
      <w:r>
        <w:t xml:space="preserve"> </w:t>
      </w:r>
      <w:r>
        <w:t xml:space="preserve">posting, and foreign-key enforcement across a 400+ table schema.</w:t>
      </w:r>
    </w:p>
    <w:bookmarkEnd w:id="13"/>
    <w:bookmarkStart w:id="14" w:name="decision-1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Use MySQL 9.1 with the InnoDB storage engine as the single relational store, UTF8MB4 character set,</w:t>
      </w:r>
      <w:r>
        <w:t xml:space="preserve"> </w:t>
      </w:r>
      <w:r>
        <w:t xml:space="preserve">and a surrogate</w:t>
      </w:r>
      <w:r>
        <w:t xml:space="preserve"> </w:t>
      </w:r>
      <w:r>
        <w:rPr>
          <w:rStyle w:val="VerbatimChar"/>
        </w:rPr>
        <w:t xml:space="preserve">PRIMARY KEY (id)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scoping on every operational table.</w:t>
      </w:r>
    </w:p>
    <w:bookmarkEnd w:id="14"/>
    <w:bookmarkStart w:id="15" w:name="consequences-1"/>
    <w:p>
      <w:pPr>
        <w:pStyle w:val="Heading2"/>
      </w:pPr>
      <w:r>
        <w:t xml:space="preserve">Consequences</w:t>
      </w:r>
    </w:p>
    <w:p>
      <w:pPr>
        <w:pStyle w:val="FirstParagraph"/>
      </w:pPr>
      <w:r>
        <w:t xml:space="preserve">Cross-module consistency (GL auto-posting, three-way match, reconciliation) relies on InnoDB</w:t>
      </w:r>
      <w:r>
        <w:t xml:space="preserve"> </w:t>
      </w:r>
      <w:r>
        <w:t xml:space="preserve">transactional guarantees. This decision affects NFR-PLAT-002.</w:t>
      </w:r>
    </w:p>
    <w:bookmarkEnd w:id="15"/>
    <w:bookmarkEnd w:id="16"/>
    <w:bookmarkStart w:id="20" w:name="X749983214761bfbd8087d273204ac954c0a5cca"/>
    <w:p>
      <w:pPr>
        <w:pStyle w:val="Heading1"/>
      </w:pPr>
      <w:r>
        <w:t xml:space="preserve">ADR-0003: Shared-database multi-tenancy with row-level tenant_id isolation</w:t>
      </w:r>
    </w:p>
    <w:p>
      <w:pPr>
        <w:pStyle w:val="Compact"/>
        <w:numPr>
          <w:ilvl w:val="0"/>
          <w:numId w:val="1003"/>
        </w:numPr>
      </w:pPr>
      <w:r>
        <w:t xml:space="preserve">Status: accepted</w:t>
      </w:r>
    </w:p>
    <w:p>
      <w:pPr>
        <w:pStyle w:val="Compact"/>
        <w:numPr>
          <w:ilvl w:val="0"/>
          <w:numId w:val="1003"/>
        </w:numPr>
      </w:pPr>
      <w:r>
        <w:t xml:space="preserve">Decided on: 2026-06-28</w:t>
      </w:r>
    </w:p>
    <w:p>
      <w:pPr>
        <w:pStyle w:val="Compact"/>
        <w:numPr>
          <w:ilvl w:val="0"/>
          <w:numId w:val="1003"/>
        </w:numPr>
      </w:pPr>
      <w:r>
        <w:t xml:space="preserve">Deciders: Peter Bamuhigire (Lead Consultant, Chwezi Core)</w:t>
      </w:r>
    </w:p>
    <w:bookmarkStart w:id="17" w:name="context-2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Kraal Code is a multi-tenant SaaS. Tenant data must be isolated without per-tenant database</w:t>
      </w:r>
      <w:r>
        <w:t xml:space="preserve"> </w:t>
      </w:r>
      <w:r>
        <w:t xml:space="preserve">sprawl. The code resolves tenant context from the authenticated session (</w:t>
      </w:r>
      <w:r>
        <w:rPr>
          <w:rStyle w:val="VerbatimChar"/>
        </w:rPr>
        <w:t xml:space="preserve">TenantContext</w:t>
      </w:r>
      <w:r>
        <w:t xml:space="preserve">), never</w:t>
      </w:r>
      <w:r>
        <w:t xml:space="preserve"> </w:t>
      </w:r>
      <w:r>
        <w:t xml:space="preserve">from a client-supplied value, and enforces it through</w:t>
      </w:r>
      <w:r>
        <w:t xml:space="preserve"> </w:t>
      </w:r>
      <w:r>
        <w:rPr>
          <w:rStyle w:val="VerbatimChar"/>
        </w:rPr>
        <w:t xml:space="preserve">EnsureTenantActive</w:t>
      </w:r>
      <w:r>
        <w:t xml:space="preserve">/</w:t>
      </w:r>
      <w:r>
        <w:rPr>
          <w:rStyle w:val="VerbatimChar"/>
        </w:rPr>
        <w:t xml:space="preserve">EnsureTenantSelected</w:t>
      </w:r>
      <w:r>
        <w:t xml:space="preserve"> </w:t>
      </w:r>
      <w:r>
        <w:t xml:space="preserve">middleware.</w:t>
      </w:r>
    </w:p>
    <w:bookmarkEnd w:id="17"/>
    <w:bookmarkStart w:id="18" w:name="decision-2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Adopt a shared-database, shared-schema model with a non-null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on every operational</w:t>
      </w:r>
      <w:r>
        <w:t xml:space="preserve"> </w:t>
      </w:r>
      <w:r>
        <w:t xml:space="preserve">table and application-layer enforcement of tenant scoping on every query, view, stored procedure,</w:t>
      </w:r>
      <w:r>
        <w:t xml:space="preserve"> </w:t>
      </w:r>
      <w:r>
        <w:t xml:space="preserve">and background job.</w:t>
      </w:r>
    </w:p>
    <w:bookmarkEnd w:id="18"/>
    <w:bookmarkStart w:id="19" w:name="consequences-2"/>
    <w:p>
      <w:pPr>
        <w:pStyle w:val="Heading2"/>
      </w:pPr>
      <w:r>
        <w:t xml:space="preserve">Consequences</w:t>
      </w:r>
    </w:p>
    <w:p>
      <w:pPr>
        <w:pStyle w:val="FirstParagraph"/>
      </w:pPr>
      <w:r>
        <w:t xml:space="preserve">An independent isolation review (control CTRL-AG-001 traceability and risk-register item R-001) is</w:t>
      </w:r>
      <w:r>
        <w:t xml:space="preserve"> </w:t>
      </w:r>
      <w:r>
        <w:t xml:space="preserve">required before production onboarding. This decision affects NFR-PLAT-002 and supports batch</w:t>
      </w:r>
      <w:r>
        <w:t xml:space="preserve"> </w:t>
      </w:r>
      <w:r>
        <w:t xml:space="preserve">traceability control CTRL-AG-001.</w:t>
      </w:r>
    </w:p>
    <w:bookmarkEnd w:id="19"/>
    <w:bookmarkEnd w:id="20"/>
    <w:bookmarkStart w:id="24" w:name="X41aab14a847aa046a746be5fd7010e579719073"/>
    <w:p>
      <w:pPr>
        <w:pStyle w:val="Heading1"/>
      </w:pPr>
      <w:r>
        <w:t xml:space="preserve">ADR-0004: Ledger-first accounting with module GL auto-posting</w:t>
      </w:r>
    </w:p>
    <w:p>
      <w:pPr>
        <w:pStyle w:val="Compact"/>
        <w:numPr>
          <w:ilvl w:val="0"/>
          <w:numId w:val="1004"/>
        </w:numPr>
      </w:pPr>
      <w:r>
        <w:t xml:space="preserve">Status: accepted</w:t>
      </w:r>
    </w:p>
    <w:p>
      <w:pPr>
        <w:pStyle w:val="Compact"/>
        <w:numPr>
          <w:ilvl w:val="0"/>
          <w:numId w:val="1004"/>
        </w:numPr>
      </w:pPr>
      <w:r>
        <w:t xml:space="preserve">Decided on: 2026-06-28</w:t>
      </w:r>
    </w:p>
    <w:p>
      <w:pPr>
        <w:pStyle w:val="Compact"/>
        <w:numPr>
          <w:ilvl w:val="0"/>
          <w:numId w:val="1004"/>
        </w:numPr>
      </w:pPr>
      <w:r>
        <w:t xml:space="preserve">Deciders: Peter Bamuhigire (Lead Consultant, Chwezi Core)</w:t>
      </w:r>
    </w:p>
    <w:bookmarkStart w:id="21" w:name="context-3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Every money-touching module (Sales, Procurement, POS, Payroll, Assets, Cooperative) must produce</w:t>
      </w:r>
      <w:r>
        <w:t xml:space="preserve"> </w:t>
      </w:r>
      <w:r>
        <w:t xml:space="preserve">auditable double-entry effects without divergent sub-ledgers.</w:t>
      </w:r>
    </w:p>
    <w:bookmarkEnd w:id="21"/>
    <w:bookmarkStart w:id="22" w:name="decision-3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The General Ledger is the system of record. Modules post to the GL through accounting services and</w:t>
      </w:r>
      <w:r>
        <w:t xml:space="preserve"> </w:t>
      </w:r>
      <w:r>
        <w:t xml:space="preserve">stored procedures (for example</w:t>
      </w:r>
      <w:r>
        <w:t xml:space="preserve"> </w:t>
      </w:r>
      <w:r>
        <w:rPr>
          <w:rStyle w:val="VerbatimChar"/>
        </w:rPr>
        <w:t xml:space="preserve">sp_post_invoice_to_gl</w:t>
      </w:r>
      <w:r>
        <w:t xml:space="preserve">), with subledger/AP/AR/inventory</w:t>
      </w:r>
      <w:r>
        <w:t xml:space="preserve"> </w:t>
      </w:r>
      <w:r>
        <w:t xml:space="preserve">reconciliation services attesting integrity. Period close controls posting via soft and hard close.</w:t>
      </w:r>
    </w:p>
    <w:bookmarkEnd w:id="22"/>
    <w:bookmarkStart w:id="23" w:name="consequences-3"/>
    <w:p>
      <w:pPr>
        <w:pStyle w:val="Heading2"/>
      </w:pPr>
      <w:r>
        <w:t xml:space="preserve">Consequences</w:t>
      </w:r>
    </w:p>
    <w:p>
      <w:pPr>
        <w:pStyle w:val="FirstParagraph"/>
      </w:pPr>
      <w:r>
        <w:t xml:space="preserve">Financial integrity, reconciliation, and IFRS-for-SMEs period close depend on this pattern. This</w:t>
      </w:r>
      <w:r>
        <w:t xml:space="preserve"> </w:t>
      </w:r>
      <w:r>
        <w:t xml:space="preserve">decision supports the manufacturing quality and costing control CTRL-AG-003.</w:t>
      </w:r>
    </w:p>
    <w:bookmarkEnd w:id="23"/>
    <w:bookmarkEnd w:id="24"/>
    <w:bookmarkStart w:id="28" w:name="Xedac6b693eb9992373f88fbe06b9dc58c735cae"/>
    <w:p>
      <w:pPr>
        <w:pStyle w:val="Heading1"/>
      </w:pPr>
      <w:r>
        <w:t xml:space="preserve">ADR-0005: Localisation-as-configuration via jurisdiction compliance adapters</w:t>
      </w:r>
    </w:p>
    <w:p>
      <w:pPr>
        <w:pStyle w:val="Compact"/>
        <w:numPr>
          <w:ilvl w:val="0"/>
          <w:numId w:val="1005"/>
        </w:numPr>
      </w:pPr>
      <w:r>
        <w:t xml:space="preserve">Status: accepted</w:t>
      </w:r>
    </w:p>
    <w:p>
      <w:pPr>
        <w:pStyle w:val="Compact"/>
        <w:numPr>
          <w:ilvl w:val="0"/>
          <w:numId w:val="1005"/>
        </w:numPr>
      </w:pPr>
      <w:r>
        <w:t xml:space="preserve">Decided on: 2026-06-28</w:t>
      </w:r>
    </w:p>
    <w:p>
      <w:pPr>
        <w:pStyle w:val="Compact"/>
        <w:numPr>
          <w:ilvl w:val="0"/>
          <w:numId w:val="1005"/>
        </w:numPr>
      </w:pPr>
      <w:r>
        <w:t xml:space="preserve">Deciders: Peter Bamuhigire (Lead Consultant, Chwezi Core)</w:t>
      </w:r>
    </w:p>
    <w:bookmarkStart w:id="25" w:name="context-4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Kraal Code serves multiple jurisdictions. Tax, fiscalisation, statutory payroll, procurement</w:t>
      </w:r>
      <w:r>
        <w:t xml:space="preserve"> </w:t>
      </w:r>
      <w:r>
        <w:t xml:space="preserve">thresholds, currency, language, and chart of accounts differ by country and must not be hard-coded.</w:t>
      </w:r>
    </w:p>
    <w:bookmarkEnd w:id="25"/>
    <w:bookmarkStart w:id="26" w:name="decision-4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Implement localisation as configuration: a per-tenant jurisdiction profile drives pluggable</w:t>
      </w:r>
      <w:r>
        <w:t xml:space="preserve"> </w:t>
      </w:r>
      <w:r>
        <w:t xml:space="preserve">adapters (fiscalisation gateway, statutory-payroll engine, procurement-approval matrix,</w:t>
      </w:r>
      <w:r>
        <w:t xml:space="preserve"> </w:t>
      </w:r>
      <w:r>
        <w:t xml:space="preserve">data-protection module). Uganda, Kenya, Rwanda, and Francophone profiles are configuration data.</w:t>
      </w:r>
    </w:p>
    <w:bookmarkEnd w:id="26"/>
    <w:bookmarkStart w:id="27" w:name="consequences-4"/>
    <w:p>
      <w:pPr>
        <w:pStyle w:val="Heading2"/>
      </w:pPr>
      <w:r>
        <w:t xml:space="preserve">Consequences</w:t>
      </w:r>
    </w:p>
    <w:p>
      <w:pPr>
        <w:pStyle w:val="FirstParagraph"/>
      </w:pPr>
      <w:r>
        <w:t xml:space="preserve">A single codebase serves all jurisdictions; new countries are onboarded by configuration plus an</w:t>
      </w:r>
      <w:r>
        <w:t xml:space="preserve"> </w:t>
      </w:r>
      <w:r>
        <w:t xml:space="preserve">adapter, not by forking. This decision affects NFR-PLAT-002.</w:t>
      </w:r>
    </w:p>
    <w:bookmarkEnd w:id="27"/>
    <w:bookmarkEnd w:id="28"/>
    <w:bookmarkStart w:id="32" w:name="X94951c5acc22b9ac1b661d482aef7670344e15a"/>
    <w:p>
      <w:pPr>
        <w:pStyle w:val="Heading1"/>
      </w:pPr>
      <w:r>
        <w:t xml:space="preserve">ADR-0006: JWT-authenticated mobile API with a self-documenting endpoint registry</w:t>
      </w:r>
    </w:p>
    <w:p>
      <w:pPr>
        <w:pStyle w:val="Compact"/>
        <w:numPr>
          <w:ilvl w:val="0"/>
          <w:numId w:val="1006"/>
        </w:numPr>
      </w:pPr>
      <w:r>
        <w:t xml:space="preserve">Status: accepted</w:t>
      </w:r>
    </w:p>
    <w:p>
      <w:pPr>
        <w:pStyle w:val="Compact"/>
        <w:numPr>
          <w:ilvl w:val="0"/>
          <w:numId w:val="1006"/>
        </w:numPr>
      </w:pPr>
      <w:r>
        <w:t xml:space="preserve">Decided on: 2026-06-28</w:t>
      </w:r>
    </w:p>
    <w:p>
      <w:pPr>
        <w:pStyle w:val="Compact"/>
        <w:numPr>
          <w:ilvl w:val="0"/>
          <w:numId w:val="1006"/>
        </w:numPr>
      </w:pPr>
      <w:r>
        <w:t xml:space="preserve">Deciders: Peter Bamuhigire (Lead Consultant, Chwezi Core)</w:t>
      </w:r>
    </w:p>
    <w:bookmarkStart w:id="29" w:name="context-5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Mobile and integration clients require a stable, permission-scoped API with rate limiting and an</w:t>
      </w:r>
      <w:r>
        <w:t xml:space="preserve"> </w:t>
      </w:r>
      <w:r>
        <w:t xml:space="preserve">auditable surface.</w:t>
      </w:r>
    </w:p>
    <w:bookmarkEnd w:id="29"/>
    <w:bookmarkStart w:id="30" w:name="decision-5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Expose a JWT-authenticated (Firebase JWT) API backed by a self-documenting endpoint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api_endpoints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api_endpoint_permissions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api_rate_limits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api_audit_log</w:t>
      </w:r>
      <w:r>
        <w:t xml:space="preserve">) with per-endpoint</w:t>
      </w:r>
      <w:r>
        <w:t xml:space="preserve"> </w:t>
      </w:r>
      <w:r>
        <w:t xml:space="preserve">permissions and a rate limiter.</w:t>
      </w:r>
    </w:p>
    <w:bookmarkEnd w:id="30"/>
    <w:bookmarkStart w:id="31" w:name="consequences-5"/>
    <w:p>
      <w:pPr>
        <w:pStyle w:val="Heading2"/>
      </w:pPr>
      <w:r>
        <w:t xml:space="preserve">Consequences</w:t>
      </w:r>
    </w:p>
    <w:p>
      <w:pPr>
        <w:pStyle w:val="FirstParagraph"/>
      </w:pPr>
      <w:r>
        <w:t xml:space="preserve">The API specification and mobile-API SRS derive from the registry. This decision affects</w:t>
      </w:r>
      <w:r>
        <w:t xml:space="preserve"> </w:t>
      </w:r>
      <w:r>
        <w:t xml:space="preserve">NFR-PLAT-002.</w:t>
      </w:r>
    </w:p>
    <w:bookmarkEnd w:id="31"/>
    <w:bookmarkEnd w:id="32"/>
    <w:bookmarkStart w:id="36" w:name="X72a894bcc5b485a0f5974f147d475bfc019ec3e"/>
    <w:p>
      <w:pPr>
        <w:pStyle w:val="Heading1"/>
      </w:pPr>
      <w:r>
        <w:t xml:space="preserve">ADR-0007: Tamper-evident hash-chained audit log (Roadmap control)</w:t>
      </w:r>
    </w:p>
    <w:p>
      <w:pPr>
        <w:pStyle w:val="Compact"/>
        <w:numPr>
          <w:ilvl w:val="0"/>
          <w:numId w:val="1007"/>
        </w:numPr>
      </w:pPr>
      <w:r>
        <w:t xml:space="preserve">Status: proposed</w:t>
      </w:r>
    </w:p>
    <w:p>
      <w:pPr>
        <w:pStyle w:val="Compact"/>
        <w:numPr>
          <w:ilvl w:val="0"/>
          <w:numId w:val="1007"/>
        </w:numPr>
      </w:pPr>
      <w:r>
        <w:t xml:space="preserve">Decided on: 2026-06-28</w:t>
      </w:r>
    </w:p>
    <w:p>
      <w:pPr>
        <w:pStyle w:val="Compact"/>
        <w:numPr>
          <w:ilvl w:val="0"/>
          <w:numId w:val="1007"/>
        </w:numPr>
      </w:pPr>
      <w:r>
        <w:t xml:space="preserve">Deciders: Peter Bamuhigire (Lead Consultant, Chwezi Core)</w:t>
      </w:r>
    </w:p>
    <w:bookmarkStart w:id="33" w:name="context-6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current audit and GL-posting logs are append-style (</w:t>
      </w:r>
      <w:r>
        <w:rPr>
          <w:rStyle w:val="VerbatimChar"/>
        </w:rPr>
        <w:t xml:space="preserve">audit_logs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gl_posting_audit</w:t>
      </w:r>
      <w:r>
        <w:t xml:space="preserve">). A</w:t>
      </w:r>
      <w:r>
        <w:t xml:space="preserve"> </w:t>
      </w:r>
      <w:r>
        <w:t xml:space="preserve">cryptographic hash-chain that makes the ledger tamper-evident is a premium universal control</w:t>
      </w:r>
      <w:r>
        <w:t xml:space="preserve"> </w:t>
      </w:r>
      <w:r>
        <w:t xml:space="preserve">generalised from the single-tenant reference ERP seed (BR-013), but a hash-chain implementation has not been confirmed in</w:t>
      </w:r>
      <w:r>
        <w:t xml:space="preserve"> </w:t>
      </w:r>
      <w:r>
        <w:t xml:space="preserve">the Kraal Code codebase.</w:t>
      </w:r>
    </w:p>
    <w:bookmarkEnd w:id="33"/>
    <w:bookmarkStart w:id="34" w:name="decision-6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Specify a tamper-evident, hash-chained immutable audit log as a Roadmap control: each audit record</w:t>
      </w:r>
      <w:r>
        <w:t xml:space="preserve"> </w:t>
      </w:r>
      <w:r>
        <w:t xml:space="preserve">carries a hash of its payload chained to the previous record's hash, with periodic anchor</w:t>
      </w:r>
      <w:r>
        <w:t xml:space="preserve"> </w:t>
      </w:r>
      <w:r>
        <w:t xml:space="preserve">verification. It is documented as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/</w:t>
      </w:r>
      <w:r>
        <w:rPr>
          <w:rStyle w:val="VerbatimChar"/>
        </w:rPr>
        <w:t xml:space="preserve">Roadmap</w:t>
      </w:r>
      <w:r>
        <w:t xml:space="preserve"> </w:t>
      </w:r>
      <w:r>
        <w:t xml:space="preserve">and not claimed as built.</w:t>
      </w:r>
    </w:p>
    <w:bookmarkEnd w:id="34"/>
    <w:bookmarkStart w:id="35" w:name="consequences-6"/>
    <w:p>
      <w:pPr>
        <w:pStyle w:val="Heading2"/>
      </w:pPr>
      <w:r>
        <w:t xml:space="preserve">Consequences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rStyle w:val="VerbatimChar"/>
        </w:rPr>
        <w:t xml:space="preserve">[CODE-DEBT]</w:t>
      </w:r>
      <w:r>
        <w:t xml:space="preserve"> </w:t>
      </w:r>
      <w:r>
        <w:t xml:space="preserve">item where any document asserts a hash-chain today: the tamper-evident</w:t>
      </w:r>
      <w:r>
        <w:t xml:space="preserve"> </w:t>
      </w:r>
      <w:r>
        <w:t xml:space="preserve">standard is stated, verification is flagged, and the capability is marked Roadmap. It strengthens</w:t>
      </w:r>
      <w:r>
        <w:t xml:space="preserve"> </w:t>
      </w:r>
      <w:r>
        <w:t xml:space="preserve">batch traceability control CTRL-AG-001 once implemented.</w:t>
      </w:r>
    </w:p>
    <w:bookmarkEnd w:id="35"/>
    <w:bookmarkEnd w:id="36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2026-08-08T22:02:24Z</dcterms:created>
  <dcterms:modified xsi:type="dcterms:W3CDTF">2026-08-08T22:02:24Z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