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Kraal Code — Definition of Done</w:t>
      </w:r>
    </w:p>
    <w:p>
      <w:pPr>
        <w:pStyle w:val="Subtitle"/>
      </w:pPr>
      <w:r>
        <w:t xml:space="preserve">Agile Artifacts — Feature Completion Quality Gate</w:t>
      </w:r>
    </w:p>
    <w:p>
      <w:pPr>
        <w:pStyle w:val="Date"/>
      </w:pPr>
      <w:r>
        <w:t xml:space="preserve">2026-04-05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Project</w:t>
            </w:r>
          </w:p>
        </w:tc>
        <w:tc>
          <w:tcPr/>
          <w:p>
            <w:pPr>
              <w:pStyle w:val="Compact"/>
            </w:pPr>
            <w:r>
              <w:t xml:space="preserve">Kraal Code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Owner</w:t>
            </w:r>
          </w:p>
        </w:tc>
        <w:tc>
          <w:tcPr/>
          <w:p>
            <w:pPr>
              <w:pStyle w:val="Compact"/>
            </w:pPr>
            <w:r>
              <w:t xml:space="preserve">Chwezi Core Systems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Author</w:t>
            </w:r>
          </w:p>
        </w:tc>
        <w:tc>
          <w:tcPr/>
          <w:p>
            <w:pPr>
              <w:pStyle w:val="Compact"/>
            </w:pPr>
            <w:r>
              <w:t xml:space="preserve">Peter Bamuhigire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1.0 Draft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2026-04-05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Classification</w:t>
            </w:r>
          </w:p>
        </w:tc>
        <w:tc>
          <w:tcPr/>
          <w:p>
            <w:pPr>
              <w:pStyle w:val="Compact"/>
            </w:pPr>
            <w:r>
              <w:t xml:space="preserve">Confidential — Internal Use Only</w:t>
            </w:r>
          </w:p>
        </w:tc>
      </w:tr>
    </w:tbl>
    <w:bookmarkStart w:id="17" w:name="definition-of-done--kraal-code"/>
    <w:p>
      <w:pPr>
        <w:pStyle w:val="Heading1"/>
      </w:pPr>
      <w:r>
        <w:t xml:space="preserve">Definition of Done — Kraal Code</w:t>
      </w:r>
    </w:p>
    <w:p>
      <w:pPr>
        <w:pStyle w:val="FirstParagraph"/>
      </w:pPr>
      <w:r>
        <w:t xml:space="preserve">A feature is</w:t>
      </w:r>
      <w:r>
        <w:t xml:space="preserve"> </w:t>
      </w:r>
      <w:r>
        <w:rPr>
          <w:i/>
          <w:iCs/>
        </w:rPr>
        <w:t xml:space="preserve">Done</w:t>
      </w:r>
      <w:r>
        <w:t xml:space="preserve"> </w:t>
      </w:r>
      <w:r>
        <w:t xml:space="preserve">when ALL of the following criteria are met. Each criterion is a binary, verifiable gate — pass or fail, with no room for judgment.</w:t>
      </w:r>
    </w:p>
    <w:bookmarkStart w:id="9" w:name="code-quality"/>
    <w:p>
      <w:pPr>
        <w:pStyle w:val="Heading2"/>
      </w:pPr>
      <w:r>
        <w:t xml:space="preserve">Code Quality</w:t>
      </w:r>
    </w:p>
    <w:p>
      <w:pPr>
        <w:pStyle w:val="Compact"/>
        <w:numPr>
          <w:ilvl w:val="0"/>
          <w:numId w:val="1001"/>
        </w:numPr>
      </w:pPr>
      <w:r>
        <w:t xml:space="preserve">All FR-</w:t>
      </w:r>
      <w:r>
        <w:rPr>
          <w:i/>
          <w:iCs/>
        </w:rPr>
        <w:t xml:space="preserve">-</w:t>
      </w:r>
      <w:r>
        <w:t xml:space="preserve"> </w:t>
      </w:r>
      <w:r>
        <w:t xml:space="preserve">requirements for the feature are implemented and match the SRS exactly.</w:t>
      </w:r>
    </w:p>
    <w:p>
      <w:pPr>
        <w:pStyle w:val="Compact"/>
        <w:numPr>
          <w:ilvl w:val="0"/>
          <w:numId w:val="1001"/>
        </w:numPr>
      </w:pPr>
      <w:r>
        <w:t xml:space="preserve">PHPStan reports zero errors at level 8 for all files touched by the feature.</w:t>
      </w:r>
    </w:p>
    <w:p>
      <w:pPr>
        <w:pStyle w:val="Compact"/>
        <w:numPr>
          <w:ilvl w:val="0"/>
          <w:numId w:val="1001"/>
        </w:numPr>
      </w:pPr>
      <w:r>
        <w:t xml:space="preserve">PHP CS Fixer reports zero violations for all files touched by the feature.</w:t>
      </w:r>
    </w:p>
    <w:p>
      <w:pPr>
        <w:pStyle w:val="Compact"/>
        <w:numPr>
          <w:ilvl w:val="0"/>
          <w:numId w:val="1001"/>
        </w:numPr>
      </w:pPr>
      <w:r>
        <w:t xml:space="preserve">No</w:t>
      </w:r>
      <w:r>
        <w:t xml:space="preserve"> </w:t>
      </w:r>
      <w:r>
        <w:rPr>
          <w:rStyle w:val="VerbatimChar"/>
        </w:rPr>
        <w:t xml:space="preserve">var_dump()</w:t>
      </w:r>
      <w:r>
        <w:t xml:space="preserve">,</w:t>
      </w:r>
      <w:r>
        <w:t xml:space="preserve"> </w:t>
      </w:r>
      <w:r>
        <w:rPr>
          <w:rStyle w:val="VerbatimChar"/>
        </w:rPr>
        <w:t xml:space="preserve">print_r()</w:t>
      </w:r>
      <w:r>
        <w:t xml:space="preserve">,</w:t>
      </w:r>
      <w:r>
        <w:t xml:space="preserve"> </w:t>
      </w:r>
      <w:r>
        <w:rPr>
          <w:rStyle w:val="VerbatimChar"/>
        </w:rPr>
        <w:t xml:space="preserve">dd()</w:t>
      </w:r>
      <w:r>
        <w:t xml:space="preserve">, or commented-out code exists in any committed file.</w:t>
      </w:r>
    </w:p>
    <w:bookmarkEnd w:id="9"/>
    <w:bookmarkStart w:id="10" w:name="testing"/>
    <w:p>
      <w:pPr>
        <w:pStyle w:val="Heading2"/>
      </w:pPr>
      <w:r>
        <w:t xml:space="preserve">Testing</w:t>
      </w:r>
    </w:p>
    <w:p>
      <w:pPr>
        <w:pStyle w:val="Compact"/>
        <w:numPr>
          <w:ilvl w:val="0"/>
          <w:numId w:val="1002"/>
        </w:numPr>
      </w:pPr>
      <w:r>
        <w:t xml:space="preserve">PHPUnit unit tests exist for the service class and all public methods have at least 1 test.</w:t>
      </w:r>
    </w:p>
    <w:p>
      <w:pPr>
        <w:pStyle w:val="Compact"/>
        <w:numPr>
          <w:ilvl w:val="0"/>
          <w:numId w:val="1002"/>
        </w:numPr>
      </w:pPr>
      <w:r>
        <w:t xml:space="preserve">PHPUnit test suite passes 100% — no skipped tests for this feature.</w:t>
      </w:r>
    </w:p>
    <w:p>
      <w:pPr>
        <w:pStyle w:val="Compact"/>
        <w:numPr>
          <w:ilvl w:val="0"/>
          <w:numId w:val="1002"/>
        </w:numPr>
      </w:pPr>
      <w:r>
        <w:t xml:space="preserve">Unit test line coverage ≥ 80% for the feature's service class(es).</w:t>
      </w:r>
    </w:p>
    <w:p>
      <w:pPr>
        <w:pStyle w:val="Compact"/>
        <w:numPr>
          <w:ilvl w:val="0"/>
          <w:numId w:val="1002"/>
        </w:numPr>
      </w:pPr>
      <w:r>
        <w:t xml:space="preserve">Integration test confirms: every state-changing operation writes an audit log record.</w:t>
      </w:r>
    </w:p>
    <w:p>
      <w:pPr>
        <w:pStyle w:val="Compact"/>
        <w:numPr>
          <w:ilvl w:val="0"/>
          <w:numId w:val="1002"/>
        </w:numPr>
      </w:pPr>
      <w:r>
        <w:t xml:space="preserve">Tenant isolation test passes: cross-tenant access attempt returns HTTP 404.</w:t>
      </w:r>
    </w:p>
    <w:bookmarkEnd w:id="10"/>
    <w:bookmarkStart w:id="11" w:name="security"/>
    <w:p>
      <w:pPr>
        <w:pStyle w:val="Heading2"/>
      </w:pPr>
      <w:r>
        <w:t xml:space="preserve">Security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RequirePermission</w:t>
      </w:r>
      <w:r>
        <w:t xml:space="preserve"> </w:t>
      </w:r>
      <w:r>
        <w:t xml:space="preserve">middleware is applied to all new endpoints; missing permission returns HTTP 403.</w:t>
      </w:r>
    </w:p>
    <w:p>
      <w:pPr>
        <w:pStyle w:val="Compact"/>
        <w:numPr>
          <w:ilvl w:val="0"/>
          <w:numId w:val="1003"/>
        </w:numPr>
      </w:pPr>
      <w:r>
        <w:t xml:space="preserve">All new SQL queries use PDO prepared statements — no string concatenation in SQL.</w:t>
      </w:r>
    </w:p>
    <w:p>
      <w:pPr>
        <w:pStyle w:val="Compact"/>
        <w:numPr>
          <w:ilvl w:val="0"/>
          <w:numId w:val="1003"/>
        </w:numPr>
      </w:pPr>
      <w:r>
        <w:t xml:space="preserve">All user input is validated before use; no raw</w:t>
      </w:r>
      <w:r>
        <w:t xml:space="preserve"> </w:t>
      </w:r>
      <w:r>
        <w:rPr>
          <w:rStyle w:val="VerbatimChar"/>
        </w:rPr>
        <w:t xml:space="preserve">$_GET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$_POST</w:t>
      </w:r>
      <w:r>
        <w:t xml:space="preserve"> </w:t>
      </w:r>
      <w:r>
        <w:t xml:space="preserve">without validation.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tenant_id</w:t>
      </w:r>
      <w:r>
        <w:t xml:space="preserve"> </w:t>
      </w:r>
      <w:r>
        <w:t xml:space="preserve">in all new queries comes from</w:t>
      </w:r>
      <w:r>
        <w:t xml:space="preserve"> </w:t>
      </w:r>
      <w:r>
        <w:rPr>
          <w:rStyle w:val="VerbatimChar"/>
        </w:rPr>
        <w:t xml:space="preserve">SessionService::getTenantId()</w:t>
      </w:r>
      <w:r>
        <w:t xml:space="preserve"> </w:t>
      </w:r>
      <w:r>
        <w:t xml:space="preserve">— never from request input.</w:t>
      </w:r>
    </w:p>
    <w:bookmarkEnd w:id="11"/>
    <w:bookmarkStart w:id="12" w:name="integration-and-gl"/>
    <w:p>
      <w:pPr>
        <w:pStyle w:val="Heading2"/>
      </w:pPr>
      <w:r>
        <w:t xml:space="preserve">Integration and GL</w:t>
      </w:r>
    </w:p>
    <w:p>
      <w:pPr>
        <w:pStyle w:val="Compact"/>
        <w:numPr>
          <w:ilvl w:val="0"/>
          <w:numId w:val="1004"/>
        </w:numPr>
      </w:pPr>
      <w:r>
        <w:t xml:space="preserve">All financial transactions post correct double-entry GL entries, verified by integration test:</w:t>
      </w:r>
      <w:r>
        <w:t xml:space="preserve"> </w:t>
      </w:r>
      <w:r>
        <w:rPr>
          <w:rStyle w:val="VerbatimChar"/>
        </w:rPr>
        <w:t xml:space="preserve">sum(debit) = sum(credit)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All stock-moving operations write a stock ledger entry, verified by integration test.</w:t>
      </w:r>
    </w:p>
    <w:bookmarkEnd w:id="12"/>
    <w:bookmarkStart w:id="13" w:name="documentation"/>
    <w:p>
      <w:pPr>
        <w:pStyle w:val="Heading2"/>
      </w:pPr>
      <w:r>
        <w:t xml:space="preserve">Documentation</w:t>
      </w:r>
    </w:p>
    <w:p>
      <w:pPr>
        <w:pStyle w:val="Compact"/>
        <w:numPr>
          <w:ilvl w:val="0"/>
          <w:numId w:val="1005"/>
        </w:numPr>
      </w:pPr>
      <w:r>
        <w:t xml:space="preserve">All new domain terms are added to</w:t>
      </w:r>
      <w:r>
        <w:t xml:space="preserve"> </w:t>
      </w:r>
      <w:r>
        <w:rPr>
          <w:rStyle w:val="VerbatimChar"/>
        </w:rPr>
        <w:t xml:space="preserve">_context/glossary.md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Open</w:t>
      </w:r>
      <w:r>
        <w:t xml:space="preserve"> </w:t>
      </w:r>
      <w:r>
        <w:rPr>
          <w:rStyle w:val="VerbatimChar"/>
        </w:rPr>
        <w:t xml:space="preserve">[CONTEXT-GAP]</w:t>
      </w:r>
      <w:r>
        <w:t xml:space="preserve">,</w:t>
      </w:r>
      <w:r>
        <w:t xml:space="preserve"> </w:t>
      </w:r>
      <w:r>
        <w:rPr>
          <w:rStyle w:val="VerbatimChar"/>
        </w:rPr>
        <w:t xml:space="preserve">[V&amp;V-FAIL]</w:t>
      </w:r>
      <w:r>
        <w:t xml:space="preserve">, or</w:t>
      </w:r>
      <w:r>
        <w:t xml:space="preserve"> </w:t>
      </w:r>
      <w:r>
        <w:rPr>
          <w:rStyle w:val="VerbatimChar"/>
        </w:rPr>
        <w:t xml:space="preserve">[TRACE-GAP]</w:t>
      </w:r>
      <w:r>
        <w:t xml:space="preserve"> </w:t>
      </w:r>
      <w:r>
        <w:t xml:space="preserve">flags in the SRS for this feature are resolved or formally accepted by the product owner.</w:t>
      </w:r>
    </w:p>
    <w:p>
      <w:pPr>
        <w:pStyle w:val="Compact"/>
        <w:numPr>
          <w:ilvl w:val="0"/>
          <w:numId w:val="1005"/>
        </w:numPr>
      </w:pPr>
      <w:r>
        <w:t xml:space="preserve">API endpoint(s) for the feature are documented in the API Specification.</w:t>
      </w:r>
    </w:p>
    <w:bookmarkEnd w:id="13"/>
    <w:bookmarkStart w:id="14" w:name="ux"/>
    <w:p>
      <w:pPr>
        <w:pStyle w:val="Heading2"/>
      </w:pPr>
      <w:r>
        <w:t xml:space="preserve">UX</w:t>
      </w:r>
    </w:p>
    <w:p>
      <w:pPr>
        <w:pStyle w:val="Compact"/>
        <w:numPr>
          <w:ilvl w:val="0"/>
          <w:numId w:val="1006"/>
        </w:numPr>
      </w:pPr>
      <w:r>
        <w:t xml:space="preserve">Feature reviewed against UX Specification: layout, navigation, component usage, and error handling match the spec.</w:t>
      </w:r>
    </w:p>
    <w:p>
      <w:pPr>
        <w:pStyle w:val="Compact"/>
        <w:numPr>
          <w:ilvl w:val="0"/>
          <w:numId w:val="1006"/>
        </w:numPr>
      </w:pPr>
      <w:r>
        <w:t xml:space="preserve">All confirmation dialogs for destructive actions use the SweetAlert2 confirmation pattern.</w:t>
      </w:r>
    </w:p>
    <w:p>
      <w:pPr>
        <w:pStyle w:val="Compact"/>
        <w:numPr>
          <w:ilvl w:val="0"/>
          <w:numId w:val="1006"/>
        </w:numPr>
      </w:pPr>
      <w:r>
        <w:t xml:space="preserve">WCAG 2.1 AA: colour contrast checked; all form fields have accessible labels.</w:t>
      </w:r>
    </w:p>
    <w:bookmarkEnd w:id="14"/>
    <w:bookmarkStart w:id="15" w:name="acceptance"/>
    <w:p>
      <w:pPr>
        <w:pStyle w:val="Heading2"/>
      </w:pPr>
      <w:r>
        <w:t xml:space="preserve">Acceptance</w:t>
      </w:r>
    </w:p>
    <w:p>
      <w:pPr>
        <w:pStyle w:val="Compact"/>
        <w:numPr>
          <w:ilvl w:val="0"/>
          <w:numId w:val="1007"/>
        </w:numPr>
      </w:pPr>
      <w:r>
        <w:t xml:space="preserve">Product owner has reviewed and approved the feature against the acceptance criteria in the SRS.</w:t>
      </w:r>
    </w:p>
    <w:p>
      <w:pPr>
        <w:pStyle w:val="Compact"/>
        <w:numPr>
          <w:ilvl w:val="0"/>
          <w:numId w:val="1007"/>
        </w:numPr>
      </w:pPr>
      <w:r>
        <w:t xml:space="preserve">No Critical or High severity defects are open against this feature.</w:t>
      </w:r>
    </w:p>
    <w:p>
      <w:r>
        <w:pict>
          <v:rect style="width:0;height:1.5pt" o:hralign="center" o:hrstd="t" o:hr="t"/>
        </w:pict>
      </w:r>
    </w:p>
    <w:bookmarkEnd w:id="15"/>
    <w:bookmarkStart w:id="16" w:name="dod-checklist--copy-into-pr-description"/>
    <w:p>
      <w:pPr>
        <w:pStyle w:val="Heading2"/>
      </w:pPr>
      <w:r>
        <w:t xml:space="preserve">DoD Checklist — Copy into PR Description</w:t>
      </w:r>
    </w:p>
    <w:p>
      <w:pPr>
        <w:pStyle w:val="SourceCode"/>
      </w:pPr>
      <w:r>
        <w:rPr>
          <w:rStyle w:val="FunctionTok"/>
        </w:rPr>
        <w:t xml:space="preserve">### Definition of Done Checklist</w:t>
      </w:r>
      <w:r>
        <w:br/>
      </w:r>
      <w:r>
        <w:br/>
      </w:r>
      <w:r>
        <w:rPr>
          <w:rStyle w:val="NormalTok"/>
        </w:rPr>
        <w:t xml:space="preserve">**Code Quality**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All FR-*-* requirements for the feature are implemented and match the SRS exactly.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PHPStan reports zero errors at level 8 for all files touched by the feature.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PHP CS Fixer reports zero violations for all files touched by the feature.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No </w:t>
      </w:r>
      <w:r>
        <w:rPr>
          <w:rStyle w:val="InformationTok"/>
        </w:rPr>
        <w:t xml:space="preserve">`var_dump()`</w:t>
      </w:r>
      <w:r>
        <w:rPr>
          <w:rStyle w:val="NormalTok"/>
        </w:rPr>
        <w:t xml:space="preserve">, </w:t>
      </w:r>
      <w:r>
        <w:rPr>
          <w:rStyle w:val="InformationTok"/>
        </w:rPr>
        <w:t xml:space="preserve">`print_r()`</w:t>
      </w:r>
      <w:r>
        <w:rPr>
          <w:rStyle w:val="NormalTok"/>
        </w:rPr>
        <w:t xml:space="preserve">, </w:t>
      </w:r>
      <w:r>
        <w:rPr>
          <w:rStyle w:val="InformationTok"/>
        </w:rPr>
        <w:t xml:space="preserve">`dd()`</w:t>
      </w:r>
      <w:r>
        <w:rPr>
          <w:rStyle w:val="NormalTok"/>
        </w:rPr>
        <w:t xml:space="preserve">, or commented-out code in any committed file.</w:t>
      </w:r>
      <w:r>
        <w:br/>
      </w:r>
      <w:r>
        <w:br/>
      </w:r>
      <w:r>
        <w:rPr>
          <w:rStyle w:val="NormalTok"/>
        </w:rPr>
        <w:t xml:space="preserve">**Testing**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PHPUnit unit tests exist for the service class and all public methods have at least 1 test.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PHPUnit test suite passes 100% — no skipped tests for this feature.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Unit test line coverage ≥ 80% for the feature's service class(es).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Integration test confirms: every state-changing operation writes an audit log record.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Tenant isolation test passes: cross-tenant access attempt returns HTTP 404.</w:t>
      </w:r>
      <w:r>
        <w:br/>
      </w:r>
      <w:r>
        <w:br/>
      </w:r>
      <w:r>
        <w:rPr>
          <w:rStyle w:val="NormalTok"/>
        </w:rPr>
        <w:t xml:space="preserve">**Security**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</w:t>
      </w:r>
      <w:r>
        <w:rPr>
          <w:rStyle w:val="InformationTok"/>
        </w:rPr>
        <w:t xml:space="preserve">`RequirePermission`</w:t>
      </w:r>
      <w:r>
        <w:rPr>
          <w:rStyle w:val="NormalTok"/>
        </w:rPr>
        <w:t xml:space="preserve"> middleware is applied to all new endpoints; missing permission returns HTTP 403.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All new SQL queries use PDO prepared statements — no string concatenation in SQL.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All user input is validated before use; no raw </w:t>
      </w:r>
      <w:r>
        <w:rPr>
          <w:rStyle w:val="InformationTok"/>
        </w:rPr>
        <w:t xml:space="preserve">`$_GET`</w:t>
      </w:r>
      <w:r>
        <w:rPr>
          <w:rStyle w:val="NormalTok"/>
        </w:rPr>
        <w:t xml:space="preserve"> or </w:t>
      </w:r>
      <w:r>
        <w:rPr>
          <w:rStyle w:val="InformationTok"/>
        </w:rPr>
        <w:t xml:space="preserve">`$_POST`</w:t>
      </w:r>
      <w:r>
        <w:rPr>
          <w:rStyle w:val="NormalTok"/>
        </w:rPr>
        <w:t xml:space="preserve"> without validation.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</w:t>
      </w:r>
      <w:r>
        <w:rPr>
          <w:rStyle w:val="InformationTok"/>
        </w:rPr>
        <w:t xml:space="preserve">`tenant_id`</w:t>
      </w:r>
      <w:r>
        <w:rPr>
          <w:rStyle w:val="NormalTok"/>
        </w:rPr>
        <w:t xml:space="preserve"> in all new queries comes from </w:t>
      </w:r>
      <w:r>
        <w:rPr>
          <w:rStyle w:val="InformationTok"/>
        </w:rPr>
        <w:t xml:space="preserve">`SessionService::getTenantId()`</w:t>
      </w:r>
      <w:r>
        <w:rPr>
          <w:rStyle w:val="NormalTok"/>
        </w:rPr>
        <w:t xml:space="preserve"> — never from request input.</w:t>
      </w:r>
      <w:r>
        <w:br/>
      </w:r>
      <w:r>
        <w:br/>
      </w:r>
      <w:r>
        <w:rPr>
          <w:rStyle w:val="NormalTok"/>
        </w:rPr>
        <w:t xml:space="preserve">**Integration and GL**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All financial transactions post correct double-entry GL entries (integration test: sum(debit) = sum(credit)).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All stock-moving operations write a stock ledger entry (integration test).</w:t>
      </w:r>
      <w:r>
        <w:br/>
      </w:r>
      <w:r>
        <w:br/>
      </w:r>
      <w:r>
        <w:rPr>
          <w:rStyle w:val="NormalTok"/>
        </w:rPr>
        <w:t xml:space="preserve">**Documentation**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All new domain terms added to </w:t>
      </w:r>
      <w:r>
        <w:rPr>
          <w:rStyle w:val="InformationTok"/>
        </w:rPr>
        <w:t xml:space="preserve">`_context/glossary.md`</w:t>
      </w:r>
      <w:r>
        <w:rPr>
          <w:rStyle w:val="NormalTok"/>
        </w:rPr>
        <w:t xml:space="preserve">.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Open </w:t>
      </w:r>
      <w:r>
        <w:rPr>
          <w:rStyle w:val="InformationTok"/>
        </w:rPr>
        <w:t xml:space="preserve">`[CONTEXT-GAP]`</w:t>
      </w:r>
      <w:r>
        <w:rPr>
          <w:rStyle w:val="NormalTok"/>
        </w:rPr>
        <w:t xml:space="preserve">, </w:t>
      </w:r>
      <w:r>
        <w:rPr>
          <w:rStyle w:val="InformationTok"/>
        </w:rPr>
        <w:t xml:space="preserve">`[V&amp;V-FAIL]`</w:t>
      </w:r>
      <w:r>
        <w:rPr>
          <w:rStyle w:val="NormalTok"/>
        </w:rPr>
        <w:t xml:space="preserve">, or </w:t>
      </w:r>
      <w:r>
        <w:rPr>
          <w:rStyle w:val="InformationTok"/>
        </w:rPr>
        <w:t xml:space="preserve">`[TRACE-GAP]`</w:t>
      </w:r>
      <w:r>
        <w:rPr>
          <w:rStyle w:val="NormalTok"/>
        </w:rPr>
        <w:t xml:space="preserve"> flags resolved or formally accepted by product owner.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API endpoint(s) documented in the API Specification.</w:t>
      </w:r>
      <w:r>
        <w:br/>
      </w:r>
      <w:r>
        <w:br/>
      </w:r>
      <w:r>
        <w:rPr>
          <w:rStyle w:val="NormalTok"/>
        </w:rPr>
        <w:t xml:space="preserve">**UX**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Feature reviewed against UX Specification: layout, navigation, component usage, and error handling match.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All confirmation dialogs for destructive actions use SweetAlert2 confirmation pattern.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WCAG 2.1 AA: colour contrast checked; all form fields have accessible labels.</w:t>
      </w:r>
      <w:r>
        <w:br/>
      </w:r>
      <w:r>
        <w:br/>
      </w:r>
      <w:r>
        <w:rPr>
          <w:rStyle w:val="NormalTok"/>
        </w:rPr>
        <w:t xml:space="preserve">**Acceptance**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Product owner has reviewed and approved the feature against SRS acceptance criteria.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No Critical or High severity defects open against this feature.</w:t>
      </w:r>
    </w:p>
    <w:bookmarkEnd w:id="16"/>
    <w:bookmarkEnd w:id="17"/>
    <w:sectPr>
      <w:footnotePr>
        <w:numRestart w:val="eachSect"/>
      </w:footnotePr>
      <w:pgMar w:bottom="1440" w:left="1800" w:right="1440" w:top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lvlText w:val="%2."/>
      <w:lvlJc w:val="left"/>
      <w:pPr>
        <w:ind w:left="1440" w:hanging="360"/>
      </w:pPr>
    </w:lvl>
    <w:lvl w:ilvl="2">
      <w:start w:val="10"/>
      <w:numFmt w:val="decimal"/>
      <w:lvlText w:val="%3."/>
      <w:lvlJc w:val="left"/>
      <w:pPr>
        <w:ind w:left="2160" w:hanging="360"/>
      </w:pPr>
    </w:lvl>
    <w:lvl w:ilvl="3">
      <w:start w:val="10"/>
      <w:numFmt w:val="decimal"/>
      <w:lvlText w:val="%4."/>
      <w:lvlJc w:val="left"/>
      <w:pPr>
        <w:ind w:left="2880" w:hanging="360"/>
      </w:pPr>
    </w:lvl>
    <w:lvl w:ilvl="4">
      <w:start w:val="10"/>
      <w:numFmt w:val="decimal"/>
      <w:lvlText w:val="%5."/>
      <w:lvlJc w:val="left"/>
      <w:pPr>
        <w:ind w:left="3600" w:hanging="360"/>
      </w:pPr>
    </w:lvl>
    <w:lvl w:ilvl="5">
      <w:start w:val="10"/>
      <w:numFmt w:val="decimal"/>
      <w:lvlText w:val="%6."/>
      <w:lvlJc w:val="left"/>
      <w:pPr>
        <w:ind w:left="4320" w:hanging="360"/>
      </w:pPr>
    </w:lvl>
    <w:lvl w:ilvl="6">
      <w:start w:val="10"/>
      <w:numFmt w:val="decimal"/>
      <w:lvlText w:val="%7."/>
      <w:lvlJc w:val="left"/>
      <w:pPr>
        <w:ind w:left="5040" w:hanging="360"/>
      </w:pPr>
    </w:lvl>
    <w:lvl w:ilvl="7">
      <w:start w:val="10"/>
      <w:numFmt w:val="decimal"/>
      <w:lvlText w:val="%8."/>
      <w:lvlJc w:val="left"/>
      <w:pPr>
        <w:ind w:left="5760" w:hanging="360"/>
      </w:pPr>
    </w:lvl>
    <w:lvl w:ilvl="8">
      <w:start w:val="10"/>
      <w:numFmt w:val="decimal"/>
      <w:lvlText w:val="%9."/>
      <w:lvlJc w:val="left"/>
      <w:pPr>
        <w:ind w:left="6480" w:hanging="360"/>
      </w:pPr>
    </w:lvl>
  </w:abstractNum>
  <w:abstractNum w:abstractNumId="994114">
    <w:nsid w:val="0A994114"/>
    <w:multiLevelType w:val="multilevel"/>
    <w:lvl w:ilvl="0">
      <w:start w:val="14"/>
      <w:numFmt w:val="decimal"/>
      <w:lvlText w:val="%1."/>
      <w:lvlJc w:val="left"/>
      <w:pPr>
        <w:ind w:left="720" w:hanging="360"/>
      </w:pPr>
    </w:lvl>
    <w:lvl w:ilvl="1">
      <w:start w:val="14"/>
      <w:numFmt w:val="decimal"/>
      <w:lvlText w:val="%2."/>
      <w:lvlJc w:val="left"/>
      <w:pPr>
        <w:ind w:left="1440" w:hanging="360"/>
      </w:pPr>
    </w:lvl>
    <w:lvl w:ilvl="2">
      <w:start w:val="14"/>
      <w:numFmt w:val="decimal"/>
      <w:lvlText w:val="%3."/>
      <w:lvlJc w:val="left"/>
      <w:pPr>
        <w:ind w:left="2160" w:hanging="360"/>
      </w:pPr>
    </w:lvl>
    <w:lvl w:ilvl="3">
      <w:start w:val="14"/>
      <w:numFmt w:val="decimal"/>
      <w:lvlText w:val="%4."/>
      <w:lvlJc w:val="left"/>
      <w:pPr>
        <w:ind w:left="2880" w:hanging="360"/>
      </w:pPr>
    </w:lvl>
    <w:lvl w:ilvl="4">
      <w:start w:val="14"/>
      <w:numFmt w:val="decimal"/>
      <w:lvlText w:val="%5."/>
      <w:lvlJc w:val="left"/>
      <w:pPr>
        <w:ind w:left="3600" w:hanging="360"/>
      </w:pPr>
    </w:lvl>
    <w:lvl w:ilvl="5">
      <w:start w:val="14"/>
      <w:numFmt w:val="decimal"/>
      <w:lvlText w:val="%6."/>
      <w:lvlJc w:val="left"/>
      <w:pPr>
        <w:ind w:left="4320" w:hanging="360"/>
      </w:pPr>
    </w:lvl>
    <w:lvl w:ilvl="6">
      <w:start w:val="14"/>
      <w:numFmt w:val="decimal"/>
      <w:lvlText w:val="%7."/>
      <w:lvlJc w:val="left"/>
      <w:pPr>
        <w:ind w:left="5040" w:hanging="360"/>
      </w:pPr>
    </w:lvl>
    <w:lvl w:ilvl="7">
      <w:start w:val="14"/>
      <w:numFmt w:val="decimal"/>
      <w:lvlText w:val="%8."/>
      <w:lvlJc w:val="left"/>
      <w:pPr>
        <w:ind w:left="5760" w:hanging="360"/>
      </w:pPr>
    </w:lvl>
    <w:lvl w:ilvl="8">
      <w:start w:val="14"/>
      <w:numFmt w:val="decimal"/>
      <w:lvlText w:val="%9."/>
      <w:lvlJc w:val="left"/>
      <w:pPr>
        <w:ind w:left="6480" w:hanging="360"/>
      </w:pPr>
    </w:lvl>
  </w:abstractNum>
  <w:abstractNum w:abstractNumId="994116">
    <w:nsid w:val="0A994116"/>
    <w:multiLevelType w:val="multilevel"/>
    <w:lvl w:ilvl="0">
      <w:start w:val="16"/>
      <w:numFmt w:val="decimal"/>
      <w:lvlText w:val="%1."/>
      <w:lvlJc w:val="left"/>
      <w:pPr>
        <w:ind w:left="720" w:hanging="360"/>
      </w:pPr>
    </w:lvl>
    <w:lvl w:ilvl="1">
      <w:start w:val="16"/>
      <w:numFmt w:val="decimal"/>
      <w:lvlText w:val="%2."/>
      <w:lvlJc w:val="left"/>
      <w:pPr>
        <w:ind w:left="1440" w:hanging="360"/>
      </w:pPr>
    </w:lvl>
    <w:lvl w:ilvl="2">
      <w:start w:val="16"/>
      <w:numFmt w:val="decimal"/>
      <w:lvlText w:val="%3."/>
      <w:lvlJc w:val="left"/>
      <w:pPr>
        <w:ind w:left="2160" w:hanging="360"/>
      </w:pPr>
    </w:lvl>
    <w:lvl w:ilvl="3">
      <w:start w:val="16"/>
      <w:numFmt w:val="decimal"/>
      <w:lvlText w:val="%4."/>
      <w:lvlJc w:val="left"/>
      <w:pPr>
        <w:ind w:left="2880" w:hanging="360"/>
      </w:pPr>
    </w:lvl>
    <w:lvl w:ilvl="4">
      <w:start w:val="16"/>
      <w:numFmt w:val="decimal"/>
      <w:lvlText w:val="%5."/>
      <w:lvlJc w:val="left"/>
      <w:pPr>
        <w:ind w:left="3600" w:hanging="360"/>
      </w:pPr>
    </w:lvl>
    <w:lvl w:ilvl="5">
      <w:start w:val="16"/>
      <w:numFmt w:val="decimal"/>
      <w:lvlText w:val="%6."/>
      <w:lvlJc w:val="left"/>
      <w:pPr>
        <w:ind w:left="4320" w:hanging="360"/>
      </w:pPr>
    </w:lvl>
    <w:lvl w:ilvl="6">
      <w:start w:val="16"/>
      <w:numFmt w:val="decimal"/>
      <w:lvlText w:val="%7."/>
      <w:lvlJc w:val="left"/>
      <w:pPr>
        <w:ind w:left="5040" w:hanging="360"/>
      </w:pPr>
    </w:lvl>
    <w:lvl w:ilvl="7">
      <w:start w:val="16"/>
      <w:numFmt w:val="decimal"/>
      <w:lvlText w:val="%8."/>
      <w:lvlJc w:val="left"/>
      <w:pPr>
        <w:ind w:left="5760" w:hanging="360"/>
      </w:pPr>
    </w:lvl>
    <w:lvl w:ilvl="8">
      <w:start w:val="16"/>
      <w:numFmt w:val="decimal"/>
      <w:lvlText w:val="%9."/>
      <w:lvlJc w:val="left"/>
      <w:pPr>
        <w:ind w:left="6480" w:hanging="360"/>
      </w:pPr>
    </w:lvl>
  </w:abstractNum>
  <w:abstractNum w:abstractNumId="994119">
    <w:nsid w:val="0A994119"/>
    <w:multiLevelType w:val="multilevel"/>
    <w:lvl w:ilvl="0">
      <w:start w:val="19"/>
      <w:numFmt w:val="decimal"/>
      <w:lvlText w:val="%1."/>
      <w:lvlJc w:val="left"/>
      <w:pPr>
        <w:ind w:left="720" w:hanging="360"/>
      </w:pPr>
    </w:lvl>
    <w:lvl w:ilvl="1">
      <w:start w:val="19"/>
      <w:numFmt w:val="decimal"/>
      <w:lvlText w:val="%2."/>
      <w:lvlJc w:val="left"/>
      <w:pPr>
        <w:ind w:left="1440" w:hanging="360"/>
      </w:pPr>
    </w:lvl>
    <w:lvl w:ilvl="2">
      <w:start w:val="19"/>
      <w:numFmt w:val="decimal"/>
      <w:lvlText w:val="%3."/>
      <w:lvlJc w:val="left"/>
      <w:pPr>
        <w:ind w:left="2160" w:hanging="360"/>
      </w:pPr>
    </w:lvl>
    <w:lvl w:ilvl="3">
      <w:start w:val="19"/>
      <w:numFmt w:val="decimal"/>
      <w:lvlText w:val="%4."/>
      <w:lvlJc w:val="left"/>
      <w:pPr>
        <w:ind w:left="2880" w:hanging="360"/>
      </w:pPr>
    </w:lvl>
    <w:lvl w:ilvl="4">
      <w:start w:val="19"/>
      <w:numFmt w:val="decimal"/>
      <w:lvlText w:val="%5."/>
      <w:lvlJc w:val="left"/>
      <w:pPr>
        <w:ind w:left="3600" w:hanging="360"/>
      </w:pPr>
    </w:lvl>
    <w:lvl w:ilvl="5">
      <w:start w:val="19"/>
      <w:numFmt w:val="decimal"/>
      <w:lvlText w:val="%6."/>
      <w:lvlJc w:val="left"/>
      <w:pPr>
        <w:ind w:left="4320" w:hanging="360"/>
      </w:pPr>
    </w:lvl>
    <w:lvl w:ilvl="6">
      <w:start w:val="19"/>
      <w:numFmt w:val="decimal"/>
      <w:lvlText w:val="%7."/>
      <w:lvlJc w:val="left"/>
      <w:pPr>
        <w:ind w:left="5040" w:hanging="360"/>
      </w:pPr>
    </w:lvl>
    <w:lvl w:ilvl="7">
      <w:start w:val="19"/>
      <w:numFmt w:val="decimal"/>
      <w:lvlText w:val="%8."/>
      <w:lvlJc w:val="left"/>
      <w:pPr>
        <w:ind w:left="5760" w:hanging="360"/>
      </w:pPr>
    </w:lvl>
    <w:lvl w:ilvl="8">
      <w:start w:val="19"/>
      <w:numFmt w:val="decimal"/>
      <w:lvlText w:val="%9."/>
      <w:lvlJc w:val="left"/>
      <w:pPr>
        <w:ind w:left="6480" w:hanging="360"/>
      </w:pPr>
    </w:lvl>
  </w:abstractNum>
  <w:abstractNum w:abstractNumId="994122">
    <w:nsid w:val="0A994122"/>
    <w:multiLevelType w:val="multilevel"/>
    <w:lvl w:ilvl="0">
      <w:start w:val="22"/>
      <w:numFmt w:val="decimal"/>
      <w:lvlText w:val="%1."/>
      <w:lvlJc w:val="left"/>
      <w:pPr>
        <w:ind w:left="720" w:hanging="360"/>
      </w:pPr>
    </w:lvl>
    <w:lvl w:ilvl="1">
      <w:start w:val="22"/>
      <w:numFmt w:val="decimal"/>
      <w:lvlText w:val="%2."/>
      <w:lvlJc w:val="left"/>
      <w:pPr>
        <w:ind w:left="1440" w:hanging="360"/>
      </w:pPr>
    </w:lvl>
    <w:lvl w:ilvl="2">
      <w:start w:val="22"/>
      <w:numFmt w:val="decimal"/>
      <w:lvlText w:val="%3."/>
      <w:lvlJc w:val="left"/>
      <w:pPr>
        <w:ind w:left="2160" w:hanging="360"/>
      </w:pPr>
    </w:lvl>
    <w:lvl w:ilvl="3">
      <w:start w:val="22"/>
      <w:numFmt w:val="decimal"/>
      <w:lvlText w:val="%4."/>
      <w:lvlJc w:val="left"/>
      <w:pPr>
        <w:ind w:left="2880" w:hanging="360"/>
      </w:pPr>
    </w:lvl>
    <w:lvl w:ilvl="4">
      <w:start w:val="22"/>
      <w:numFmt w:val="decimal"/>
      <w:lvlText w:val="%5."/>
      <w:lvlJc w:val="left"/>
      <w:pPr>
        <w:ind w:left="3600" w:hanging="360"/>
      </w:pPr>
    </w:lvl>
    <w:lvl w:ilvl="5">
      <w:start w:val="22"/>
      <w:numFmt w:val="decimal"/>
      <w:lvlText w:val="%6."/>
      <w:lvlJc w:val="left"/>
      <w:pPr>
        <w:ind w:left="4320" w:hanging="360"/>
      </w:pPr>
    </w:lvl>
    <w:lvl w:ilvl="6">
      <w:start w:val="22"/>
      <w:numFmt w:val="decimal"/>
      <w:lvlText w:val="%7."/>
      <w:lvlJc w:val="left"/>
      <w:pPr>
        <w:ind w:left="5040" w:hanging="360"/>
      </w:pPr>
    </w:lvl>
    <w:lvl w:ilvl="7">
      <w:start w:val="22"/>
      <w:numFmt w:val="decimal"/>
      <w:lvlText w:val="%8."/>
      <w:lvlJc w:val="left"/>
      <w:pPr>
        <w:ind w:left="5760" w:hanging="360"/>
      </w:pPr>
    </w:lvl>
    <w:lvl w:ilvl="8">
      <w:start w:val="22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3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04">
    <w:abstractNumId w:val="994114"/>
    <w:lvlOverride w:ilvl="0">
      <w:startOverride w:val="14"/>
    </w:lvlOverride>
    <w:lvlOverride w:ilvl="1">
      <w:startOverride w:val="14"/>
    </w:lvlOverride>
    <w:lvlOverride w:ilvl="2">
      <w:startOverride w:val="14"/>
    </w:lvlOverride>
    <w:lvlOverride w:ilvl="3">
      <w:startOverride w:val="14"/>
    </w:lvlOverride>
    <w:lvlOverride w:ilvl="4">
      <w:startOverride w:val="14"/>
    </w:lvlOverride>
    <w:lvlOverride w:ilvl="5">
      <w:startOverride w:val="14"/>
    </w:lvlOverride>
    <w:lvlOverride w:ilvl="6">
      <w:startOverride w:val="14"/>
    </w:lvlOverride>
    <w:lvlOverride w:ilvl="7">
      <w:startOverride w:val="14"/>
    </w:lvlOverride>
    <w:lvlOverride w:ilvl="8">
      <w:startOverride w:val="14"/>
    </w:lvlOverride>
  </w:num>
  <w:num w:numId="1005">
    <w:abstractNumId w:val="994116"/>
    <w:lvlOverride w:ilvl="0">
      <w:startOverride w:val="16"/>
    </w:lvlOverride>
    <w:lvlOverride w:ilvl="1">
      <w:startOverride w:val="16"/>
    </w:lvlOverride>
    <w:lvlOverride w:ilvl="2">
      <w:startOverride w:val="16"/>
    </w:lvlOverride>
    <w:lvlOverride w:ilvl="3">
      <w:startOverride w:val="16"/>
    </w:lvlOverride>
    <w:lvlOverride w:ilvl="4">
      <w:startOverride w:val="16"/>
    </w:lvlOverride>
    <w:lvlOverride w:ilvl="5">
      <w:startOverride w:val="16"/>
    </w:lvlOverride>
    <w:lvlOverride w:ilvl="6">
      <w:startOverride w:val="16"/>
    </w:lvlOverride>
    <w:lvlOverride w:ilvl="7">
      <w:startOverride w:val="16"/>
    </w:lvlOverride>
    <w:lvlOverride w:ilvl="8">
      <w:startOverride w:val="16"/>
    </w:lvlOverride>
  </w:num>
  <w:num w:numId="1006">
    <w:abstractNumId w:val="994119"/>
    <w:lvlOverride w:ilvl="0">
      <w:startOverride w:val="19"/>
    </w:lvlOverride>
    <w:lvlOverride w:ilvl="1">
      <w:startOverride w:val="19"/>
    </w:lvlOverride>
    <w:lvlOverride w:ilvl="2">
      <w:startOverride w:val="19"/>
    </w:lvlOverride>
    <w:lvlOverride w:ilvl="3">
      <w:startOverride w:val="19"/>
    </w:lvlOverride>
    <w:lvlOverride w:ilvl="4">
      <w:startOverride w:val="19"/>
    </w:lvlOverride>
    <w:lvlOverride w:ilvl="5">
      <w:startOverride w:val="19"/>
    </w:lvlOverride>
    <w:lvlOverride w:ilvl="6">
      <w:startOverride w:val="19"/>
    </w:lvlOverride>
    <w:lvlOverride w:ilvl="7">
      <w:startOverride w:val="19"/>
    </w:lvlOverride>
    <w:lvlOverride w:ilvl="8">
      <w:startOverride w:val="19"/>
    </w:lvlOverride>
  </w:num>
  <w:num w:numId="1007">
    <w:abstractNumId w:val="994122"/>
    <w:lvlOverride w:ilvl="0">
      <w:startOverride w:val="22"/>
    </w:lvlOverride>
    <w:lvlOverride w:ilvl="1">
      <w:startOverride w:val="22"/>
    </w:lvlOverride>
    <w:lvlOverride w:ilvl="2">
      <w:startOverride w:val="22"/>
    </w:lvlOverride>
    <w:lvlOverride w:ilvl="3">
      <w:startOverride w:val="22"/>
    </w:lvlOverride>
    <w:lvlOverride w:ilvl="4">
      <w:startOverride w:val="22"/>
    </w:lvlOverride>
    <w:lvlOverride w:ilvl="5">
      <w:startOverride w:val="22"/>
    </w:lvlOverride>
    <w:lvlOverride w:ilvl="6">
      <w:startOverride w:val="22"/>
    </w:lvlOverride>
    <w:lvlOverride w:ilvl="7">
      <w:startOverride w:val="22"/>
    </w:lvlOverride>
    <w:lvlOverride w:ilvl="8">
      <w:startOverride w:val="22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Public Sans" w:cs="Public Sans" w:hAnsi="Public Sans"/>
      <w:color w:val="1A1A1A"/>
      <w:sz w:val="22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Public Sans" w:cs="Public Sans" w:hAnsi="Public Sans"/>
      <w:color w:val="1A1A1A"/>
      <w:sz w:val="22"/>
    </w:rPr>
  </w:style>
  <w:style w:customStyle="1" w:styleId="FirstParagraph" w:type="paragraph">
    <w:name w:val="First Paragraph"/>
    <w:basedOn w:val="BodyText"/>
    <w:next w:val="BodyText"/>
    <w:qFormat/>
    <w:rPr>
      <w:rFonts w:ascii="Public Sans" w:cs="Public Sans" w:hAnsi="Public Sans"/>
      <w:color w:val="1A1A1A"/>
      <w:sz w:val="22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Public Sans" w:cs="Public Sans" w:hAnsi="Public Sans"/>
      <w:color w:val="1A1A1A"/>
      <w:sz w:val="22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Spectral" w:asciiTheme="majorHAnsi" w:cs="Spectral" w:cstheme="majorBidi" w:eastAsiaTheme="majorEastAsia" w:hAnsi="Spectral" w:hAnsiTheme="majorHAnsi"/>
      <w:b/>
      <w:color w:val="1A1A1A"/>
      <w:sz w:val="64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Public Sans" w:cs="Public Sans" w:cstheme="majorBidi" w:eastAsiaTheme="majorEastAsia" w:hAnsi="Public Sans"/>
      <w:i/>
      <w:color w:val="5A5A5A"/>
      <w:spacing w:val="15"/>
      <w:sz w:val="30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rFonts w:ascii="Public Sans" w:cs="Public Sans" w:hAnsi="Public Sans"/>
      <w:color w:val="5A5A5A"/>
      <w:sz w:val="22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rFonts w:ascii="Public Sans" w:cs="Public Sans" w:hAnsi="Public Sans"/>
      <w:color w:val="5A5A5A"/>
      <w:sz w:val="22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Spectral" w:asciiTheme="majorHAnsi" w:cs="Spectral" w:cstheme="majorBidi" w:eastAsiaTheme="majorEastAsia" w:hAnsi="Spectral" w:hAnsiTheme="majorHAnsi"/>
      <w:b/>
      <w:i w:val="0"/>
      <w:color w:val="1A1A1A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Spectral" w:asciiTheme="majorHAnsi" w:cs="Spectral" w:cstheme="majorBidi" w:eastAsiaTheme="majorEastAsia" w:hAnsi="Spectral" w:hAnsiTheme="majorHAnsi"/>
      <w:b/>
      <w:i w:val="0"/>
      <w:color w:val="1A1A1A"/>
      <w:sz w:val="30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Public Sans" w:cs="Public Sans" w:cstheme="majorBidi" w:eastAsiaTheme="majorEastAsia" w:hAnsi="Public Sans"/>
      <w:b/>
      <w:i w:val="0"/>
      <w:color w:val="1A1A1A"/>
      <w:sz w:val="25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ascii="Public Sans" w:cs="Public Sans" w:cstheme="majorBidi" w:eastAsiaTheme="majorEastAsia" w:hAnsi="Public Sans"/>
      <w:b/>
      <w:i/>
      <w:iCs/>
      <w:color w:val="5A5A5A"/>
      <w:sz w:val="22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ascii="Public Sans" w:cs="Public Sans" w:cstheme="majorBidi" w:eastAsiaTheme="majorEastAsia" w:hAnsi="Public Sans"/>
      <w:b/>
      <w:i w:val="0"/>
      <w:color w:val="1A1A1A"/>
      <w:sz w:val="22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ascii="Public Sans" w:cs="Public Sans" w:cstheme="majorBidi" w:eastAsiaTheme="majorEastAsia" w:hAnsi="Public Sans"/>
      <w:b/>
      <w:i/>
      <w:iCs/>
      <w:color w:val="5A5A5A"/>
      <w:sz w:val="22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Public Sans" w:cs="Public Sans" w:hAnsi="Public Sans"/>
      <w:i/>
      <w:color w:val="5A5A5A"/>
      <w:sz w:val="22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rFonts w:ascii="Public Sans" w:cs="Public Sans" w:hAnsi="Public Sans"/>
      <w:i/>
      <w:color w:val="5A5A5A"/>
      <w:sz w:val="18"/>
    </w:rPr>
  </w:style>
  <w:style w:customStyle="1" w:styleId="TableCaption" w:type="paragraph">
    <w:name w:val="Table Caption"/>
    <w:basedOn w:val="Caption"/>
    <w:pPr>
      <w:keepNext/>
    </w:pPr>
    <w:rPr>
      <w:rFonts w:ascii="Public Sans" w:cs="Public Sans" w:hAnsi="Public Sans"/>
      <w:color w:val="1A1A1A"/>
      <w:sz w:val="20"/>
    </w:rPr>
  </w:style>
  <w:style w:customStyle="1" w:styleId="ImageCaption" w:type="paragraph">
    <w:name w:val="Image Caption"/>
    <w:basedOn w:val="Caption"/>
    <w:rPr>
      <w:rFonts w:ascii="Public Sans" w:cs="Public Sans" w:hAnsi="Public Sans"/>
      <w:color w:val="5A5A5A"/>
      <w:sz w:val="18"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JetBrains Mono" w:cs="JetBrains Mono" w:hAnsi="JetBrains Mono"/>
      <w:color w:val="1A1A1A"/>
      <w:sz w:val="19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Kraal Code — Definition of Done</dc:title>
  <dc:creator/>
  <cp:keywords/>
  <dcterms:created xsi:type="dcterms:W3CDTF">2026-08-08T22:02:35Z</dcterms:created>
  <dcterms:modified xsi:type="dcterms:W3CDTF">2026-08-08T22:02:35Z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2026-04-05</vt:lpwstr>
  </property>
  <property fmtid="{D5CDD505-2E9C-101B-9397-08002B2CF9AE}" pid="3" name="status">
    <vt:lpwstr>Draft</vt:lpwstr>
  </property>
  <property fmtid="{D5CDD505-2E9C-101B-9397-08002B2CF9AE}" pid="4" name="subtitle">
    <vt:lpwstr>Agile Artifacts — Feature Completion Quality Gate</vt:lpwstr>
  </property>
  <property fmtid="{D5CDD505-2E9C-101B-9397-08002B2CF9AE}" pid="5" name="version">
    <vt:lpwstr>1.0</vt:lpwstr>
  </property>
</Properties>
</file>