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Kraal Code — Definition of Ready</w:t>
      </w:r>
    </w:p>
    <w:p>
      <w:pPr>
        <w:pStyle w:val="Subtitle"/>
      </w:pPr>
      <w:r>
        <w:t xml:space="preserve">Agile Artifacts — Feature Development Pre-Conditions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Kraal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bookmarkStart w:id="16" w:name="definition-of-ready--kraal-code"/>
    <w:p>
      <w:pPr>
        <w:pStyle w:val="Heading1"/>
      </w:pPr>
      <w:r>
        <w:t xml:space="preserve">Definition of Ready — Kraal Code</w:t>
      </w:r>
    </w:p>
    <w:p>
      <w:pPr>
        <w:pStyle w:val="FirstParagraph"/>
      </w:pPr>
      <w:r>
        <w:t xml:space="preserve">A feature is</w:t>
      </w:r>
      <w:r>
        <w:t xml:space="preserve"> </w:t>
      </w:r>
      <w:r>
        <w:rPr>
          <w:i/>
          <w:iCs/>
        </w:rPr>
        <w:t xml:space="preserve">Ready</w:t>
      </w:r>
      <w:r>
        <w:t xml:space="preserve"> </w:t>
      </w:r>
      <w:r>
        <w:t xml:space="preserve">to develop when ALL of the following pre-conditions are met. Each criterion is a binary gate — the feature does not enter the sprint until every condition passes.</w:t>
      </w:r>
    </w:p>
    <w:bookmarkStart w:id="9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The SRS section for this feature exists and has no open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01"/>
        </w:numPr>
      </w:pPr>
      <w:r>
        <w:t xml:space="preserve">All FR-</w:t>
      </w:r>
      <w:r>
        <w:rPr>
          <w:i/>
          <w:iCs/>
        </w:rPr>
        <w:t xml:space="preserve">-</w:t>
      </w:r>
      <w:r>
        <w:t xml:space="preserve"> </w:t>
      </w:r>
      <w:r>
        <w:t xml:space="preserve">identifiers for this feature are present in the SRS with stimulus-response format, and each traces to a baselined business goal and requirement identifier — for example FR-ACCT-149 (period close) traces to its business goal and to NFR-PLAT-002 (tenant isolation), and a cooperative feature traces to its BG-COOP and F-013 baseline entries.</w:t>
      </w:r>
    </w:p>
    <w:p>
      <w:pPr>
        <w:pStyle w:val="Compact"/>
        <w:numPr>
          <w:ilvl w:val="0"/>
          <w:numId w:val="1001"/>
        </w:numPr>
      </w:pPr>
      <w:r>
        <w:t xml:space="preserve">All NFR-</w:t>
      </w:r>
      <w:r>
        <w:rPr>
          <w:i/>
          <w:iCs/>
        </w:rPr>
        <w:t xml:space="preserve">-</w:t>
      </w:r>
      <w:r>
        <w:t xml:space="preserve"> </w:t>
      </w:r>
      <w:r>
        <w:t xml:space="preserve">requirements affecting this feature have measurable thresholds — no</w:t>
      </w:r>
      <w:r>
        <w:t xml:space="preserve"> </w:t>
      </w:r>
      <w:r>
        <w:rPr>
          <w:rStyle w:val="VerbatimChar"/>
        </w:rPr>
        <w:t xml:space="preserve">[SMART-FAIL]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01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[V&amp;V-FAIL]</w:t>
      </w:r>
      <w:r>
        <w:t xml:space="preserve"> </w:t>
      </w:r>
      <w:r>
        <w:t xml:space="preserve">tags remain unresolved in this feature's SRS section.</w:t>
      </w:r>
    </w:p>
    <w:bookmarkEnd w:id="9"/>
    <w:bookmarkStart w:id="10" w:name="design"/>
    <w:p>
      <w:pPr>
        <w:pStyle w:val="Heading2"/>
      </w:pPr>
      <w:r>
        <w:t xml:space="preserve">Design</w:t>
      </w:r>
    </w:p>
    <w:p>
      <w:pPr>
        <w:pStyle w:val="Compact"/>
        <w:numPr>
          <w:ilvl w:val="0"/>
          <w:numId w:val="1002"/>
        </w:numPr>
      </w:pPr>
      <w:r>
        <w:t xml:space="preserve">Database schema for the feature is defined: table names, column names, data types, and FK relationships are specified.</w:t>
      </w:r>
    </w:p>
    <w:p>
      <w:pPr>
        <w:pStyle w:val="Compact"/>
        <w:numPr>
          <w:ilvl w:val="0"/>
          <w:numId w:val="1002"/>
        </w:numPr>
      </w:pPr>
      <w:r>
        <w:t xml:space="preserve">API endpoint(s) for the feature are specified in the API Specification: method, path, request schema, and response schema are present.</w:t>
      </w:r>
    </w:p>
    <w:p>
      <w:pPr>
        <w:pStyle w:val="Compact"/>
        <w:numPr>
          <w:ilvl w:val="0"/>
          <w:numId w:val="1002"/>
        </w:numPr>
      </w:pPr>
      <w:r>
        <w:t xml:space="preserve">All new UI screens are described in the UX Specification: layout, components, and interaction patterns are documented.</w:t>
      </w:r>
    </w:p>
    <w:bookmarkEnd w:id="10"/>
    <w:bookmarkStart w:id="11" w:name="traceability"/>
    <w:p>
      <w:pPr>
        <w:pStyle w:val="Heading2"/>
      </w:pPr>
      <w:r>
        <w:t xml:space="preserve">Traceability</w:t>
      </w:r>
    </w:p>
    <w:p>
      <w:pPr>
        <w:pStyle w:val="Compact"/>
        <w:numPr>
          <w:ilvl w:val="0"/>
          <w:numId w:val="1003"/>
        </w:numPr>
      </w:pPr>
      <w:r>
        <w:t xml:space="preserve">Every FR-</w:t>
      </w:r>
      <w:r>
        <w:rPr>
          <w:i/>
          <w:iCs/>
        </w:rPr>
        <w:t xml:space="preserve">-</w:t>
      </w:r>
      <w:r>
        <w:t xml:space="preserve"> </w:t>
      </w:r>
      <w:r>
        <w:t xml:space="preserve">for this feature links to at least 1 business goal — no</w:t>
      </w:r>
      <w:r>
        <w:t xml:space="preserve"> </w:t>
      </w:r>
      <w:r>
        <w:rPr>
          <w:rStyle w:val="VerbatimChar"/>
        </w:rPr>
        <w:t xml:space="preserve">[TRACE-GAP-BG]</w:t>
      </w:r>
      <w:r>
        <w:t xml:space="preserve"> </w:t>
      </w:r>
      <w:r>
        <w:t xml:space="preserve">flags.</w:t>
      </w:r>
    </w:p>
    <w:p>
      <w:pPr>
        <w:pStyle w:val="Compact"/>
        <w:numPr>
          <w:ilvl w:val="0"/>
          <w:numId w:val="1003"/>
        </w:numPr>
      </w:pPr>
      <w:r>
        <w:t xml:space="preserve">Every FR-</w:t>
      </w:r>
      <w:r>
        <w:rPr>
          <w:i/>
          <w:iCs/>
        </w:rPr>
        <w:t xml:space="preserve">-</w:t>
      </w:r>
      <w:r>
        <w:t xml:space="preserve"> </w:t>
      </w:r>
      <w:r>
        <w:t xml:space="preserve">for this feature has at least 1 planned test case in the Test Plan — no</w:t>
      </w:r>
      <w:r>
        <w:t xml:space="preserve"> </w:t>
      </w:r>
      <w:r>
        <w:rPr>
          <w:rStyle w:val="VerbatimChar"/>
        </w:rPr>
        <w:t xml:space="preserve">[TRACE-GAP-TC]</w:t>
      </w:r>
      <w:r>
        <w:t xml:space="preserve"> </w:t>
      </w:r>
      <w:r>
        <w:t xml:space="preserve">flags.</w:t>
      </w:r>
    </w:p>
    <w:bookmarkEnd w:id="11"/>
    <w:bookmarkStart w:id="12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4"/>
        </w:numPr>
      </w:pPr>
      <w:r>
        <w:t xml:space="preserve">All module dependencies are resolved: if this feature requires another module (e.g., Manufacturing requires Advanced Inventory), that module's feature is already Done or will be Done in the same sprint.</w:t>
      </w:r>
    </w:p>
    <w:p>
      <w:pPr>
        <w:pStyle w:val="Compact"/>
        <w:numPr>
          <w:ilvl w:val="0"/>
          <w:numId w:val="1004"/>
        </w:numPr>
      </w:pPr>
      <w:r>
        <w:t xml:space="preserve">Any external API dependency (EFRIS, MoMo) either has confirmed credentials or is explicitly stubbed with a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 </w:t>
      </w:r>
      <w:r>
        <w:t xml:space="preserve">accepted by the product owner.</w:t>
      </w:r>
    </w:p>
    <w:bookmarkEnd w:id="12"/>
    <w:bookmarkStart w:id="13" w:name="glossary"/>
    <w:p>
      <w:pPr>
        <w:pStyle w:val="Heading2"/>
      </w:pPr>
      <w:r>
        <w:t xml:space="preserve">Glossary</w:t>
      </w:r>
    </w:p>
    <w:p>
      <w:pPr>
        <w:pStyle w:val="Compact"/>
        <w:numPr>
          <w:ilvl w:val="0"/>
          <w:numId w:val="1005"/>
        </w:numPr>
      </w:pPr>
      <w:r>
        <w:t xml:space="preserve">All new domain terms introduced by this feature are defined in</w:t>
      </w:r>
      <w:r>
        <w:t xml:space="preserve"> </w:t>
      </w:r>
      <w:r>
        <w:rPr>
          <w:rStyle w:val="VerbatimChar"/>
        </w:rPr>
        <w:t xml:space="preserve">_context/glossary.md</w:t>
      </w:r>
      <w:r>
        <w:t xml:space="preserve">.</w:t>
      </w:r>
    </w:p>
    <w:bookmarkEnd w:id="13"/>
    <w:bookmarkStart w:id="14" w:name="estimation"/>
    <w:p>
      <w:pPr>
        <w:pStyle w:val="Heading2"/>
      </w:pPr>
      <w:r>
        <w:t xml:space="preserve">Estimation</w:t>
      </w:r>
    </w:p>
    <w:p>
      <w:pPr>
        <w:pStyle w:val="Compact"/>
        <w:numPr>
          <w:ilvl w:val="0"/>
          <w:numId w:val="1006"/>
        </w:numPr>
      </w:pPr>
      <w:r>
        <w:t xml:space="preserve">The feature has been sized by the developer in story points or hours.</w:t>
      </w:r>
    </w:p>
    <w:p>
      <w:pPr>
        <w:pStyle w:val="Compact"/>
        <w:numPr>
          <w:ilvl w:val="0"/>
          <w:numId w:val="1006"/>
        </w:numPr>
      </w:pPr>
      <w:r>
        <w:t xml:space="preserve">The feature can be completed in a single sprint — if not, it must be split into smaller features before it is considered Ready.</w:t>
      </w:r>
    </w:p>
    <w:p>
      <w:r>
        <w:pict>
          <v:rect style="width:0;height:1.5pt" o:hralign="center" o:hrstd="t" o:hr="t"/>
        </w:pict>
      </w:r>
    </w:p>
    <w:bookmarkEnd w:id="14"/>
    <w:bookmarkStart w:id="15" w:name="Xedb38b72b026652343c706bd9dbf81e061bfc55"/>
    <w:p>
      <w:pPr>
        <w:pStyle w:val="Heading2"/>
      </w:pPr>
      <w:r>
        <w:t xml:space="preserve">DoR Checklist — Copy into Sprint Planning Board</w:t>
      </w:r>
    </w:p>
    <w:p>
      <w:pPr>
        <w:pStyle w:val="SourceCode"/>
      </w:pPr>
      <w:r>
        <w:rPr>
          <w:rStyle w:val="FunctionTok"/>
        </w:rPr>
        <w:t xml:space="preserve">### Definition of Ready Checklist</w:t>
      </w:r>
      <w:r>
        <w:br/>
      </w:r>
      <w:r>
        <w:br/>
      </w:r>
      <w:r>
        <w:rPr>
          <w:rStyle w:val="NormalTok"/>
        </w:rPr>
        <w:t xml:space="preserve">**Requirements**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SRS section for this feature exists with no open </w:t>
      </w:r>
      <w:r>
        <w:rPr>
          <w:rStyle w:val="InformationTok"/>
        </w:rPr>
        <w:t xml:space="preserve">`[CONTEXT-GAP]`</w:t>
      </w:r>
      <w:r>
        <w:rPr>
          <w:rStyle w:val="NormalTok"/>
        </w:rPr>
        <w:t xml:space="preserve"> flags.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FR-*-* identifiers are present in the SRS with stimulus-response format.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NFR-*-* requirements have measurable thresholds — no </w:t>
      </w:r>
      <w:r>
        <w:rPr>
          <w:rStyle w:val="InformationTok"/>
        </w:rPr>
        <w:t xml:space="preserve">`[SMART-FAIL]`</w:t>
      </w:r>
      <w:r>
        <w:rPr>
          <w:rStyle w:val="NormalTok"/>
        </w:rPr>
        <w:t xml:space="preserve"> flags.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</w:t>
      </w:r>
      <w:r>
        <w:rPr>
          <w:rStyle w:val="InformationTok"/>
        </w:rPr>
        <w:t xml:space="preserve">`[V&amp;V-FAIL]`</w:t>
      </w:r>
      <w:r>
        <w:rPr>
          <w:rStyle w:val="NormalTok"/>
        </w:rPr>
        <w:t xml:space="preserve"> tags remain unresolved in this feature's SRS section.</w:t>
      </w:r>
      <w:r>
        <w:br/>
      </w:r>
      <w:r>
        <w:br/>
      </w:r>
      <w:r>
        <w:rPr>
          <w:rStyle w:val="NormalTok"/>
        </w:rPr>
        <w:t xml:space="preserve">**Design**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Database schema defined: table names, column names, data types, FK relationships.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API endpoint(s) specified in API Specification: method, path, request/response schema.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new UI screens described in UX Specification: layout, components, interaction patterns.</w:t>
      </w:r>
      <w:r>
        <w:br/>
      </w:r>
      <w:r>
        <w:br/>
      </w:r>
      <w:r>
        <w:rPr>
          <w:rStyle w:val="NormalTok"/>
        </w:rPr>
        <w:t xml:space="preserve">**Traceability**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Every FR-*-* links to at least 1 business goal — no </w:t>
      </w:r>
      <w:r>
        <w:rPr>
          <w:rStyle w:val="InformationTok"/>
        </w:rPr>
        <w:t xml:space="preserve">`[TRACE-GAP-BG]`</w:t>
      </w:r>
      <w:r>
        <w:rPr>
          <w:rStyle w:val="NormalTok"/>
        </w:rPr>
        <w:t xml:space="preserve"> flags.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Every FR-*-* has at least 1 planned test case in the Test Plan — no </w:t>
      </w:r>
      <w:r>
        <w:rPr>
          <w:rStyle w:val="InformationTok"/>
        </w:rPr>
        <w:t xml:space="preserve">`[TRACE-GAP-TC]`</w:t>
      </w:r>
      <w:r>
        <w:rPr>
          <w:rStyle w:val="NormalTok"/>
        </w:rPr>
        <w:t xml:space="preserve"> flags.</w:t>
      </w:r>
      <w:r>
        <w:br/>
      </w:r>
      <w:r>
        <w:br/>
      </w:r>
      <w:r>
        <w:rPr>
          <w:rStyle w:val="NormalTok"/>
        </w:rPr>
        <w:t xml:space="preserve">**Dependencies**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module dependencies resolved — dependent features are Done or in-sprint.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External API dependencies have confirmed credentials or are formally stubbed.</w:t>
      </w:r>
      <w:r>
        <w:br/>
      </w:r>
      <w:r>
        <w:br/>
      </w:r>
      <w:r>
        <w:rPr>
          <w:rStyle w:val="NormalTok"/>
        </w:rPr>
        <w:t xml:space="preserve">**Glossary**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new domain terms defined in </w:t>
      </w:r>
      <w:r>
        <w:rPr>
          <w:rStyle w:val="InformationTok"/>
        </w:rPr>
        <w:t xml:space="preserve">`_context/glossary.md`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**Estimation**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Feature sized by developer (story points or hours).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Feature fits in a single sprint, or has been split.</w:t>
      </w:r>
    </w:p>
    <w:bookmarkEnd w:id="15"/>
    <w:bookmarkEnd w:id="16"/>
    <w:sectPr>
      <w:footnotePr>
        <w:numRestart w:val="eachSect"/>
      </w:footnotePr>
      <w:pgMar w:bottom="1440" w:left="180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ublic Sans" w:cs="Public Sans" w:hAnsi="Public Sans"/>
      <w:color w:val="1A1A1A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ublic Sans" w:cs="Public Sans" w:hAnsi="Public Sans"/>
      <w:color w:val="1A1A1A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Public Sans" w:cs="Public Sans" w:hAnsi="Public Sans"/>
      <w:color w:val="1A1A1A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ublic Sans" w:cs="Public Sans" w:hAnsi="Public Sans"/>
      <w:color w:val="1A1A1A"/>
      <w:sz w:val="2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pectral" w:asciiTheme="majorHAnsi" w:cs="Spectral" w:cstheme="majorBidi" w:eastAsiaTheme="majorEastAsia" w:hAnsi="Spectral" w:hAnsiTheme="majorHAnsi"/>
      <w:b/>
      <w:color w:val="1A1A1A"/>
      <w:sz w:val="6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Public Sans" w:cs="Public Sans" w:cstheme="majorBidi" w:eastAsiaTheme="majorEastAsia" w:hAnsi="Public Sans"/>
      <w:i/>
      <w:color w:val="5A5A5A"/>
      <w:spacing w:val="15"/>
      <w:sz w:val="30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Public Sans" w:cs="Public Sans" w:hAnsi="Public Sans"/>
      <w:color w:val="5A5A5A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Spectral" w:asciiTheme="majorHAnsi" w:cs="Spectral" w:cstheme="majorBidi" w:eastAsiaTheme="majorEastAsia" w:hAnsi="Spectral" w:hAnsiTheme="majorHAnsi"/>
      <w:b/>
      <w:i w:val="0"/>
      <w:color w:val="1A1A1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ublic Sans" w:cs="Public Sans" w:cstheme="majorBidi" w:eastAsiaTheme="majorEastAsia" w:hAnsi="Public Sans"/>
      <w:b/>
      <w:i w:val="0"/>
      <w:color w:val="1A1A1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Public Sans" w:cs="Public Sans" w:cstheme="majorBidi" w:eastAsiaTheme="majorEastAsia" w:hAnsi="Public Sans"/>
      <w:b/>
      <w:i w:val="0"/>
      <w:color w:val="1A1A1A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Public Sans" w:cs="Public Sans" w:cstheme="majorBidi" w:eastAsiaTheme="majorEastAsia" w:hAnsi="Public Sans"/>
      <w:b/>
      <w:i/>
      <w:iCs/>
      <w:color w:val="5A5A5A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ublic Sans" w:cs="Public Sans" w:hAnsi="Public Sans"/>
      <w:i/>
      <w:color w:val="5A5A5A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Public Sans" w:cs="Public Sans" w:hAnsi="Public Sans"/>
      <w:i/>
      <w:color w:val="5A5A5A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Public Sans" w:cs="Public Sans" w:hAnsi="Public Sans"/>
      <w:color w:val="1A1A1A"/>
      <w:sz w:val="20"/>
    </w:rPr>
  </w:style>
  <w:style w:customStyle="1" w:styleId="ImageCaption" w:type="paragraph">
    <w:name w:val="Image Caption"/>
    <w:basedOn w:val="Caption"/>
    <w:rPr>
      <w:rFonts w:ascii="Public Sans" w:cs="Public Sans" w:hAnsi="Public Sans"/>
      <w:color w:val="5A5A5A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JetBrains Mono" w:cs="JetBrains Mono" w:hAnsi="JetBrains Mono"/>
      <w:color w:val="1A1A1A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Kraal Code — Definition of Ready</dc:title>
  <dc:creator/>
  <cp:keywords/>
  <dcterms:created xsi:type="dcterms:W3CDTF">2026-08-08T22:02:36Z</dcterms:created>
  <dcterms:modified xsi:type="dcterms:W3CDTF">2026-08-08T22:02:36Z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tatus">
    <vt:lpwstr>Draft</vt:lpwstr>
  </property>
  <property fmtid="{D5CDD505-2E9C-101B-9397-08002B2CF9AE}" pid="4" name="subtitle">
    <vt:lpwstr>Agile Artifacts — Feature Development Pre-Conditions</vt:lpwstr>
  </property>
  <property fmtid="{D5CDD505-2E9C-101B-9397-08002B2CF9AE}" pid="5" name="version">
    <vt:lpwstr>1.0</vt:lpwstr>
  </property>
</Properties>
</file>