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requently-asked-questions--kraal-code"/>
    <w:p>
      <w:pPr>
        <w:pStyle w:val="Heading1"/>
      </w:pPr>
      <w:r>
        <w:t xml:space="preserve">Frequently Asked Questions — Kraal Code</w:t>
      </w:r>
    </w:p>
    <w:p>
      <w:pPr>
        <w:pStyle w:val="FirstParagraph"/>
      </w:pPr>
      <w:r>
        <w:t xml:space="preserve">This FAQ answers common end-user questions, per IEEE Std 26514-2022 §8.</w:t>
      </w:r>
    </w:p>
    <w:p>
      <w:pPr>
        <w:pStyle w:val="BodyText"/>
      </w:pPr>
      <w:r>
        <w:rPr>
          <w:b/>
          <w:bCs/>
        </w:rPr>
        <w:t xml:space="preserve">Q1: How does Kraal Code keep my organisation's data separate from other tenants?</w:t>
      </w:r>
    </w:p>
    <w:p>
      <w:pPr>
        <w:pStyle w:val="BodyText"/>
      </w:pPr>
      <w:r>
        <w:t xml:space="preserve">Every record is scoped to your tenant. The system resolves your tenant from your authenticated</w:t>
      </w:r>
      <w:r>
        <w:t xml:space="preserve"> </w:t>
      </w:r>
      <w:r>
        <w:t xml:space="preserve">session and never from anything a browser can supply, so one tenant cannot see another's data.</w:t>
      </w:r>
    </w:p>
    <w:p>
      <w:pPr>
        <w:pStyle w:val="BodyText"/>
      </w:pPr>
      <w:r>
        <w:rPr>
          <w:b/>
          <w:bCs/>
        </w:rPr>
        <w:t xml:space="preserve">Q2: Can I use Kraal Code if my country is not Uganda?</w:t>
      </w:r>
    </w:p>
    <w:p>
      <w:pPr>
        <w:pStyle w:val="BodyText"/>
      </w:pPr>
      <w:r>
        <w:t xml:space="preserve">Yes. Currency, language, tax, statutory payroll, chart of accounts, and procurement rules are</w:t>
      </w:r>
      <w:r>
        <w:t xml:space="preserve"> </w:t>
      </w:r>
      <w:r>
        <w:t xml:space="preserve">configuration in your jurisdiction profile, not hard-coded. New jurisdictions are added by</w:t>
      </w:r>
      <w:r>
        <w:t xml:space="preserve"> </w:t>
      </w:r>
      <w:r>
        <w:t xml:space="preserve">configuration plus an adapter.</w:t>
      </w:r>
    </w:p>
    <w:p>
      <w:pPr>
        <w:pStyle w:val="BodyText"/>
      </w:pPr>
      <w:r>
        <w:rPr>
          <w:b/>
          <w:bCs/>
        </w:rPr>
        <w:t xml:space="preserve">Q3: What happens to a sale or payroll run after I post it?</w:t>
      </w:r>
    </w:p>
    <w:p>
      <w:pPr>
        <w:pStyle w:val="BodyText"/>
      </w:pPr>
      <w:r>
        <w:t xml:space="preserve">Posting creates the double-entry General Ledger effect automatically and writes an audit record.</w:t>
      </w:r>
      <w:r>
        <w:t xml:space="preserve"> </w:t>
      </w:r>
      <w:r>
        <w:t xml:space="preserve">Posted financial documents cannot be silently altered; corrections use credit notes or audited</w:t>
      </w:r>
      <w:r>
        <w:t xml:space="preserve"> </w:t>
      </w:r>
      <w:r>
        <w:t xml:space="preserve">adjustments.</w:t>
      </w:r>
    </w:p>
    <w:p>
      <w:pPr>
        <w:pStyle w:val="BodyText"/>
      </w:pPr>
      <w:r>
        <w:rPr>
          <w:b/>
          <w:bCs/>
        </w:rPr>
        <w:t xml:space="preserve">Q4: Does the point of sale work without internet?</w:t>
      </w:r>
    </w:p>
    <w:p>
      <w:pPr>
        <w:pStyle w:val="BodyText"/>
      </w:pPr>
      <w:r>
        <w:t xml:space="preserve">Yes. POS has an offline mode that captures sales locally and syncs when connectivity returns;</w:t>
      </w:r>
      <w:r>
        <w:t xml:space="preserve"> </w:t>
      </w:r>
      <w:r>
        <w:t xml:space="preserve">receipts print throughout.</w:t>
      </w:r>
    </w:p>
    <w:p>
      <w:pPr>
        <w:pStyle w:val="BodyText"/>
      </w:pPr>
      <w:r>
        <w:rPr>
          <w:b/>
          <w:bCs/>
        </w:rPr>
        <w:t xml:space="preserve">Q5: Is mobile-money disbursement available now?</w:t>
      </w:r>
    </w:p>
    <w:p>
      <w:pPr>
        <w:pStyle w:val="BodyText"/>
      </w:pPr>
      <w:r>
        <w:t xml:space="preserve">Disbursement runs are produced now and reconciled against the provider statement. Fully automated</w:t>
      </w:r>
      <w:r>
        <w:t xml:space="preserve"> </w:t>
      </w:r>
      <w:r>
        <w:t xml:space="preserve">live disbursement is a Roadmap item delivered once provider credentials are provisioned.</w:t>
      </w:r>
    </w:p>
    <w:p>
      <w:pPr>
        <w:pStyle w:val="BodyText"/>
      </w:pPr>
      <w:r>
        <w:rPr>
          <w:b/>
          <w:bCs/>
        </w:rPr>
        <w:t xml:space="preserve">Q6: How do I get my data out of the system?</w:t>
      </w:r>
    </w:p>
    <w:p>
      <w:pPr>
        <w:pStyle w:val="BodyText"/>
      </w:pPr>
      <w:r>
        <w:t xml:space="preserve">Administrators can export tenant data, including a structured personal-data export for a named</w:t>
      </w:r>
      <w:r>
        <w:t xml:space="preserve"> </w:t>
      </w:r>
      <w:r>
        <w:t xml:space="preserve">individual to support a subject-access request.</w:t>
      </w:r>
    </w:p>
    <w:bookmarkEnd w:id="9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2026-08-08T22:02:36Z</dcterms:created>
  <dcterms:modified xsi:type="dcterms:W3CDTF">2026-08-08T22:02:36Z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