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Architecture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high-level-architecture-document"/>
    <w:p>
      <w:pPr>
        <w:pStyle w:val="Heading1"/>
      </w:pPr>
      <w:r>
        <w:t xml:space="preserve">High-Level Architecture Document</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18" w:name="system-overview"/>
    <w:p>
      <w:pPr>
        <w:pStyle w:val="Heading1"/>
      </w:pPr>
      <w:r>
        <w:t xml:space="preserve">System Overview</w:t>
      </w:r>
    </w:p>
    <w:bookmarkStart w:id="12" w:name="X7cd5a99a7a3f5b9a58c3f469402e6ee05e17d87"/>
    <w:p>
      <w:pPr>
        <w:pStyle w:val="Heading2"/>
      </w:pPr>
      <w:r>
        <w:t xml:space="preserve">1.1 What Kraal Code Is</w:t>
      </w:r>
    </w:p>
    <w:p>
      <w:pPr>
        <w:pStyle w:val="FirstParagraph"/>
      </w:pPr>
      <w:r>
        <w:t xml:space="preserve">Kraal Code is a multi-tenant, service-oriented, cloud-hosted Enterprise Resource Planning (ERP) platform built for small-to-medium enterprises (SMEs) and organisations across Uganda and East Africa. The platform delivers a unified suite of business management modules — accounting, inventory, sales, procurement, human resources, manufacturing, and optional Outgrower &amp; Farmer Operations — through a single shared codebase that serves every tenant simultaneously.</w:t>
      </w:r>
    </w:p>
    <w:p>
      <w:pPr>
        <w:pStyle w:val="BodyText"/>
      </w:pPr>
      <w:r>
        <w:t xml:space="preserve">For industrial and logistics-intensive tenants, the high-level architecture treats Product Lifecycle Management (PLM), MES-grade Manufacturing, and Transportation &amp; Fleet Operations as first-class bounded capabilities within the same platform. These capabilities are designed as peer domains alongside finance, inventory, procurement, and HR so that engineering control, production execution, and transport execution can evolve independently while still sharing the same tenancy, security, integration, audit, and master-data foundations.</w:t>
      </w:r>
    </w:p>
    <w:p>
      <w:pPr>
        <w:pStyle w:val="BodyText"/>
      </w:pPr>
      <w:r>
        <w:t xml:space="preserve">For finance-intensive tenants, the architecture also treats the finance domain as more than basic bookkeeping. Finance is designed as a control-heavy platform capability that supports operational accounting, period close orchestration, approval-governed journal processing, recurring entries, and consolidation-ready group reporting. This allows Kraal Code to serve owner-managed businesses and multi-entity groups on the same platform without fragmenting the financial control model across separate tools.</w:t>
      </w:r>
    </w:p>
    <w:p>
      <w:pPr>
        <w:pStyle w:val="BodyText"/>
      </w:pPr>
      <w:r>
        <w:t xml:space="preserve">The architecture is designed around five non-negotiable qualities:</w:t>
      </w:r>
    </w:p>
    <w:p>
      <w:pPr>
        <w:pStyle w:val="Compact"/>
        <w:numPr>
          <w:ilvl w:val="0"/>
          <w:numId w:val="1001"/>
        </w:numPr>
      </w:pPr>
      <w:r>
        <w:rPr>
          <w:b/>
          <w:bCs/>
        </w:rPr>
        <w:t xml:space="preserve">Multi-tenancy:</w:t>
      </w:r>
      <w:r>
        <w:t xml:space="preserve"> </w:t>
      </w:r>
      <w:r>
        <w:t xml:space="preserve">Every tenant operates in a logically isolated workspace within a shared infrastructure. Row-level tenant isolation ensures no cross-tenant data leakage.</w:t>
      </w:r>
    </w:p>
    <w:p>
      <w:pPr>
        <w:pStyle w:val="Compact"/>
        <w:numPr>
          <w:ilvl w:val="0"/>
          <w:numId w:val="1001"/>
        </w:numPr>
      </w:pPr>
      <w:r>
        <w:rPr>
          <w:b/>
          <w:bCs/>
        </w:rPr>
        <w:t xml:space="preserve">Modularity:</w:t>
      </w:r>
      <w:r>
        <w:t xml:space="preserve"> </w:t>
      </w:r>
      <w:r>
        <w:t xml:space="preserve">Business capabilities are packaged as independently activatable modules. Tenants activate only the modules their subscription plan permits.</w:t>
      </w:r>
    </w:p>
    <w:p>
      <w:pPr>
        <w:pStyle w:val="Compact"/>
        <w:numPr>
          <w:ilvl w:val="0"/>
          <w:numId w:val="1001"/>
        </w:numPr>
      </w:pPr>
      <w:r>
        <w:rPr>
          <w:b/>
          <w:bCs/>
        </w:rPr>
        <w:t xml:space="preserve">Localisation-via-configuration:</w:t>
      </w:r>
      <w:r>
        <w:t xml:space="preserve"> </w:t>
      </w:r>
      <w:r>
        <w:t xml:space="preserve">The system supports multiple markets without code changes. All jurisdiction-specific behaviour — currency, tax rates, statutory deductions, date formats, legal text — is driven by a per-tenant localisation profile.</w:t>
      </w:r>
    </w:p>
    <w:p>
      <w:pPr>
        <w:pStyle w:val="Compact"/>
        <w:numPr>
          <w:ilvl w:val="0"/>
          <w:numId w:val="1001"/>
        </w:numPr>
      </w:pPr>
      <w:r>
        <w:rPr>
          <w:b/>
          <w:bCs/>
        </w:rPr>
        <w:t xml:space="preserve">Extensibility:</w:t>
      </w:r>
      <w:r>
        <w:t xml:space="preserve"> </w:t>
      </w:r>
      <w:r>
        <w:t xml:space="preserve">New modules and integrations are added without modifying the core platform. The service-oriented architecture (SOA) and dependency injection container isolate business logic from the routing and rendering layers.</w:t>
      </w:r>
    </w:p>
    <w:p>
      <w:pPr>
        <w:pStyle w:val="Compact"/>
        <w:numPr>
          <w:ilvl w:val="0"/>
          <w:numId w:val="1001"/>
        </w:numPr>
      </w:pPr>
      <w:r>
        <w:rPr>
          <w:b/>
          <w:bCs/>
        </w:rPr>
        <w:t xml:space="preserve">Performance:</w:t>
      </w:r>
      <w:r>
        <w:t xml:space="preserve"> </w:t>
      </w:r>
      <w:r>
        <w:t xml:space="preserve">The system shall render any data-entry page in ≤ 2 seconds at P95 under a load of 100 concurrent tenant users (NFR-PERF-001) and return any REST API response in ≤ 500 ms at P95 under 50 concurrent mobile clients per tenant (NFR-PERF-003).</w:t>
      </w:r>
    </w:p>
    <w:bookmarkEnd w:id="12"/>
    <w:bookmarkStart w:id="13" w:name="X6130af81249a9a3e4cf8de47c88369e13114cb7"/>
    <w:p>
      <w:pPr>
        <w:pStyle w:val="Heading2"/>
      </w:pPr>
      <w:r>
        <w:t xml:space="preserve">1.2 System Context Diagram</w:t>
      </w:r>
    </w:p>
    <w:p>
      <w:pPr>
        <w:pStyle w:val="SourceCode"/>
      </w:pPr>
      <w:r>
        <w:rPr>
          <w:rStyle w:val="VerbatimChar"/>
        </w:rPr>
        <w:t xml:space="preserve">                        ┌─────────────────────────────────────────────────┐</w:t>
      </w:r>
      <w:r>
        <w:br/>
      </w:r>
      <w:r>
        <w:rPr>
          <w:rStyle w:val="VerbatimChar"/>
        </w:rPr>
        <w:t xml:space="preserve">                        │                  KRAAL CODE                   │</w:t>
      </w:r>
      <w:r>
        <w:br/>
      </w:r>
      <w:r>
        <w:rPr>
          <w:rStyle w:val="VerbatimChar"/>
        </w:rPr>
        <w:t xml:space="preserve">                        │              (Apache / PHP 8.3)                 │</w:t>
      </w:r>
      <w:r>
        <w:br/>
      </w:r>
      <w:r>
        <w:rPr>
          <w:rStyle w:val="VerbatimChar"/>
        </w:rPr>
        <w:t xml:space="preserve">                        │                                                 │</w:t>
      </w:r>
      <w:r>
        <w:br/>
      </w:r>
      <w:r>
        <w:rPr>
          <w:rStyle w:val="VerbatimChar"/>
        </w:rPr>
        <w:t xml:space="preserve">  ┌──────────────┐      │  ┌─────────────┐  ┌───────────────────────┐   │</w:t>
      </w:r>
      <w:r>
        <w:br/>
      </w:r>
      <w:r>
        <w:rPr>
          <w:rStyle w:val="VerbatimChar"/>
        </w:rPr>
        <w:t xml:space="preserve">  │  Tenant      │─────▶│  │  Tenant     │  │  Super Admin Panel    │   │</w:t>
      </w:r>
      <w:r>
        <w:br/>
      </w:r>
      <w:r>
        <w:rPr>
          <w:rStyle w:val="VerbatimChar"/>
        </w:rPr>
        <w:t xml:space="preserve">  │  Staff       │      │  │  Workspace  │  │  /public/superadmin/  │   │</w:t>
      </w:r>
      <w:r>
        <w:br/>
      </w:r>
      <w:r>
        <w:rPr>
          <w:rStyle w:val="VerbatimChar"/>
        </w:rPr>
        <w:t xml:space="preserve">  │  (Browser)   │◀─────│  │  /public/   │  │  (Chwezi operators)   │   │</w:t>
      </w:r>
      <w:r>
        <w:br/>
      </w:r>
      <w:r>
        <w:rPr>
          <w:rStyle w:val="VerbatimChar"/>
        </w:rPr>
        <w:t xml:space="preserve">  └──────────────┘      │  └─────────────┘  └───────────────────────┘   │</w:t>
      </w:r>
      <w:r>
        <w:br/>
      </w:r>
      <w:r>
        <w:rPr>
          <w:rStyle w:val="VerbatimChar"/>
        </w:rPr>
        <w:t xml:space="preserve">                        │         │                                       │</w:t>
      </w:r>
      <w:r>
        <w:br/>
      </w:r>
      <w:r>
        <w:rPr>
          <w:rStyle w:val="VerbatimChar"/>
        </w:rPr>
        <w:t xml:space="preserve">  ┌──────────────┐      │  ┌──────▼──────┐  ┌───────────────────────┐   │</w:t>
      </w:r>
      <w:r>
        <w:br/>
      </w:r>
      <w:r>
        <w:rPr>
          <w:rStyle w:val="VerbatimChar"/>
        </w:rPr>
        <w:t xml:space="preserve">  │  End Users   │─────▶│  │  End-User   │  │  Service Layer        │   │</w:t>
      </w:r>
      <w:r>
        <w:br/>
      </w:r>
      <w:r>
        <w:rPr>
          <w:rStyle w:val="VerbatimChar"/>
        </w:rPr>
        <w:t xml:space="preserve">  │  Employees / │      │  │  Portal     │  │  src/Services/        │   │</w:t>
      </w:r>
      <w:r>
        <w:br/>
      </w:r>
      <w:r>
        <w:rPr>
          <w:rStyle w:val="VerbatimChar"/>
        </w:rPr>
        <w:t xml:space="preserve">  │  Customers / │◀─────│  │  /public/   │  │  PLM / Manufacturing  │   │</w:t>
      </w:r>
      <w:r>
        <w:br/>
      </w:r>
      <w:r>
        <w:rPr>
          <w:rStyle w:val="VerbatimChar"/>
        </w:rPr>
        <w:t xml:space="preserve">  │  Agents /    │      │  │  portal/    │  └───────────┬───────────┘   │</w:t>
      </w:r>
      <w:r>
        <w:br/>
      </w:r>
      <w:r>
        <w:rPr>
          <w:rStyle w:val="VerbatimChar"/>
        </w:rPr>
        <w:t xml:space="preserve">  │  Farmers     │      │  └─────────────┘              │               │</w:t>
      </w:r>
      <w:r>
        <w:br/>
      </w:r>
      <w:r>
        <w:rPr>
          <w:rStyle w:val="VerbatimChar"/>
        </w:rPr>
        <w:t xml:space="preserve">  └──────────────┘      │                               │               │</w:t>
      </w:r>
      <w:r>
        <w:br/>
      </w:r>
      <w:r>
        <w:rPr>
          <w:rStyle w:val="VerbatimChar"/>
        </w:rPr>
        <w:t xml:space="preserve">                        │  ┌─────────────────────────────▼─────────┐   │</w:t>
      </w:r>
      <w:r>
        <w:br/>
      </w:r>
      <w:r>
        <w:rPr>
          <w:rStyle w:val="VerbatimChar"/>
        </w:rPr>
        <w:t xml:space="preserve">  ┌──────────────┐      │  │         MySQL 9.1 (InnoDB)            │   │</w:t>
      </w:r>
      <w:r>
        <w:br/>
      </w:r>
      <w:r>
        <w:rPr>
          <w:rStyle w:val="VerbatimChar"/>
        </w:rPr>
        <w:t xml:space="preserve">  │  Mobile Apps │─────▶│  │  Shared Database — Row-Level          │   │</w:t>
      </w:r>
      <w:r>
        <w:br/>
      </w:r>
      <w:r>
        <w:rPr>
          <w:rStyle w:val="VerbatimChar"/>
        </w:rPr>
        <w:t xml:space="preserve">  │  Android /   │      │  │  Tenant Isolation via tenant_id FK    │   │</w:t>
      </w:r>
      <w:r>
        <w:br/>
      </w:r>
      <w:r>
        <w:rPr>
          <w:rStyle w:val="VerbatimChar"/>
        </w:rPr>
        <w:t xml:space="preserve">  │  iOS         │◀─────│  └───────────────────────────────────────┘   │</w:t>
      </w:r>
      <w:r>
        <w:br/>
      </w:r>
      <w:r>
        <w:rPr>
          <w:rStyle w:val="VerbatimChar"/>
        </w:rPr>
        <w:t xml:space="preserve">  └──────────────┘      │                                               │</w:t>
      </w:r>
      <w:r>
        <w:br/>
      </w:r>
      <w:r>
        <w:rPr>
          <w:rStyle w:val="VerbatimChar"/>
        </w:rPr>
        <w:t xml:space="preserve">                        │  ┌───────────────────────────────────────┐   │</w:t>
      </w:r>
      <w:r>
        <w:br/>
      </w:r>
      <w:r>
        <w:rPr>
          <w:rStyle w:val="VerbatimChar"/>
        </w:rPr>
        <w:t xml:space="preserve">  ┌──────────────┐      │  │  Integration Layer                    │   │</w:t>
      </w:r>
      <w:r>
        <w:br/>
      </w:r>
      <w:r>
        <w:rPr>
          <w:rStyle w:val="VerbatimChar"/>
        </w:rPr>
        <w:t xml:space="preserve">  │  External    │◀────▶│  │  MTN MoMo · Airtel Money · M-Pesa    │   │</w:t>
      </w:r>
      <w:r>
        <w:br/>
      </w:r>
      <w:r>
        <w:rPr>
          <w:rStyle w:val="VerbatimChar"/>
        </w:rPr>
        <w:t xml:space="preserve">  │  Services    │      │  │  URA EFRIS · NSSF · KRA iTax         │   │</w:t>
      </w:r>
      <w:r>
        <w:br/>
      </w:r>
      <w:r>
        <w:rPr>
          <w:rStyle w:val="VerbatimChar"/>
        </w:rPr>
        <w:t xml:space="preserve">  └──────────────┘      │  │  Africa's Talking (SMS/USSD)         │   │</w:t>
      </w:r>
      <w:r>
        <w:br/>
      </w:r>
      <w:r>
        <w:rPr>
          <w:rStyle w:val="VerbatimChar"/>
        </w:rPr>
        <w:t xml:space="preserve">                        │  └───────────────────────────────────────┘   │</w:t>
      </w:r>
      <w:r>
        <w:br/>
      </w:r>
      <w:r>
        <w:rPr>
          <w:rStyle w:val="VerbatimChar"/>
        </w:rPr>
        <w:t xml:space="preserve">                        └─────────────────────────────────────────────────┘</w:t>
      </w:r>
    </w:p>
    <w:bookmarkEnd w:id="13"/>
    <w:bookmarkStart w:id="14" w:name="X1f92cb51622a94b6a2c5b722144597e0a33a254"/>
    <w:p>
      <w:pPr>
        <w:pStyle w:val="Heading2"/>
      </w:pPr>
      <w:r>
        <w:t xml:space="preserve">1.2.1 First-Class Bounded Capabilities</w:t>
      </w:r>
    </w:p>
    <w:p>
      <w:pPr>
        <w:pStyle w:val="FirstParagraph"/>
      </w:pPr>
      <w:r>
        <w:t xml:space="preserve">Within the service layer, Kraal Code organises its industrial workflows into explicit bounded capabilities so that high-change operational domains remain cohesive and independently evolvable:</w:t>
      </w:r>
    </w:p>
    <w:p>
      <w:pPr>
        <w:pStyle w:val="Compact"/>
        <w:numPr>
          <w:ilvl w:val="0"/>
          <w:numId w:val="1002"/>
        </w:numPr>
      </w:pPr>
      <w:r>
        <w:rPr>
          <w:b/>
          <w:bCs/>
        </w:rPr>
        <w:t xml:space="preserve">PLM:</w:t>
      </w:r>
      <w:r>
        <w:t xml:space="preserve"> </w:t>
      </w:r>
      <w:r>
        <w:t xml:space="preserve">Owns product definitions, product structures, revisions, engineering change control, specifications, and controlled release of approved product master data into downstream operational modules.</w:t>
      </w:r>
    </w:p>
    <w:p>
      <w:pPr>
        <w:pStyle w:val="Compact"/>
        <w:numPr>
          <w:ilvl w:val="0"/>
          <w:numId w:val="1002"/>
        </w:numPr>
      </w:pPr>
      <w:r>
        <w:rPr>
          <w:b/>
          <w:bCs/>
        </w:rPr>
        <w:t xml:space="preserve">Manufacturing (MES-grade):</w:t>
      </w:r>
      <w:r>
        <w:t xml:space="preserve"> </w:t>
      </w:r>
      <w:r>
        <w:t xml:space="preserve">Owns production planning and execution, including bills of materials, routings, work centres, dispatching, work-order execution, in-process quality, traceability, downtime capture, and production performance monitoring.</w:t>
      </w:r>
    </w:p>
    <w:p>
      <w:pPr>
        <w:pStyle w:val="Compact"/>
        <w:numPr>
          <w:ilvl w:val="0"/>
          <w:numId w:val="1002"/>
        </w:numPr>
      </w:pPr>
      <w:r>
        <w:rPr>
          <w:b/>
          <w:bCs/>
        </w:rPr>
        <w:t xml:space="preserve">Transportation &amp; Fleet Operations:</w:t>
      </w:r>
      <w:r>
        <w:t xml:space="preserve"> </w:t>
      </w:r>
      <w:r>
        <w:t xml:space="preserve">Owns transport planning, dispatch, route and trip execution, load assignment, proof of delivery, vehicle and driver utilisation, fleet telemetry integration, and transport-operational visibility.</w:t>
      </w:r>
    </w:p>
    <w:p>
      <w:pPr>
        <w:pStyle w:val="FirstParagraph"/>
      </w:pPr>
      <w:r>
        <w:t xml:space="preserve">These bounded capabilities integrate with Inventory, Procurement, Sales, Assets, Finance, CRM, and mobile channels through the shared service layer and tenant-aware data platform shown above. This preserves the existing service-oriented SaaS architecture while making industrial lifecycle management and logistics execution explicit in the high-level design.</w:t>
      </w:r>
    </w:p>
    <w:bookmarkEnd w:id="14"/>
    <w:bookmarkStart w:id="15" w:name="X724e12c59b14b1ae543c7d5df5020bf075d0022"/>
    <w:p>
      <w:pPr>
        <w:pStyle w:val="Heading2"/>
      </w:pPr>
      <w:r>
        <w:t xml:space="preserve">1.2.2 Finance Control and Group Reporting Capability</w:t>
      </w:r>
    </w:p>
    <w:p>
      <w:pPr>
        <w:pStyle w:val="FirstParagraph"/>
      </w:pPr>
      <w:r>
        <w:t xml:space="preserve">Within the same service-oriented architecture, Finance is treated as a first-class control and reporting capability with explicit sub-domains that can scale from SME bookkeeping to enterprise-grade financial governance:</w:t>
      </w:r>
    </w:p>
    <w:p>
      <w:pPr>
        <w:pStyle w:val="Compact"/>
        <w:numPr>
          <w:ilvl w:val="0"/>
          <w:numId w:val="1003"/>
        </w:numPr>
      </w:pPr>
      <w:r>
        <w:rPr>
          <w:b/>
          <w:bCs/>
        </w:rPr>
        <w:t xml:space="preserve">Core Accounting:</w:t>
      </w:r>
      <w:r>
        <w:t xml:space="preserve"> </w:t>
      </w:r>
      <w:r>
        <w:t xml:space="preserve">Owns the chart of accounts, journal processing, subledger posting, bank reconciliation, tax accounting, budgets, and statutory ledgers.</w:t>
      </w:r>
    </w:p>
    <w:p>
      <w:pPr>
        <w:pStyle w:val="Compact"/>
        <w:numPr>
          <w:ilvl w:val="0"/>
          <w:numId w:val="1003"/>
        </w:numPr>
      </w:pPr>
      <w:r>
        <w:rPr>
          <w:b/>
          <w:bCs/>
        </w:rPr>
        <w:t xml:space="preserve">Financial Close Management:</w:t>
      </w:r>
      <w:r>
        <w:t xml:space="preserve"> </w:t>
      </w:r>
      <w:r>
        <w:t xml:space="preserve">Owns period calendars, close checklists, task assignment, dependency tracking, completion evidence, and close-status governance at tenant and entity level.</w:t>
      </w:r>
    </w:p>
    <w:p>
      <w:pPr>
        <w:pStyle w:val="Compact"/>
        <w:numPr>
          <w:ilvl w:val="0"/>
          <w:numId w:val="1003"/>
        </w:numPr>
      </w:pPr>
      <w:r>
        <w:rPr>
          <w:b/>
          <w:bCs/>
        </w:rPr>
        <w:t xml:space="preserve">Journal Governance and Approvals:</w:t>
      </w:r>
      <w:r>
        <w:t xml:space="preserve"> </w:t>
      </w:r>
      <w:r>
        <w:t xml:space="preserve">Owns approval-policy metadata, submission and review workflow, segregation-of-duties enforcement, and approval history for manual, recurring, and adjustment journals.</w:t>
      </w:r>
    </w:p>
    <w:p>
      <w:pPr>
        <w:pStyle w:val="Compact"/>
        <w:numPr>
          <w:ilvl w:val="0"/>
          <w:numId w:val="1003"/>
        </w:numPr>
      </w:pPr>
      <w:r>
        <w:rPr>
          <w:b/>
          <w:bCs/>
        </w:rPr>
        <w:t xml:space="preserve">Recurring and Automated Accounting:</w:t>
      </w:r>
      <w:r>
        <w:t xml:space="preserve"> </w:t>
      </w:r>
      <w:r>
        <w:t xml:space="preserve">Owns recurring journal templates, generation schedules, accrual and prepayment automation patterns, and controlled creation of draft journals for review.</w:t>
      </w:r>
    </w:p>
    <w:p>
      <w:pPr>
        <w:pStyle w:val="Compact"/>
        <w:numPr>
          <w:ilvl w:val="0"/>
          <w:numId w:val="1003"/>
        </w:numPr>
      </w:pPr>
      <w:r>
        <w:rPr>
          <w:b/>
          <w:bCs/>
        </w:rPr>
        <w:t xml:space="preserve">Consolidation and Eliminations:</w:t>
      </w:r>
      <w:r>
        <w:t xml:space="preserve"> </w:t>
      </w:r>
      <w:r>
        <w:t xml:space="preserve">Owns multi-entity group structures, consolidation periods, elimination and top-side adjustments, minority-interest-ready adjustment foundations, and group-reporting data sets.</w:t>
      </w:r>
    </w:p>
    <w:p>
      <w:pPr>
        <w:pStyle w:val="Compact"/>
        <w:numPr>
          <w:ilvl w:val="0"/>
          <w:numId w:val="1003"/>
        </w:numPr>
      </w:pPr>
      <w:r>
        <w:rPr>
          <w:b/>
          <w:bCs/>
        </w:rPr>
        <w:t xml:space="preserve">Finance Control Evidence:</w:t>
      </w:r>
      <w:r>
        <w:t xml:space="preserve"> </w:t>
      </w:r>
      <w:r>
        <w:t xml:space="preserve">Owns attachment, attestation, reviewer sign-off, and immutable evidence trails for reconciliations, close tasks, approvals, and audit support.</w:t>
      </w:r>
    </w:p>
    <w:p>
      <w:pPr>
        <w:pStyle w:val="FirstParagraph"/>
      </w:pPr>
      <w:r>
        <w:t xml:space="preserve">This finance capability integrates tightly with Sales, Procurement, Payroll, Inventory, Manufacturing, Transportation, and Assets so that operational events generate financial postings while still remaining subject to close governance, approval controls, and group-reporting rules. The result is a platform architecture in which financial accuracy, auditability, and period-end discipline are treated as core architectural concerns rather than downstream reporting concerns.</w:t>
      </w:r>
    </w:p>
    <w:bookmarkEnd w:id="15"/>
    <w:bookmarkStart w:id="16" w:name="Xed5ac50128e73743c1da0aa16c1a95cf2837a43"/>
    <w:p>
      <w:pPr>
        <w:pStyle w:val="Heading2"/>
      </w:pPr>
      <w:r>
        <w:t xml:space="preserve">1.3 Key Technology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Backend language</w:t>
            </w:r>
          </w:p>
        </w:tc>
        <w:tc>
          <w:tcPr/>
          <w:p>
            <w:pPr>
              <w:pStyle w:val="Compact"/>
            </w:pPr>
            <w:r>
              <w:t xml:space="preserve">PHP (strict types, PSR-4)</w:t>
            </w:r>
          </w:p>
        </w:tc>
        <w:tc>
          <w:tcPr/>
          <w:p>
            <w:pPr>
              <w:pStyle w:val="Compact"/>
            </w:pPr>
            <w:r>
              <w:t xml:space="preserve">8.3+</w:t>
            </w:r>
          </w:p>
        </w:tc>
      </w:tr>
      <w:tr>
        <w:tc>
          <w:tcPr/>
          <w:p>
            <w:pPr>
              <w:pStyle w:val="Compact"/>
            </w:pPr>
            <w:r>
              <w:t xml:space="preserve">Architecture pattern</w:t>
            </w:r>
          </w:p>
        </w:tc>
        <w:tc>
          <w:tcPr/>
          <w:p>
            <w:pPr>
              <w:pStyle w:val="Compact"/>
            </w:pPr>
            <w:r>
              <w:t xml:space="preserve">Service-oriented, Domain-Driven Design</w:t>
            </w:r>
          </w:p>
        </w:tc>
        <w:tc>
          <w:tcPr/>
          <w:p>
            <w:pPr>
              <w:pStyle w:val="Compact"/>
            </w:pPr>
            <w:r>
              <w:t xml:space="preserve">—</w:t>
            </w:r>
          </w:p>
        </w:tc>
      </w:tr>
      <w:tr>
        <w:tc>
          <w:tcPr/>
          <w:p>
            <w:pPr>
              <w:pStyle w:val="Compact"/>
            </w:pPr>
            <w:r>
              <w:t xml:space="preserve">Dependency injection</w:t>
            </w:r>
          </w:p>
        </w:tc>
        <w:tc>
          <w:tcPr/>
          <w:p>
            <w:pPr>
              <w:pStyle w:val="Compact"/>
            </w:pPr>
            <w:r>
              <w:t xml:space="preserve">PHP-DI</w:t>
            </w:r>
          </w:p>
        </w:tc>
        <w:tc>
          <w:tcPr/>
          <w:p>
            <w:pPr>
              <w:pStyle w:val="Compact"/>
            </w:pPr>
            <w:r>
              <w:t xml:space="preserve">7.0</w:t>
            </w:r>
          </w:p>
        </w:tc>
      </w:tr>
      <w:tr>
        <w:tc>
          <w:tcPr/>
          <w:p>
            <w:pPr>
              <w:pStyle w:val="Compact"/>
            </w:pPr>
            <w:r>
              <w:t xml:space="preserve">Database engine</w:t>
            </w:r>
          </w:p>
        </w:tc>
        <w:tc>
          <w:tcPr/>
          <w:p>
            <w:pPr>
              <w:pStyle w:val="Compact"/>
            </w:pPr>
            <w:r>
              <w:t xml:space="preserve">MySQL, InnoDB</w:t>
            </w:r>
          </w:p>
        </w:tc>
        <w:tc>
          <w:tcPr/>
          <w:p>
            <w:pPr>
              <w:pStyle w:val="Compact"/>
            </w:pPr>
            <w:r>
              <w:t xml:space="preserve">9.1</w:t>
            </w:r>
          </w:p>
        </w:tc>
      </w:tr>
      <w:tr>
        <w:tc>
          <w:tcPr/>
          <w:p>
            <w:pPr>
              <w:pStyle w:val="Compact"/>
            </w:pPr>
            <w:r>
              <w:t xml:space="preserve">Character set</w:t>
            </w:r>
          </w:p>
        </w:tc>
        <w:tc>
          <w:tcPr/>
          <w:p>
            <w:pPr>
              <w:pStyle w:val="Compact"/>
            </w:pPr>
            <w:r>
              <w:t xml:space="preserve">UTF8MB4</w:t>
            </w:r>
          </w:p>
        </w:tc>
        <w:tc>
          <w:tcPr/>
          <w:p>
            <w:pPr>
              <w:pStyle w:val="Compact"/>
            </w:pPr>
            <w:r>
              <w:t xml:space="preserve">—</w:t>
            </w:r>
          </w:p>
        </w:tc>
      </w:tr>
      <w:tr>
        <w:tc>
          <w:tcPr/>
          <w:p>
            <w:pPr>
              <w:pStyle w:val="Compact"/>
            </w:pPr>
            <w:r>
              <w:t xml:space="preserve">Web frontend framework</w:t>
            </w:r>
          </w:p>
        </w:tc>
        <w:tc>
          <w:tcPr/>
          <w:p>
            <w:pPr>
              <w:pStyle w:val="Compact"/>
            </w:pPr>
            <w:r>
              <w:t xml:space="preserve">Bootstrap</w:t>
            </w:r>
          </w:p>
        </w:tc>
        <w:tc>
          <w:tcPr/>
          <w:p>
            <w:pPr>
              <w:pStyle w:val="Compact"/>
            </w:pPr>
            <w:r>
              <w:t xml:space="preserve">5.3.0</w:t>
            </w:r>
          </w:p>
        </w:tc>
      </w:tr>
      <w:tr>
        <w:tc>
          <w:tcPr/>
          <w:p>
            <w:pPr>
              <w:pStyle w:val="Compact"/>
            </w:pPr>
            <w:r>
              <w:t xml:space="preserve">JavaScript library</w:t>
            </w:r>
          </w:p>
        </w:tc>
        <w:tc>
          <w:tcPr/>
          <w:p>
            <w:pPr>
              <w:pStyle w:val="Compact"/>
            </w:pPr>
            <w:r>
              <w:t xml:space="preserve">jQuery</w:t>
            </w:r>
          </w:p>
        </w:tc>
        <w:tc>
          <w:tcPr/>
          <w:p>
            <w:pPr>
              <w:pStyle w:val="Compact"/>
            </w:pPr>
            <w:r>
              <w:t xml:space="preserve">3.7.0</w:t>
            </w:r>
          </w:p>
        </w:tc>
      </w:tr>
      <w:tr>
        <w:tc>
          <w:tcPr/>
          <w:p>
            <w:pPr>
              <w:pStyle w:val="Compact"/>
            </w:pPr>
            <w:r>
              <w:t xml:space="preserve">Mobile — Android</w:t>
            </w:r>
          </w:p>
        </w:tc>
        <w:tc>
          <w:tcPr/>
          <w:p>
            <w:pPr>
              <w:pStyle w:val="Compact"/>
            </w:pPr>
            <w:r>
              <w:t xml:space="preserve">Kotlin + Jetpack Compose</w:t>
            </w:r>
          </w:p>
        </w:tc>
        <w:tc>
          <w:tcPr/>
          <w:p>
            <w:pPr>
              <w:pStyle w:val="Compact"/>
            </w:pPr>
            <w:r>
              <w:t xml:space="preserve">—</w:t>
            </w:r>
          </w:p>
        </w:tc>
      </w:tr>
      <w:tr>
        <w:tc>
          <w:tcPr/>
          <w:p>
            <w:pPr>
              <w:pStyle w:val="Compact"/>
            </w:pPr>
            <w:r>
              <w:t xml:space="preserve">Mobile — iOS</w:t>
            </w:r>
          </w:p>
        </w:tc>
        <w:tc>
          <w:tcPr/>
          <w:p>
            <w:pPr>
              <w:pStyle w:val="Compact"/>
            </w:pPr>
            <w:r>
              <w:t xml:space="preserve">Swift + SwiftUI</w:t>
            </w:r>
          </w:p>
        </w:tc>
        <w:tc>
          <w:tcPr/>
          <w:p>
            <w:pPr>
              <w:pStyle w:val="Compact"/>
            </w:pPr>
            <w:r>
              <w:t xml:space="preserve">—</w:t>
            </w:r>
          </w:p>
        </w:tc>
      </w:tr>
      <w:tr>
        <w:tc>
          <w:tcPr/>
          <w:p>
            <w:pPr>
              <w:pStyle w:val="Compact"/>
            </w:pPr>
            <w:r>
              <w:t xml:space="preserve">Web server</w:t>
            </w:r>
          </w:p>
        </w:tc>
        <w:tc>
          <w:tcPr/>
          <w:p>
            <w:pPr>
              <w:pStyle w:val="Compact"/>
            </w:pPr>
            <w:r>
              <w:t xml:space="preserve">Apache with mod_rewrite</w:t>
            </w:r>
          </w:p>
        </w:tc>
        <w:tc>
          <w:tcPr/>
          <w:p>
            <w:pPr>
              <w:pStyle w:val="Compact"/>
            </w:pPr>
            <w:r>
              <w:t xml:space="preserve">—</w:t>
            </w:r>
          </w:p>
        </w:tc>
      </w:tr>
    </w:tbl>
    <w:bookmarkEnd w:id="16"/>
    <w:bookmarkStart w:id="17" w:name="X841f344590ed763a1fba5f959a28a1efadd58b1"/>
    <w:p>
      <w:pPr>
        <w:pStyle w:val="Heading2"/>
      </w:pPr>
      <w:r>
        <w:t xml:space="preserve">1.4 Deployment Model</w:t>
      </w:r>
    </w:p>
    <w:p>
      <w:pPr>
        <w:pStyle w:val="FirstParagraph"/>
      </w:pPr>
      <w:r>
        <w:t xml:space="preserve">Kraal Code operates as a single-instance, multi-tenant Software as a Service (SaaS) platform. All tenants share one Apache/PHP application process pool and one MySQL database server. Tenant isolation is enforced at the application layer (middleware pipeline) and at the data layer (row-level</w:t>
      </w:r>
      <w:r>
        <w:t xml:space="preserve"> </w:t>
      </w:r>
      <w:r>
        <w:rPr>
          <w:rStyle w:val="VerbatimChar"/>
        </w:rPr>
        <w:t xml:space="preserve">tenant_id</w:t>
      </w:r>
      <w:r>
        <w:t xml:space="preserve"> </w:t>
      </w:r>
      <w:r>
        <w:t xml:space="preserve">foreign key). The platform shall support ≥ 500 concurrent active tenants on a single deployment without degradation beyond NFR-PERF-001 and NFR-PERF-003 thresholds (NFR-SCALE-001).</w:t>
      </w:r>
    </w:p>
    <w:bookmarkEnd w:id="17"/>
    <w:bookmarkEnd w:id="18"/>
    <w:bookmarkStart w:id="35" w:name="three-tier-panel-architecture"/>
    <w:p>
      <w:pPr>
        <w:pStyle w:val="Heading1"/>
      </w:pPr>
      <w:r>
        <w:t xml:space="preserve">Three-Tier Panel Architecture</w:t>
      </w:r>
    </w:p>
    <w:p>
      <w:pPr>
        <w:pStyle w:val="FirstParagraph"/>
      </w:pPr>
      <w:r>
        <w:t xml:space="preserve">Kraal Code exposes three distinct web panels, each serving a different class of user at a different URL path. All three panels run within the same PHP application but enforce separate authentication scopes, session contexts, and permission models.</w:t>
      </w:r>
    </w:p>
    <w:bookmarkStart w:id="19" w:name="Xb4334db5d47a6b0d25d8f77561c2a6ed9873438"/>
    <w:p>
      <w:pPr>
        <w:pStyle w:val="Heading2"/>
      </w:pPr>
      <w:r>
        <w:t xml:space="preserve">2.1 Panel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URL Path</w:t>
            </w:r>
          </w:p>
        </w:tc>
        <w:tc>
          <w:tcPr/>
          <w:p>
            <w:pPr>
              <w:pStyle w:val="Compact"/>
            </w:pPr>
            <w:r>
              <w:t xml:space="preserve">Primary Users</w:t>
            </w:r>
          </w:p>
        </w:tc>
        <w:tc>
          <w:tcPr/>
          <w:p>
            <w:pPr>
              <w:pStyle w:val="Compact"/>
            </w:pPr>
            <w:r>
              <w:t xml:space="preserve">Authentication</w:t>
            </w:r>
          </w:p>
        </w:tc>
      </w:tr>
      <w:tr>
        <w:tc>
          <w:tcPr/>
          <w:p>
            <w:pPr>
              <w:pStyle w:val="Compact"/>
            </w:pPr>
            <w:r>
              <w:t xml:space="preserve">Tenant Workspace</w:t>
            </w:r>
          </w:p>
        </w:tc>
        <w:tc>
          <w:tcPr/>
          <w:p>
            <w:pPr>
              <w:pStyle w:val="Compact"/>
            </w:pPr>
            <w:r>
              <w:rPr>
                <w:rStyle w:val="VerbatimChar"/>
              </w:rPr>
              <w:t xml:space="preserve">/public/</w:t>
            </w:r>
          </w:p>
        </w:tc>
        <w:tc>
          <w:tcPr/>
          <w:p>
            <w:pPr>
              <w:pStyle w:val="Compact"/>
            </w:pPr>
            <w:r>
              <w:t xml:space="preserve">All tenant staff</w:t>
            </w:r>
          </w:p>
        </w:tc>
        <w:tc>
          <w:tcPr/>
          <w:p>
            <w:pPr>
              <w:pStyle w:val="Compact"/>
            </w:pPr>
            <w:r>
              <w:t xml:space="preserve">Session —</w:t>
            </w:r>
            <w:r>
              <w:t xml:space="preserve"> </w:t>
            </w:r>
            <w:r>
              <w:rPr>
                <w:rStyle w:val="VerbatimChar"/>
              </w:rPr>
              <w:t xml:space="preserve">KRAAL_CODE_SESSION</w:t>
            </w:r>
          </w:p>
        </w:tc>
      </w:tr>
      <w:tr>
        <w:tc>
          <w:tcPr/>
          <w:p>
            <w:pPr>
              <w:pStyle w:val="Compact"/>
            </w:pPr>
            <w:r>
              <w:t xml:space="preserve">Super Admin Panel</w:t>
            </w:r>
          </w:p>
        </w:tc>
        <w:tc>
          <w:tcPr/>
          <w:p>
            <w:pPr>
              <w:pStyle w:val="Compact"/>
            </w:pPr>
            <w:r>
              <w:rPr>
                <w:rStyle w:val="VerbatimChar"/>
              </w:rPr>
              <w:t xml:space="preserve">/public/superadmin/</w:t>
            </w:r>
          </w:p>
        </w:tc>
        <w:tc>
          <w:tcPr/>
          <w:p>
            <w:pPr>
              <w:pStyle w:val="Compact"/>
            </w:pPr>
            <w:r>
              <w:t xml:space="preserve">Chwezi platform operators</w:t>
            </w:r>
          </w:p>
        </w:tc>
        <w:tc>
          <w:tcPr/>
          <w:p>
            <w:pPr>
              <w:pStyle w:val="Compact"/>
            </w:pPr>
            <w:r>
              <w:t xml:space="preserve">Separate super admin session</w:t>
            </w:r>
          </w:p>
        </w:tc>
      </w:tr>
      <w:tr>
        <w:tc>
          <w:tcPr/>
          <w:p>
            <w:pPr>
              <w:pStyle w:val="Compact"/>
            </w:pPr>
            <w:r>
              <w:t xml:space="preserve">End-User Portal</w:t>
            </w:r>
          </w:p>
        </w:tc>
        <w:tc>
          <w:tcPr/>
          <w:p>
            <w:pPr>
              <w:pStyle w:val="Compact"/>
            </w:pPr>
            <w:r>
              <w:rPr>
                <w:rStyle w:val="VerbatimChar"/>
              </w:rPr>
              <w:t xml:space="preserve">/public/portal/</w:t>
            </w:r>
          </w:p>
        </w:tc>
        <w:tc>
          <w:tcPr/>
          <w:p>
            <w:pPr>
              <w:pStyle w:val="Compact"/>
            </w:pPr>
            <w:r>
              <w:t xml:space="preserve">Employees, customers, agents, farmers</w:t>
            </w:r>
          </w:p>
        </w:tc>
        <w:tc>
          <w:tcPr/>
          <w:p>
            <w:pPr>
              <w:pStyle w:val="Compact"/>
            </w:pPr>
            <w:r>
              <w:t xml:space="preserve">Separate portal session</w:t>
            </w:r>
          </w:p>
        </w:tc>
      </w:tr>
    </w:tbl>
    <w:p>
      <w:r>
        <w:pict>
          <v:rect style="width:0;height:1.5pt" o:hralign="center" o:hrstd="t" o:hr="t"/>
        </w:pict>
      </w:r>
    </w:p>
    <w:bookmarkEnd w:id="19"/>
    <w:bookmarkStart w:id="24" w:name="X2e28915a5ea595a85cf45ef8d074acd7eb9f888"/>
    <w:p>
      <w:pPr>
        <w:pStyle w:val="Heading2"/>
      </w:pPr>
      <w:r>
        <w:t xml:space="preserve">2.2 Tenant Workspace (</w:t>
      </w:r>
      <w:r>
        <w:rPr>
          <w:rStyle w:val="VerbatimChar"/>
        </w:rPr>
        <w:t xml:space="preserve">/public/</w:t>
      </w:r>
      <w:r>
        <w:t xml:space="preserve">)</w:t>
      </w:r>
    </w:p>
    <w:bookmarkStart w:id="20" w:name="url-path"/>
    <w:p>
      <w:pPr>
        <w:pStyle w:val="Heading3"/>
      </w:pPr>
      <w:r>
        <w:t xml:space="preserve">URL Path</w:t>
      </w:r>
    </w:p>
    <w:p>
      <w:pPr>
        <w:pStyle w:val="FirstParagraph"/>
      </w:pPr>
      <w:r>
        <w:rPr>
          <w:rStyle w:val="VerbatimChar"/>
        </w:rPr>
        <w:t xml:space="preserve">/public/</w:t>
      </w:r>
    </w:p>
    <w:bookmarkEnd w:id="20"/>
    <w:bookmarkStart w:id="21" w:name="primary-users"/>
    <w:p>
      <w:pPr>
        <w:pStyle w:val="Heading3"/>
      </w:pPr>
      <w:r>
        <w:t xml:space="preserve">Primary Users</w:t>
      </w:r>
    </w:p>
    <w:p>
      <w:pPr>
        <w:pStyle w:val="FirstParagraph"/>
      </w:pPr>
      <w:r>
        <w:t xml:space="preserve">All staff users who belong to an active tenant: accountants, sales representatives, procurement officers, warehouse staff, HR managers, branch managers, and any other role defined within the tenant's Role-Based Access Control (RBAC) configuration.</w:t>
      </w:r>
    </w:p>
    <w:bookmarkEnd w:id="21"/>
    <w:bookmarkStart w:id="22" w:name="key-capabilities"/>
    <w:p>
      <w:pPr>
        <w:pStyle w:val="Heading3"/>
      </w:pPr>
      <w:r>
        <w:t xml:space="preserve">Key Capabilities</w:t>
      </w:r>
    </w:p>
    <w:p>
      <w:pPr>
        <w:pStyle w:val="Compact"/>
        <w:numPr>
          <w:ilvl w:val="0"/>
          <w:numId w:val="1004"/>
        </w:numPr>
      </w:pPr>
      <w:r>
        <w:t xml:space="preserve">Full access to all modules the tenant has activated under its subscription plan.</w:t>
      </w:r>
    </w:p>
    <w:p>
      <w:pPr>
        <w:pStyle w:val="Compact"/>
        <w:numPr>
          <w:ilvl w:val="0"/>
          <w:numId w:val="1004"/>
        </w:numPr>
      </w:pPr>
      <w:r>
        <w:t xml:space="preserve">Branch-scoped operations: every session is bound to a branch, and all data entry and reporting is branch-aware.</w:t>
      </w:r>
    </w:p>
    <w:p>
      <w:pPr>
        <w:pStyle w:val="Compact"/>
        <w:numPr>
          <w:ilvl w:val="0"/>
          <w:numId w:val="1004"/>
        </w:numPr>
      </w:pPr>
      <w:r>
        <w:t xml:space="preserve">Granular RBAC: every page and API endpoint enforces</w:t>
      </w:r>
      <w:r>
        <w:t xml:space="preserve"> </w:t>
      </w:r>
      <w:r>
        <w:rPr>
          <w:rStyle w:val="VerbatimChar"/>
        </w:rPr>
        <w:t xml:space="preserve">RequirePermission</w:t>
      </w:r>
      <w:r>
        <w:t xml:space="preserve"> </w:t>
      </w:r>
      <w:r>
        <w:t xml:space="preserve">middleware checks against the authenticated user's role.</w:t>
      </w:r>
    </w:p>
    <w:p>
      <w:pPr>
        <w:pStyle w:val="Compact"/>
        <w:numPr>
          <w:ilvl w:val="0"/>
          <w:numId w:val="1004"/>
        </w:numPr>
      </w:pPr>
      <w:r>
        <w:t xml:space="preserve">Multi-currency transactions, localised tax computation, and statutory deduction processing driven by the tenant's active localisation profile.</w:t>
      </w:r>
    </w:p>
    <w:p>
      <w:pPr>
        <w:pStyle w:val="Compact"/>
        <w:numPr>
          <w:ilvl w:val="0"/>
          <w:numId w:val="1004"/>
        </w:numPr>
      </w:pPr>
      <w:r>
        <w:t xml:space="preserve">Real-time dashboard, data-entry forms, approval workflows, and reporting across all active modules.</w:t>
      </w:r>
    </w:p>
    <w:bookmarkEnd w:id="22"/>
    <w:bookmarkStart w:id="23" w:name="authentication-method"/>
    <w:p>
      <w:pPr>
        <w:pStyle w:val="Heading3"/>
      </w:pPr>
      <w:r>
        <w:t xml:space="preserve">Authentication Method</w:t>
      </w:r>
    </w:p>
    <w:p>
      <w:pPr>
        <w:pStyle w:val="FirstParagraph"/>
      </w:pPr>
      <w:r>
        <w:t xml:space="preserve">Session-based authentication using the</w:t>
      </w:r>
      <w:r>
        <w:t xml:space="preserve"> </w:t>
      </w:r>
      <w:r>
        <w:rPr>
          <w:rStyle w:val="VerbatimChar"/>
        </w:rPr>
        <w:t xml:space="preserve">KRAAL_CODE_SESSION</w:t>
      </w:r>
      <w:r>
        <w:t xml:space="preserve"> </w:t>
      </w:r>
      <w:r>
        <w:t xml:space="preserve">cookie (HttpOnly, SameSite=Strict). The full middleware pipeline —</w:t>
      </w:r>
      <w:r>
        <w:t xml:space="preserve"> </w:t>
      </w:r>
      <w:r>
        <w:rPr>
          <w:rStyle w:val="VerbatimChar"/>
        </w:rPr>
        <w:t xml:space="preserve">EnsureAuthenticated → EnsureTenantSelected → EnsureTenantActive → EnsureBranchSelected → RequirePermission</w:t>
      </w:r>
      <w:r>
        <w:t xml:space="preserve"> </w:t>
      </w:r>
      <w:r>
        <w:t xml:space="preserve">— executes on every request to this panel. See Section 4 for the complete middleware specification.</w:t>
      </w:r>
    </w:p>
    <w:p>
      <w:r>
        <w:pict>
          <v:rect style="width:0;height:1.5pt" o:hralign="center" o:hrstd="t" o:hr="t"/>
        </w:pict>
      </w:r>
    </w:p>
    <w:bookmarkEnd w:id="23"/>
    <w:bookmarkEnd w:id="24"/>
    <w:bookmarkStart w:id="29" w:name="X5974d0581ab2e9c7300facd88c231fca89f3bff"/>
    <w:p>
      <w:pPr>
        <w:pStyle w:val="Heading2"/>
      </w:pPr>
      <w:r>
        <w:t xml:space="preserve">2.3 Super Admin Panel (</w:t>
      </w:r>
      <w:r>
        <w:rPr>
          <w:rStyle w:val="VerbatimChar"/>
        </w:rPr>
        <w:t xml:space="preserve">/public/superadmin/</w:t>
      </w:r>
      <w:r>
        <w:t xml:space="preserve">)</w:t>
      </w:r>
    </w:p>
    <w:bookmarkStart w:id="25" w:name="url-path-1"/>
    <w:p>
      <w:pPr>
        <w:pStyle w:val="Heading3"/>
      </w:pPr>
      <w:r>
        <w:t xml:space="preserve">URL Path</w:t>
      </w:r>
    </w:p>
    <w:p>
      <w:pPr>
        <w:pStyle w:val="FirstParagraph"/>
      </w:pPr>
      <w:r>
        <w:rPr>
          <w:rStyle w:val="VerbatimChar"/>
        </w:rPr>
        <w:t xml:space="preserve">/public/superadmin/</w:t>
      </w:r>
    </w:p>
    <w:bookmarkEnd w:id="25"/>
    <w:bookmarkStart w:id="26" w:name="primary-users-1"/>
    <w:p>
      <w:pPr>
        <w:pStyle w:val="Heading3"/>
      </w:pPr>
      <w:r>
        <w:t xml:space="preserve">Primary Users</w:t>
      </w:r>
    </w:p>
    <w:p>
      <w:pPr>
        <w:pStyle w:val="FirstParagraph"/>
      </w:pPr>
      <w:r>
        <w:t xml:space="preserve">Chwezi Core Systems platform operators responsible for managing the SaaS platform itself. Super admin users do not belong to any tenant and operate outside the tenant isolation boundary.</w:t>
      </w:r>
    </w:p>
    <w:bookmarkEnd w:id="26"/>
    <w:bookmarkStart w:id="27" w:name="key-capabilities-1"/>
    <w:p>
      <w:pPr>
        <w:pStyle w:val="Heading3"/>
      </w:pPr>
      <w:r>
        <w:t xml:space="preserve">Key Capabilities</w:t>
      </w:r>
    </w:p>
    <w:p>
      <w:pPr>
        <w:pStyle w:val="Compact"/>
        <w:numPr>
          <w:ilvl w:val="0"/>
          <w:numId w:val="1005"/>
        </w:numPr>
      </w:pPr>
      <w:r>
        <w:t xml:space="preserve">Tenant provisioning: create, configure, and onboard new tenants.</w:t>
      </w:r>
    </w:p>
    <w:p>
      <w:pPr>
        <w:pStyle w:val="Compact"/>
        <w:numPr>
          <w:ilvl w:val="0"/>
          <w:numId w:val="1005"/>
        </w:numPr>
      </w:pPr>
      <w:r>
        <w:t xml:space="preserve">Subscription management: assign subscription plans, activate or deactivate add-on modules, set billing cycles.</w:t>
      </w:r>
    </w:p>
    <w:p>
      <w:pPr>
        <w:pStyle w:val="Compact"/>
        <w:numPr>
          <w:ilvl w:val="0"/>
          <w:numId w:val="1005"/>
        </w:numPr>
      </w:pPr>
      <w:r>
        <w:t xml:space="preserve">Tenant lifecycle management: transition tenants through Trial → Active → Overdue → Suspended → Archived states.</w:t>
      </w:r>
    </w:p>
    <w:p>
      <w:pPr>
        <w:pStyle w:val="Compact"/>
        <w:numPr>
          <w:ilvl w:val="0"/>
          <w:numId w:val="1005"/>
        </w:numPr>
      </w:pPr>
      <w:r>
        <w:t xml:space="preserve">Billing and invoice generation for all tenants.</w:t>
      </w:r>
    </w:p>
    <w:p>
      <w:pPr>
        <w:pStyle w:val="Compact"/>
        <w:numPr>
          <w:ilvl w:val="0"/>
          <w:numId w:val="1005"/>
        </w:numPr>
      </w:pPr>
      <w:r>
        <w:t xml:space="preserve">Platform-wide monitoring: tenant activity, error rates, storage usage.</w:t>
      </w:r>
    </w:p>
    <w:p>
      <w:pPr>
        <w:pStyle w:val="Compact"/>
        <w:numPr>
          <w:ilvl w:val="0"/>
          <w:numId w:val="1005"/>
        </w:numPr>
      </w:pPr>
      <w:r>
        <w:t xml:space="preserve">Super admin user management: create and manage Chwezi operator accounts.</w:t>
      </w:r>
    </w:p>
    <w:p>
      <w:pPr>
        <w:pStyle w:val="Compact"/>
        <w:numPr>
          <w:ilvl w:val="0"/>
          <w:numId w:val="1005"/>
        </w:numPr>
      </w:pPr>
      <w:r>
        <w:t xml:space="preserve">Read-only access to tenant data for support escalations (access is logged in the audit trail).</w:t>
      </w:r>
    </w:p>
    <w:bookmarkEnd w:id="27"/>
    <w:bookmarkStart w:id="28" w:name="authentication-method-1"/>
    <w:p>
      <w:pPr>
        <w:pStyle w:val="Heading3"/>
      </w:pPr>
      <w:r>
        <w:t xml:space="preserve">Authentication Method</w:t>
      </w:r>
    </w:p>
    <w:p>
      <w:pPr>
        <w:pStyle w:val="FirstParagraph"/>
      </w:pPr>
      <w:r>
        <w:t xml:space="preserve">Dedicated super admin session (separate cookie scope from tenant sessions). Super admin credentials are stored in an isolated user table with no</w:t>
      </w:r>
      <w:r>
        <w:t xml:space="preserve"> </w:t>
      </w:r>
      <w:r>
        <w:rPr>
          <w:rStyle w:val="VerbatimChar"/>
        </w:rPr>
        <w:t xml:space="preserve">tenant_id</w:t>
      </w:r>
      <w:r>
        <w:t xml:space="preserve">. All super admin API calls route through</w:t>
      </w:r>
      <w:r>
        <w:t xml:space="preserve"> </w:t>
      </w:r>
      <w:r>
        <w:rPr>
          <w:rStyle w:val="VerbatimChar"/>
        </w:rPr>
        <w:t xml:space="preserve">/public/superadmin/api/</w:t>
      </w:r>
      <w:r>
        <w:t xml:space="preserve"> </w:t>
      </w:r>
      <w:r>
        <w:t xml:space="preserve">and enforce super admin session validation on every request.</w:t>
      </w:r>
    </w:p>
    <w:p>
      <w:r>
        <w:pict>
          <v:rect style="width:0;height:1.5pt" o:hralign="center" o:hrstd="t" o:hr="t"/>
        </w:pict>
      </w:r>
    </w:p>
    <w:bookmarkEnd w:id="28"/>
    <w:bookmarkEnd w:id="29"/>
    <w:bookmarkStart w:id="34" w:name="X1f666bee5fb9fbda0b6e241b2ba1d7e801db51d"/>
    <w:p>
      <w:pPr>
        <w:pStyle w:val="Heading2"/>
      </w:pPr>
      <w:r>
        <w:t xml:space="preserve">2.4 End-User Portal (</w:t>
      </w:r>
      <w:r>
        <w:rPr>
          <w:rStyle w:val="VerbatimChar"/>
        </w:rPr>
        <w:t xml:space="preserve">/public/portal/</w:t>
      </w:r>
      <w:r>
        <w:t xml:space="preserve">)</w:t>
      </w:r>
    </w:p>
    <w:bookmarkStart w:id="30" w:name="url-path-2"/>
    <w:p>
      <w:pPr>
        <w:pStyle w:val="Heading3"/>
      </w:pPr>
      <w:r>
        <w:t xml:space="preserve">URL Path</w:t>
      </w:r>
    </w:p>
    <w:p>
      <w:pPr>
        <w:pStyle w:val="FirstParagraph"/>
      </w:pPr>
      <w:r>
        <w:rPr>
          <w:rStyle w:val="VerbatimChar"/>
        </w:rPr>
        <w:t xml:space="preserve">/public/portal/</w:t>
      </w:r>
    </w:p>
    <w:bookmarkEnd w:id="30"/>
    <w:bookmarkStart w:id="31" w:name="primary-users-2"/>
    <w:p>
      <w:pPr>
        <w:pStyle w:val="Heading3"/>
      </w:pPr>
      <w:r>
        <w:t xml:space="preserve">Primary Users</w:t>
      </w:r>
    </w:p>
    <w:p>
      <w:pPr>
        <w:pStyle w:val="FirstParagraph"/>
      </w:pPr>
      <w:r>
        <w:t xml:space="preserve">Four classes of external or limited-access users who require read-only or self-service access to specific data:</w:t>
      </w:r>
    </w:p>
    <w:p>
      <w:pPr>
        <w:pStyle w:val="Compact"/>
        <w:numPr>
          <w:ilvl w:val="0"/>
          <w:numId w:val="1006"/>
        </w:numPr>
      </w:pPr>
      <w:r>
        <w:rPr>
          <w:i/>
          <w:iCs/>
        </w:rPr>
        <w:t xml:space="preserve">Employees</w:t>
      </w:r>
      <w:r>
        <w:t xml:space="preserve"> </w:t>
      </w:r>
      <w:r>
        <w:t xml:space="preserve">— access payslips, leave balances, leave applications, and attendance records via the Employee Self-Service (ESS) interface.</w:t>
      </w:r>
    </w:p>
    <w:p>
      <w:pPr>
        <w:pStyle w:val="Compact"/>
        <w:numPr>
          <w:ilvl w:val="0"/>
          <w:numId w:val="1006"/>
        </w:numPr>
      </w:pPr>
      <w:r>
        <w:rPr>
          <w:i/>
          <w:iCs/>
        </w:rPr>
        <w:t xml:space="preserve">Customers</w:t>
      </w:r>
      <w:r>
        <w:t xml:space="preserve"> </w:t>
      </w:r>
      <w:r>
        <w:t xml:space="preserve">— access account statements, invoice history, and outstanding balances.</w:t>
      </w:r>
    </w:p>
    <w:p>
      <w:pPr>
        <w:pStyle w:val="Compact"/>
        <w:numPr>
          <w:ilvl w:val="0"/>
          <w:numId w:val="1006"/>
        </w:numPr>
      </w:pPr>
      <w:r>
        <w:rPr>
          <w:i/>
          <w:iCs/>
        </w:rPr>
        <w:t xml:space="preserve">Agents</w:t>
      </w:r>
      <w:r>
        <w:t xml:space="preserve"> </w:t>
      </w:r>
      <w:r>
        <w:t xml:space="preserve">— access commission statements, target progress, and payment history via the Sales Agents portal.</w:t>
      </w:r>
    </w:p>
    <w:p>
      <w:pPr>
        <w:pStyle w:val="Compact"/>
        <w:numPr>
          <w:ilvl w:val="0"/>
          <w:numId w:val="1006"/>
        </w:numPr>
      </w:pPr>
      <w:r>
        <w:rPr>
          <w:i/>
          <w:iCs/>
        </w:rPr>
        <w:t xml:space="preserve">Farmers / Outgrowers</w:t>
      </w:r>
      <w:r>
        <w:t xml:space="preserve"> </w:t>
      </w:r>
      <w:r>
        <w:t xml:space="preserve">— when the tenant has enabled the</w:t>
      </w:r>
      <w:r>
        <w:t xml:space="preserve"> </w:t>
      </w:r>
      <w:r>
        <w:rPr>
          <w:rStyle w:val="VerbatimChar"/>
        </w:rPr>
        <w:t xml:space="preserve">COOP_PROCUREMENT</w:t>
      </w:r>
      <w:r>
        <w:t xml:space="preserve"> </w:t>
      </w:r>
      <w:r>
        <w:t xml:space="preserve">add-on and the user has the required relationship and permission, access commodity intake records, input loan balances, and payment statements via the Outgrower &amp; Farmer Operations portal. This audience and navigation are absent for tenants without the add-on.</w:t>
      </w:r>
    </w:p>
    <w:bookmarkEnd w:id="31"/>
    <w:bookmarkStart w:id="32" w:name="key-capabilities-2"/>
    <w:p>
      <w:pPr>
        <w:pStyle w:val="Heading3"/>
      </w:pPr>
      <w:r>
        <w:t xml:space="preserve">Key Capabilities</w:t>
      </w:r>
    </w:p>
    <w:p>
      <w:pPr>
        <w:pStyle w:val="Compact"/>
        <w:numPr>
          <w:ilvl w:val="0"/>
          <w:numId w:val="1007"/>
        </w:numPr>
      </w:pPr>
      <w:r>
        <w:t xml:space="preserve">Read-only views of tenant data relevant to the authenticated end-user's identity.</w:t>
      </w:r>
    </w:p>
    <w:p>
      <w:pPr>
        <w:pStyle w:val="Compact"/>
        <w:numPr>
          <w:ilvl w:val="0"/>
          <w:numId w:val="1007"/>
        </w:numPr>
      </w:pPr>
      <w:r>
        <w:t xml:space="preserve">PDF download of payslips, statements, and commission summaries.</w:t>
      </w:r>
    </w:p>
    <w:p>
      <w:pPr>
        <w:pStyle w:val="Compact"/>
        <w:numPr>
          <w:ilvl w:val="0"/>
          <w:numId w:val="1007"/>
        </w:numPr>
      </w:pPr>
      <w:r>
        <w:t xml:space="preserve">Leave application submission (employees only).</w:t>
      </w:r>
    </w:p>
    <w:p>
      <w:pPr>
        <w:pStyle w:val="Compact"/>
        <w:numPr>
          <w:ilvl w:val="0"/>
          <w:numId w:val="1007"/>
        </w:numPr>
      </w:pPr>
      <w:r>
        <w:t xml:space="preserve">Responsive, mobile-optimised layout for low-bandwidth access.</w:t>
      </w:r>
    </w:p>
    <w:p>
      <w:pPr>
        <w:pStyle w:val="Compact"/>
        <w:numPr>
          <w:ilvl w:val="0"/>
          <w:numId w:val="1007"/>
        </w:numPr>
      </w:pPr>
      <w:r>
        <w:t xml:space="preserve">Localised currency and date formatting driven by the tenant's localisation profile.</w:t>
      </w:r>
    </w:p>
    <w:bookmarkEnd w:id="32"/>
    <w:bookmarkStart w:id="33" w:name="authentication-method-2"/>
    <w:p>
      <w:pPr>
        <w:pStyle w:val="Heading3"/>
      </w:pPr>
      <w:r>
        <w:t xml:space="preserve">Authentication Method</w:t>
      </w:r>
    </w:p>
    <w:p>
      <w:pPr>
        <w:pStyle w:val="FirstParagraph"/>
      </w:pPr>
      <w:r>
        <w:t xml:space="preserve">Dedicated portal session scoped to the end-user's identity class (employee, customer, agent, or farmer). Portal users authenticate with a credential set issued by the tenant. The portal session enforces the tenant context so that a portal user can only retrieve data belonging to their own tenant and their own identity record.</w:t>
      </w:r>
    </w:p>
    <w:bookmarkEnd w:id="33"/>
    <w:bookmarkEnd w:id="34"/>
    <w:bookmarkEnd w:id="35"/>
    <w:bookmarkStart w:id="44" w:name="middleware-stack"/>
    <w:p>
      <w:pPr>
        <w:pStyle w:val="Heading1"/>
      </w:pPr>
      <w:r>
        <w:t xml:space="preserve">Middleware Stack</w:t>
      </w:r>
    </w:p>
    <w:bookmarkStart w:id="36" w:name="Xce277a57138908fd87fb4d74b3db575ffb3e40f"/>
    <w:p>
      <w:pPr>
        <w:pStyle w:val="Heading2"/>
      </w:pPr>
      <w:r>
        <w:t xml:space="preserve">3.1 Request Processing Pipeline</w:t>
      </w:r>
    </w:p>
    <w:p>
      <w:pPr>
        <w:pStyle w:val="FirstParagraph"/>
      </w:pPr>
      <w:r>
        <w:t xml:space="preserve">Every page request to the Tenant Workspace (</w:t>
      </w:r>
      <w:r>
        <w:rPr>
          <w:rStyle w:val="VerbatimChar"/>
        </w:rPr>
        <w:t xml:space="preserve">/public/</w:t>
      </w:r>
      <w:r>
        <w:t xml:space="preserve">) passes through the following middleware layers in strict sequence before the page handler executes:</w:t>
      </w:r>
    </w:p>
    <w:p>
      <w:pPr>
        <w:pStyle w:val="SourceCode"/>
      </w:pPr>
      <w:r>
        <w:rPr>
          <w:rStyle w:val="VerbatimChar"/>
        </w:rPr>
        <w:t xml:space="preserve">EnsureAuthenticated</w:t>
      </w:r>
      <w:r>
        <w:br/>
      </w:r>
      <w:r>
        <w:rPr>
          <w:rStyle w:val="VerbatimChar"/>
        </w:rPr>
        <w:t xml:space="preserve">        │</w:t>
      </w:r>
      <w:r>
        <w:br/>
      </w:r>
      <w:r>
        <w:rPr>
          <w:rStyle w:val="VerbatimChar"/>
        </w:rPr>
        <w:t xml:space="preserve">        ▼</w:t>
      </w:r>
      <w:r>
        <w:br/>
      </w:r>
      <w:r>
        <w:rPr>
          <w:rStyle w:val="VerbatimChar"/>
        </w:rPr>
        <w:t xml:space="preserve">EnsureTenantSelected</w:t>
      </w:r>
      <w:r>
        <w:br/>
      </w:r>
      <w:r>
        <w:rPr>
          <w:rStyle w:val="VerbatimChar"/>
        </w:rPr>
        <w:t xml:space="preserve">        │</w:t>
      </w:r>
      <w:r>
        <w:br/>
      </w:r>
      <w:r>
        <w:rPr>
          <w:rStyle w:val="VerbatimChar"/>
        </w:rPr>
        <w:t xml:space="preserve">        ▼</w:t>
      </w:r>
      <w:r>
        <w:br/>
      </w:r>
      <w:r>
        <w:rPr>
          <w:rStyle w:val="VerbatimChar"/>
        </w:rPr>
        <w:t xml:space="preserve">EnsureTenantActive</w:t>
      </w:r>
      <w:r>
        <w:br/>
      </w:r>
      <w:r>
        <w:rPr>
          <w:rStyle w:val="VerbatimChar"/>
        </w:rPr>
        <w:t xml:space="preserve">        │</w:t>
      </w:r>
      <w:r>
        <w:br/>
      </w:r>
      <w:r>
        <w:rPr>
          <w:rStyle w:val="VerbatimChar"/>
        </w:rPr>
        <w:t xml:space="preserve">        ▼</w:t>
      </w:r>
      <w:r>
        <w:br/>
      </w:r>
      <w:r>
        <w:rPr>
          <w:rStyle w:val="VerbatimChar"/>
        </w:rPr>
        <w:t xml:space="preserve">EnsureBranchSelected</w:t>
      </w:r>
      <w:r>
        <w:br/>
      </w:r>
      <w:r>
        <w:rPr>
          <w:rStyle w:val="VerbatimChar"/>
        </w:rPr>
        <w:t xml:space="preserve">        │</w:t>
      </w:r>
      <w:r>
        <w:br/>
      </w:r>
      <w:r>
        <w:rPr>
          <w:rStyle w:val="VerbatimChar"/>
        </w:rPr>
        <w:t xml:space="preserve">        ▼</w:t>
      </w:r>
      <w:r>
        <w:br/>
      </w:r>
      <w:r>
        <w:rPr>
          <w:rStyle w:val="VerbatimChar"/>
        </w:rPr>
        <w:t xml:space="preserve">RequirePermission</w:t>
      </w:r>
      <w:r>
        <w:br/>
      </w:r>
      <w:r>
        <w:rPr>
          <w:rStyle w:val="VerbatimChar"/>
        </w:rPr>
        <w:t xml:space="preserve">        │</w:t>
      </w:r>
      <w:r>
        <w:br/>
      </w:r>
      <w:r>
        <w:rPr>
          <w:rStyle w:val="VerbatimChar"/>
        </w:rPr>
        <w:t xml:space="preserve">        ▼</w:t>
      </w:r>
      <w:r>
        <w:br/>
      </w:r>
      <w:r>
        <w:rPr>
          <w:rStyle w:val="VerbatimChar"/>
        </w:rPr>
        <w:t xml:space="preserve">   Page Handler</w:t>
      </w:r>
    </w:p>
    <w:p>
      <w:pPr>
        <w:pStyle w:val="FirstParagraph"/>
      </w:pPr>
      <w:r>
        <w:t xml:space="preserve">No page handler executes unless all five layers pass. A failure at any layer terminates the request and returns the appropriate response — no downstream layers run.</w:t>
      </w:r>
    </w:p>
    <w:p>
      <w:r>
        <w:pict>
          <v:rect style="width:0;height:1.5pt" o:hralign="center" o:hrstd="t" o:hr="t"/>
        </w:pict>
      </w:r>
    </w:p>
    <w:bookmarkEnd w:id="36"/>
    <w:bookmarkStart w:id="42" w:name="X704e40da5d854709408baf6e240af1cc0fedcae"/>
    <w:p>
      <w:pPr>
        <w:pStyle w:val="Heading2"/>
      </w:pPr>
      <w:r>
        <w:t xml:space="preserve">3.2 Layer Specifications</w:t>
      </w:r>
    </w:p>
    <w:bookmarkStart w:id="37" w:name="layer-1--ensureauthenticated"/>
    <w:p>
      <w:pPr>
        <w:pStyle w:val="Heading3"/>
      </w:pPr>
      <w:r>
        <w:t xml:space="preserve">Layer 1 — EnsureAuthenticated</w:t>
      </w:r>
    </w:p>
    <w:p>
      <w:pPr>
        <w:pStyle w:val="FirstParagraph"/>
      </w:pPr>
      <w:r>
        <w:rPr>
          <w:b/>
          <w:bCs/>
        </w:rPr>
        <w:t xml:space="preserve">What it checks:</w:t>
      </w:r>
      <w:r>
        <w:t xml:space="preserve"> </w:t>
      </w:r>
      <w:r>
        <w:t xml:space="preserve">Whether a valid, non-expired session exists for the requesting user (</w:t>
      </w:r>
      <w:r>
        <w:rPr>
          <w:rStyle w:val="VerbatimChar"/>
        </w:rPr>
        <w:t xml:space="preserve">$_SESSION['user_id']</w:t>
      </w:r>
      <w:r>
        <w:t xml:space="preserve"> </w:t>
      </w:r>
      <w:r>
        <w:t xml:space="preserve">is set and the session has not timed out).</w:t>
      </w:r>
    </w:p>
    <w:p>
      <w:pPr>
        <w:pStyle w:val="BodyText"/>
      </w:pPr>
      <w:r>
        <w:rPr>
          <w:b/>
          <w:bCs/>
        </w:rPr>
        <w:t xml:space="preserve">On failure:</w:t>
      </w:r>
      <w:r>
        <w:t xml:space="preserve"> </w:t>
      </w:r>
      <w:r>
        <w:t xml:space="preserve">Destroys the session, clears the session cookie, and redirects the user to the login page (</w:t>
      </w:r>
      <w:r>
        <w:rPr>
          <w:rStyle w:val="VerbatimChar"/>
        </w:rPr>
        <w:t xml:space="preserve">/public/login.php</w:t>
      </w:r>
      <w:r>
        <w:t xml:space="preserve">). The original requested URL is stored in</w:t>
      </w:r>
      <w:r>
        <w:t xml:space="preserve"> </w:t>
      </w:r>
      <w:r>
        <w:rPr>
          <w:rStyle w:val="VerbatimChar"/>
        </w:rPr>
        <w:t xml:space="preserve">$_SESSION['redirect_after_login']</w:t>
      </w:r>
      <w:r>
        <w:t xml:space="preserve"> </w:t>
      </w:r>
      <w:r>
        <w:t xml:space="preserve">so the user is returned to their intended destination after successful authentication.</w:t>
      </w:r>
    </w:p>
    <w:p>
      <w:pPr>
        <w:pStyle w:val="BodyText"/>
      </w:pPr>
      <w:r>
        <w:rPr>
          <w:b/>
          <w:bCs/>
        </w:rPr>
        <w:t xml:space="preserve">Data provided downstream:</w:t>
      </w:r>
      <w:r>
        <w:t xml:space="preserve"> </w:t>
      </w:r>
      <w:r>
        <w:rPr>
          <w:rStyle w:val="VerbatimChar"/>
        </w:rPr>
        <w:t xml:space="preserve">$_SESSION['user_id']</w:t>
      </w:r>
      <w:r>
        <w:t xml:space="preserve">,</w:t>
      </w:r>
      <w:r>
        <w:t xml:space="preserve"> </w:t>
      </w:r>
      <w:r>
        <w:rPr>
          <w:rStyle w:val="VerbatimChar"/>
        </w:rPr>
        <w:t xml:space="preserve">$_SESSION['user_role']</w:t>
      </w:r>
      <w:r>
        <w:t xml:space="preserve">,</w:t>
      </w:r>
      <w:r>
        <w:t xml:space="preserve"> </w:t>
      </w:r>
      <w:r>
        <w:rPr>
          <w:rStyle w:val="VerbatimChar"/>
        </w:rPr>
        <w:t xml:space="preserve">$_SESSION['user_permissions']</w:t>
      </w:r>
      <w:r>
        <w:t xml:space="preserve">, and</w:t>
      </w:r>
      <w:r>
        <w:t xml:space="preserve"> </w:t>
      </w:r>
      <w:r>
        <w:rPr>
          <w:rStyle w:val="VerbatimChar"/>
        </w:rPr>
        <w:t xml:space="preserve">$_SESSION['user_branches']</w:t>
      </w:r>
      <w:r>
        <w:t xml:space="preserve"> </w:t>
      </w:r>
      <w:r>
        <w:t xml:space="preserve">are available to all subsequent layers and the page handler.</w:t>
      </w:r>
    </w:p>
    <w:p>
      <w:r>
        <w:pict>
          <v:rect style="width:0;height:1.5pt" o:hralign="center" o:hrstd="t" o:hr="t"/>
        </w:pict>
      </w:r>
    </w:p>
    <w:bookmarkEnd w:id="37"/>
    <w:bookmarkStart w:id="38" w:name="layer-2--ensuretenantselected"/>
    <w:p>
      <w:pPr>
        <w:pStyle w:val="Heading3"/>
      </w:pPr>
      <w:r>
        <w:t xml:space="preserve">Layer 2 — EnsureTenantSelected</w:t>
      </w:r>
    </w:p>
    <w:p>
      <w:pPr>
        <w:pStyle w:val="FirstParagraph"/>
      </w:pPr>
      <w:r>
        <w:rPr>
          <w:b/>
          <w:bCs/>
        </w:rPr>
        <w:t xml:space="preserve">What it checks:</w:t>
      </w:r>
      <w:r>
        <w:t xml:space="preserve"> </w:t>
      </w:r>
      <w:r>
        <w:t xml:space="preserve">Whether</w:t>
      </w:r>
      <w:r>
        <w:t xml:space="preserve"> </w:t>
      </w:r>
      <w:r>
        <w:rPr>
          <w:rStyle w:val="VerbatimChar"/>
        </w:rPr>
        <w:t xml:space="preserve">$_SESSION['tenant_id']</w:t>
      </w:r>
      <w:r>
        <w:t xml:space="preserve"> </w:t>
      </w:r>
      <w:r>
        <w:t xml:space="preserve">is set. A tenant context must be established before any data operation can proceed.</w:t>
      </w:r>
    </w:p>
    <w:p>
      <w:pPr>
        <w:pStyle w:val="BodyText"/>
      </w:pPr>
      <w:r>
        <w:rPr>
          <w:b/>
          <w:bCs/>
        </w:rPr>
        <w:t xml:space="preserve">On failure:</w:t>
      </w:r>
      <w:r>
        <w:t xml:space="preserve"> </w:t>
      </w:r>
      <w:r>
        <w:t xml:space="preserve">Redirects the user to the tenant selection screen if their account is associated with more than one tenant, or initiates automatic tenant binding if their account has exactly 1 tenant association. If no tenant association exists, the session is destroyed and the user is redirected to the login page with an error notification.</w:t>
      </w:r>
    </w:p>
    <w:p>
      <w:pPr>
        <w:pStyle w:val="BodyText"/>
      </w:pPr>
      <w:r>
        <w:rPr>
          <w:b/>
          <w:bCs/>
        </w:rPr>
        <w:t xml:space="preserve">Data provided downstream:</w:t>
      </w:r>
      <w:r>
        <w:t xml:space="preserve"> </w:t>
      </w:r>
      <w:r>
        <w:rPr>
          <w:rStyle w:val="VerbatimChar"/>
        </w:rPr>
        <w:t xml:space="preserve">$_SESSION['tenant_id']</w:t>
      </w:r>
      <w:r>
        <w:t xml:space="preserve"> </w:t>
      </w:r>
      <w:r>
        <w:t xml:space="preserve">is confirmed as set. The</w:t>
      </w:r>
      <w:r>
        <w:t xml:space="preserve"> </w:t>
      </w:r>
      <w:r>
        <w:rPr>
          <w:rStyle w:val="VerbatimChar"/>
        </w:rPr>
        <w:t xml:space="preserve">TenantContext</w:t>
      </w:r>
      <w:r>
        <w:t xml:space="preserve"> </w:t>
      </w:r>
      <w:r>
        <w:t xml:space="preserve">object is populated with the tenant's configuration (currency, timezone, localisation profile, enabled modules, active branches) and injected into the dependency injection (DI) container for the duration of the request.</w:t>
      </w:r>
    </w:p>
    <w:p>
      <w:pPr>
        <w:pStyle w:val="BodyText"/>
      </w:pPr>
      <w:r>
        <w:rPr>
          <w:i/>
          <w:iCs/>
        </w:rPr>
        <w:t xml:space="preserve">Critical:</w:t>
      </w:r>
      <w:r>
        <w:t xml:space="preserve"> </w:t>
      </w:r>
      <w:r>
        <w:rPr>
          <w:rStyle w:val="VerbatimChar"/>
        </w:rPr>
        <w:t xml:space="preserve">tenant_id</w:t>
      </w:r>
      <w:r>
        <w:t xml:space="preserve"> </w:t>
      </w:r>
      <w:r>
        <w:t xml:space="preserve">is ALWAYS sourced from</w:t>
      </w:r>
      <w:r>
        <w:t xml:space="preserve"> </w:t>
      </w:r>
      <w:r>
        <w:rPr>
          <w:rStyle w:val="VerbatimChar"/>
        </w:rPr>
        <w:t xml:space="preserve">$_SESSION['tenant_id']</w:t>
      </w:r>
      <w:r>
        <w:t xml:space="preserve">. It is never read from</w:t>
      </w:r>
      <w:r>
        <w:t xml:space="preserve"> </w:t>
      </w: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$_COOKIE</w:t>
      </w:r>
      <w:r>
        <w:t xml:space="preserve">, or any other request parameter. Any attempt to override</w:t>
      </w:r>
      <w:r>
        <w:t xml:space="preserve"> </w:t>
      </w:r>
      <w:r>
        <w:rPr>
          <w:rStyle w:val="VerbatimChar"/>
        </w:rPr>
        <w:t xml:space="preserve">tenant_id</w:t>
      </w:r>
      <w:r>
        <w:t xml:space="preserve"> </w:t>
      </w:r>
      <w:r>
        <w:t xml:space="preserve">via a request parameter shall be silently ignored — the session value is authoritative.</w:t>
      </w:r>
    </w:p>
    <w:p>
      <w:r>
        <w:pict>
          <v:rect style="width:0;height:1.5pt" o:hralign="center" o:hrstd="t" o:hr="t"/>
        </w:pict>
      </w:r>
    </w:p>
    <w:bookmarkEnd w:id="38"/>
    <w:bookmarkStart w:id="39" w:name="layer-3--ensuretenantactive"/>
    <w:p>
      <w:pPr>
        <w:pStyle w:val="Heading3"/>
      </w:pPr>
      <w:r>
        <w:t xml:space="preserve">Layer 3 — EnsureTenantActive</w:t>
      </w:r>
    </w:p>
    <w:p>
      <w:pPr>
        <w:pStyle w:val="FirstParagraph"/>
      </w:pPr>
      <w:r>
        <w:rPr>
          <w:b/>
          <w:bCs/>
        </w:rPr>
        <w:t xml:space="preserve">What it checks:</w:t>
      </w:r>
      <w:r>
        <w:t xml:space="preserve"> </w:t>
      </w:r>
      <w:r>
        <w:t xml:space="preserve">Whether the tenant's lifecycle state permits login. The tenant's</w:t>
      </w:r>
      <w:r>
        <w:t xml:space="preserve"> </w:t>
      </w:r>
      <w:r>
        <w:rPr>
          <w:rStyle w:val="VerbatimChar"/>
        </w:rPr>
        <w:t xml:space="preserve">status</w:t>
      </w:r>
      <w:r>
        <w:t xml:space="preserve"> </w:t>
      </w:r>
      <w:r>
        <w:t xml:space="preserve">field must be one of:</w:t>
      </w:r>
      <w:r>
        <w:t xml:space="preserve"> </w:t>
      </w:r>
      <w:r>
        <w:rPr>
          <w:rStyle w:val="VerbatimChar"/>
        </w:rPr>
        <w:t xml:space="preserve">trial</w:t>
      </w:r>
      <w:r>
        <w:t xml:space="preserve">,</w:t>
      </w:r>
      <w:r>
        <w:t xml:space="preserve"> </w:t>
      </w:r>
      <w:r>
        <w:rPr>
          <w:rStyle w:val="VerbatimChar"/>
        </w:rPr>
        <w:t xml:space="preserve">active</w:t>
      </w:r>
      <w:r>
        <w:t xml:space="preserve">.</w:t>
      </w:r>
    </w:p>
    <w:p>
      <w:pPr>
        <w:pStyle w:val="BodyText"/>
      </w:pPr>
      <w:r>
        <w:rPr>
          <w:b/>
          <w:bCs/>
        </w:rPr>
        <w:t xml:space="preserve">On failure:</w:t>
      </w:r>
      <w:r>
        <w:t xml:space="preserve"> </w:t>
      </w:r>
      <w:r>
        <w:t xml:space="preserve">The behaviour depends on the tenant's lifecycle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Tenant State</w:t>
            </w:r>
          </w:p>
        </w:tc>
        <w:tc>
          <w:tcPr/>
          <w:p>
            <w:pPr>
              <w:pStyle w:val="Compact"/>
            </w:pPr>
            <w:r>
              <w:t xml:space="preserve">Response</w:t>
            </w:r>
          </w:p>
        </w:tc>
      </w:tr>
      <w:tr>
        <w:tc>
          <w:tcPr/>
          <w:p>
            <w:pPr>
              <w:pStyle w:val="Compact"/>
            </w:pPr>
            <w:r>
              <w:rPr>
                <w:rStyle w:val="VerbatimChar"/>
              </w:rPr>
              <w:t xml:space="preserve">overdue</w:t>
            </w:r>
          </w:p>
        </w:tc>
        <w:tc>
          <w:tcPr/>
          <w:p>
            <w:pPr>
              <w:pStyle w:val="Compact"/>
            </w:pPr>
            <w:r>
              <w:t xml:space="preserve">Redirects to a payment overdue notice page. The user cannot proceed until the outstanding balance is settled.</w:t>
            </w:r>
          </w:p>
        </w:tc>
      </w:tr>
      <w:tr>
        <w:tc>
          <w:tcPr/>
          <w:p>
            <w:pPr>
              <w:pStyle w:val="Compact"/>
            </w:pPr>
            <w:r>
              <w:rPr>
                <w:rStyle w:val="VerbatimChar"/>
              </w:rPr>
              <w:t xml:space="preserve">suspended</w:t>
            </w:r>
          </w:p>
        </w:tc>
        <w:tc>
          <w:tcPr/>
          <w:p>
            <w:pPr>
              <w:pStyle w:val="Compact"/>
            </w:pPr>
            <w:r>
              <w:t xml:space="preserve">Redirects to a suspension notice page with a contact prompt for the Chwezi support team.</w:t>
            </w:r>
          </w:p>
        </w:tc>
      </w:tr>
      <w:tr>
        <w:tc>
          <w:tcPr/>
          <w:p>
            <w:pPr>
              <w:pStyle w:val="Compact"/>
            </w:pPr>
            <w:r>
              <w:rPr>
                <w:rStyle w:val="VerbatimChar"/>
              </w:rPr>
              <w:t xml:space="preserve">archived</w:t>
            </w:r>
          </w:p>
        </w:tc>
        <w:tc>
          <w:tcPr/>
          <w:p>
            <w:pPr>
              <w:pStyle w:val="Compact"/>
            </w:pPr>
            <w:r>
              <w:t xml:space="preserve">Redirects to an archived account notice. No login is permitted.</w:t>
            </w:r>
          </w:p>
        </w:tc>
      </w:tr>
    </w:tbl>
    <w:p>
      <w:pPr>
        <w:pStyle w:val="BodyText"/>
      </w:pPr>
      <w:r>
        <w:rPr>
          <w:b/>
          <w:bCs/>
        </w:rPr>
        <w:t xml:space="preserve">Data provided downstream:</w:t>
      </w:r>
      <w:r>
        <w:t xml:space="preserve"> </w:t>
      </w:r>
      <w:r>
        <w:t xml:space="preserve">Confirmed that the tenant is in an active-access state. The</w:t>
      </w:r>
      <w:r>
        <w:t xml:space="preserve"> </w:t>
      </w:r>
      <w:r>
        <w:rPr>
          <w:rStyle w:val="VerbatimChar"/>
        </w:rPr>
        <w:t xml:space="preserve">TenantContext</w:t>
      </w:r>
      <w:r>
        <w:t xml:space="preserve"> </w:t>
      </w:r>
      <w:r>
        <w:t xml:space="preserve">object is enriched with the tenant's subscription plan and the list of activated module codes.</w:t>
      </w:r>
    </w:p>
    <w:p>
      <w:r>
        <w:pict>
          <v:rect style="width:0;height:1.5pt" o:hralign="center" o:hrstd="t" o:hr="t"/>
        </w:pict>
      </w:r>
    </w:p>
    <w:bookmarkEnd w:id="39"/>
    <w:bookmarkStart w:id="40" w:name="layer-4--ensurebranchselected"/>
    <w:p>
      <w:pPr>
        <w:pStyle w:val="Heading3"/>
      </w:pPr>
      <w:r>
        <w:t xml:space="preserve">Layer 4 — EnsureBranchSelected</w:t>
      </w:r>
    </w:p>
    <w:p>
      <w:pPr>
        <w:pStyle w:val="FirstParagraph"/>
      </w:pPr>
      <w:r>
        <w:rPr>
          <w:b/>
          <w:bCs/>
        </w:rPr>
        <w:t xml:space="preserve">What it checks:</w:t>
      </w:r>
      <w:r>
        <w:t xml:space="preserve"> </w:t>
      </w:r>
      <w:r>
        <w:t xml:space="preserve">Whether</w:t>
      </w:r>
      <w:r>
        <w:t xml:space="preserve"> </w:t>
      </w:r>
      <w:r>
        <w:rPr>
          <w:rStyle w:val="VerbatimChar"/>
        </w:rPr>
        <w:t xml:space="preserve">$_SESSION['branch_id']</w:t>
      </w:r>
      <w:r>
        <w:t xml:space="preserve"> </w:t>
      </w:r>
      <w:r>
        <w:t xml:space="preserve">is set and whether the branch belongs to the authenticated tenant.</w:t>
      </w:r>
    </w:p>
    <w:p>
      <w:pPr>
        <w:pStyle w:val="BodyText"/>
      </w:pPr>
      <w:r>
        <w:rPr>
          <w:b/>
          <w:bCs/>
        </w:rPr>
        <w:t xml:space="preserve">On failure:</w:t>
      </w:r>
      <w:r>
        <w:t xml:space="preserve"> </w:t>
      </w:r>
      <w:r>
        <w:t xml:space="preserve">Redirects the user to the branch selection screen. If the user's RBAC profile restricts them to specific branches, only those branches appear in the selection list. If the user is restricted to a single branch, the system auto-selects it and continues without displaying the selection screen.</w:t>
      </w:r>
    </w:p>
    <w:p>
      <w:pPr>
        <w:pStyle w:val="BodyText"/>
      </w:pPr>
      <w:r>
        <w:rPr>
          <w:b/>
          <w:bCs/>
        </w:rPr>
        <w:t xml:space="preserve">Data provided downstream:</w:t>
      </w:r>
      <w:r>
        <w:t xml:space="preserve"> </w:t>
      </w:r>
      <w:r>
        <w:rPr>
          <w:rStyle w:val="VerbatimChar"/>
        </w:rPr>
        <w:t xml:space="preserve">$_SESSION['branch_id']</w:t>
      </w:r>
      <w:r>
        <w:t xml:space="preserve"> </w:t>
      </w:r>
      <w:r>
        <w:t xml:space="preserve">is confirmed as set and validated against</w:t>
      </w:r>
      <w:r>
        <w:t xml:space="preserve"> </w:t>
      </w:r>
      <w:r>
        <w:rPr>
          <w:rStyle w:val="VerbatimChar"/>
        </w:rPr>
        <w:t xml:space="preserve">$_SESSION['tenant_id']</w:t>
      </w:r>
      <w:r>
        <w:t xml:space="preserve">. All subsequent data operations scope their queries to the selected branch unless the user's role grants cross-branch visibility (e.g., management reports).</w:t>
      </w:r>
    </w:p>
    <w:p>
      <w:r>
        <w:pict>
          <v:rect style="width:0;height:1.5pt" o:hralign="center" o:hrstd="t" o:hr="t"/>
        </w:pict>
      </w:r>
    </w:p>
    <w:bookmarkEnd w:id="40"/>
    <w:bookmarkStart w:id="41" w:name="layer-5--requirepermission"/>
    <w:p>
      <w:pPr>
        <w:pStyle w:val="Heading3"/>
      </w:pPr>
      <w:r>
        <w:t xml:space="preserve">Layer 5 — RequirePermission</w:t>
      </w:r>
    </w:p>
    <w:p>
      <w:pPr>
        <w:pStyle w:val="FirstParagraph"/>
      </w:pPr>
      <w:r>
        <w:rPr>
          <w:b/>
          <w:bCs/>
        </w:rPr>
        <w:t xml:space="preserve">What it checks:</w:t>
      </w:r>
      <w:r>
        <w:t xml:space="preserve"> </w:t>
      </w:r>
      <w:r>
        <w:t xml:space="preserve">Whether the authenticated user holds the specific permission code required by the requested page. Each page declares its required permission constant (e.g.,</w:t>
      </w:r>
      <w:r>
        <w:t xml:space="preserve"> </w:t>
      </w:r>
      <w:r>
        <w:rPr>
          <w:rStyle w:val="VerbatimChar"/>
        </w:rPr>
        <w:t xml:space="preserve">PERM_SALES_INVOICE_CREATE</w:t>
      </w:r>
      <w:r>
        <w:t xml:space="preserve">). The middleware resolves this constant against</w:t>
      </w:r>
      <w:r>
        <w:t xml:space="preserve"> </w:t>
      </w:r>
      <w:r>
        <w:rPr>
          <w:rStyle w:val="VerbatimChar"/>
        </w:rPr>
        <w:t xml:space="preserve">$_SESSION['user_permissions']</w:t>
      </w:r>
      <w:r>
        <w:t xml:space="preserve">.</w:t>
      </w:r>
    </w:p>
    <w:p>
      <w:pPr>
        <w:pStyle w:val="BodyText"/>
      </w:pPr>
      <w:r>
        <w:rPr>
          <w:b/>
          <w:bCs/>
        </w:rPr>
        <w:t xml:space="preserve">On failure:</w:t>
      </w:r>
      <w:r>
        <w:t xml:space="preserve"> </w:t>
      </w:r>
      <w:r>
        <w:t xml:space="preserve">Returns an HTTP 403 Forbidden response with a standardised "Access Denied" page. The user is not redirected to the login page — they remain authenticated but unauthorised for this specific resource.</w:t>
      </w:r>
    </w:p>
    <w:p>
      <w:pPr>
        <w:pStyle w:val="BodyText"/>
      </w:pPr>
      <w:r>
        <w:rPr>
          <w:b/>
          <w:bCs/>
        </w:rPr>
        <w:t xml:space="preserve">Data provided downstream:</w:t>
      </w:r>
      <w:r>
        <w:t xml:space="preserve"> </w:t>
      </w:r>
      <w:r>
        <w:t xml:space="preserve">Confirmed authorisation. The page handler receives the full request context and may proceed with data access and rendering.</w:t>
      </w:r>
    </w:p>
    <w:p>
      <w:r>
        <w:pict>
          <v:rect style="width:0;height:1.5pt" o:hralign="center" o:hrstd="t" o:hr="t"/>
        </w:pict>
      </w:r>
    </w:p>
    <w:bookmarkEnd w:id="41"/>
    <w:bookmarkEnd w:id="42"/>
    <w:bookmarkStart w:id="43" w:name="X5585cc1956af54b2482d5912ca72f17ecbb0471"/>
    <w:p>
      <w:pPr>
        <w:pStyle w:val="Heading2"/>
      </w:pPr>
      <w:r>
        <w:t xml:space="preserve">3.3 TenantContext Injection</w:t>
      </w:r>
    </w:p>
    <w:p>
      <w:pPr>
        <w:pStyle w:val="FirstParagraph"/>
      </w:pPr>
      <w:r>
        <w:t xml:space="preserve">The</w:t>
      </w:r>
      <w:r>
        <w:t xml:space="preserve"> </w:t>
      </w:r>
      <w:r>
        <w:rPr>
          <w:rStyle w:val="VerbatimChar"/>
        </w:rPr>
        <w:t xml:space="preserve">TenantContext</w:t>
      </w:r>
      <w:r>
        <w:t xml:space="preserve"> </w:t>
      </w:r>
      <w:r>
        <w:t xml:space="preserve">class is populated during the</w:t>
      </w:r>
      <w:r>
        <w:t xml:space="preserve"> </w:t>
      </w:r>
      <w:r>
        <w:rPr>
          <w:rStyle w:val="VerbatimChar"/>
        </w:rPr>
        <w:t xml:space="preserve">EnsureTenantSelected</w:t>
      </w:r>
      <w:r>
        <w:t xml:space="preserve"> </w:t>
      </w:r>
      <w:r>
        <w:t xml:space="preserve">and</w:t>
      </w:r>
      <w:r>
        <w:t xml:space="preserve"> </w:t>
      </w:r>
      <w:r>
        <w:rPr>
          <w:rStyle w:val="VerbatimChar"/>
        </w:rPr>
        <w:t xml:space="preserve">EnsureTenantActive</w:t>
      </w:r>
      <w:r>
        <w:t xml:space="preserve"> </w:t>
      </w:r>
      <w:r>
        <w:t xml:space="preserve">layers and registered as a singleton in the PHP-DI 7.0 container for the lifetime of the request. Every service in</w:t>
      </w:r>
      <w:r>
        <w:t xml:space="preserve"> </w:t>
      </w:r>
      <w:r>
        <w:rPr>
          <w:rStyle w:val="VerbatimChar"/>
        </w:rPr>
        <w:t xml:space="preserve">src/Services/[Domain]/</w:t>
      </w:r>
      <w:r>
        <w:t xml:space="preserve"> </w:t>
      </w:r>
      <w:r>
        <w:t xml:space="preserve">receives</w:t>
      </w:r>
      <w:r>
        <w:t xml:space="preserve"> </w:t>
      </w:r>
      <w:r>
        <w:rPr>
          <w:rStyle w:val="VerbatimChar"/>
        </w:rPr>
        <w:t xml:space="preserve">TenantContext</w:t>
      </w:r>
      <w:r>
        <w:t xml:space="preserve"> </w:t>
      </w:r>
      <w:r>
        <w:t xml:space="preserve">via constructor injection. The context exposes:</w:t>
      </w:r>
    </w:p>
    <w:p>
      <w:pPr>
        <w:pStyle w:val="Compact"/>
        <w:numPr>
          <w:ilvl w:val="0"/>
          <w:numId w:val="1008"/>
        </w:numPr>
      </w:pPr>
      <w:r>
        <w:rPr>
          <w:rStyle w:val="VerbatimChar"/>
        </w:rPr>
        <w:t xml:space="preserve">getTenantId()</w:t>
      </w:r>
      <w:r>
        <w:t xml:space="preserve"> </w:t>
      </w:r>
      <w:r>
        <w:t xml:space="preserve">— the authoritative</w:t>
      </w:r>
      <w:r>
        <w:t xml:space="preserve"> </w:t>
      </w:r>
      <w:r>
        <w:rPr>
          <w:rStyle w:val="VerbatimChar"/>
        </w:rPr>
        <w:t xml:space="preserve">tenant_id</w:t>
      </w:r>
      <w:r>
        <w:t xml:space="preserve"> </w:t>
      </w:r>
      <w:r>
        <w:t xml:space="preserve">for all SQL queries.</w:t>
      </w:r>
    </w:p>
    <w:p>
      <w:pPr>
        <w:pStyle w:val="Compact"/>
        <w:numPr>
          <w:ilvl w:val="0"/>
          <w:numId w:val="1008"/>
        </w:numPr>
      </w:pPr>
      <w:r>
        <w:rPr>
          <w:rStyle w:val="VerbatimChar"/>
        </w:rPr>
        <w:t xml:space="preserve">getCurrency()</w:t>
      </w:r>
      <w:r>
        <w:t xml:space="preserve"> </w:t>
      </w:r>
      <w:r>
        <w:t xml:space="preserve">— the tenant's configured currency code (ISO 4217).</w:t>
      </w:r>
    </w:p>
    <w:p>
      <w:pPr>
        <w:pStyle w:val="Compact"/>
        <w:numPr>
          <w:ilvl w:val="0"/>
          <w:numId w:val="1008"/>
        </w:numPr>
      </w:pPr>
      <w:r>
        <w:rPr>
          <w:rStyle w:val="VerbatimChar"/>
        </w:rPr>
        <w:t xml:space="preserve">getTimezone()</w:t>
      </w:r>
      <w:r>
        <w:t xml:space="preserve"> </w:t>
      </w:r>
      <w:r>
        <w:t xml:space="preserve">— the tenant's timezone identifier.</w:t>
      </w:r>
    </w:p>
    <w:p>
      <w:pPr>
        <w:pStyle w:val="Compact"/>
        <w:numPr>
          <w:ilvl w:val="0"/>
          <w:numId w:val="1008"/>
        </w:numPr>
      </w:pPr>
      <w:r>
        <w:rPr>
          <w:rStyle w:val="VerbatimChar"/>
        </w:rPr>
        <w:t xml:space="preserve">getLocalisationProfile()</w:t>
      </w:r>
      <w:r>
        <w:t xml:space="preserve"> </w:t>
      </w:r>
      <w:r>
        <w:t xml:space="preserve">— the full localisation configuration object.</w:t>
      </w:r>
    </w:p>
    <w:p>
      <w:pPr>
        <w:pStyle w:val="Compact"/>
        <w:numPr>
          <w:ilvl w:val="0"/>
          <w:numId w:val="1008"/>
        </w:numPr>
      </w:pPr>
      <w:r>
        <w:rPr>
          <w:rStyle w:val="VerbatimChar"/>
        </w:rPr>
        <w:t xml:space="preserve">isModuleActive(string $moduleCode)</w:t>
      </w:r>
      <w:r>
        <w:t xml:space="preserve"> </w:t>
      </w:r>
      <w:r>
        <w:t xml:space="preserve">— returns</w:t>
      </w:r>
      <w:r>
        <w:t xml:space="preserve"> </w:t>
      </w:r>
      <w:r>
        <w:rPr>
          <w:rStyle w:val="VerbatimChar"/>
        </w:rPr>
        <w:t xml:space="preserve">true</w:t>
      </w:r>
      <w:r>
        <w:t xml:space="preserve"> </w:t>
      </w:r>
      <w:r>
        <w:t xml:space="preserve">if the given module code is activated for this tenant.</w:t>
      </w:r>
    </w:p>
    <w:p>
      <w:pPr>
        <w:pStyle w:val="Compact"/>
        <w:numPr>
          <w:ilvl w:val="0"/>
          <w:numId w:val="1008"/>
        </w:numPr>
      </w:pPr>
      <w:r>
        <w:rPr>
          <w:rStyle w:val="VerbatimChar"/>
        </w:rPr>
        <w:t xml:space="preserve">getBranchId()</w:t>
      </w:r>
      <w:r>
        <w:t xml:space="preserve"> </w:t>
      </w:r>
      <w:r>
        <w:t xml:space="preserve">— the session-active branch identifier.</w:t>
      </w:r>
    </w:p>
    <w:p>
      <w:pPr>
        <w:pStyle w:val="FirstParagraph"/>
      </w:pPr>
      <w:r>
        <w:t xml:space="preserve">No service may construct or override a</w:t>
      </w:r>
      <w:r>
        <w:t xml:space="preserve"> </w:t>
      </w:r>
      <w:r>
        <w:rPr>
          <w:rStyle w:val="VerbatimChar"/>
        </w:rPr>
        <w:t xml:space="preserve">TenantContext</w:t>
      </w:r>
      <w:r>
        <w:t xml:space="preserve"> </w:t>
      </w:r>
      <w:r>
        <w:t xml:space="preserve">from request parameters. The only authorised source is the session-validated middleware pipeline.</w:t>
      </w:r>
    </w:p>
    <w:bookmarkEnd w:id="43"/>
    <w:bookmarkEnd w:id="44"/>
    <w:bookmarkStart w:id="52" w:name="service-layer-architecture"/>
    <w:p>
      <w:pPr>
        <w:pStyle w:val="Heading1"/>
      </w:pPr>
      <w:r>
        <w:t xml:space="preserve">Service Layer Architecture</w:t>
      </w:r>
    </w:p>
    <w:bookmarkStart w:id="45" w:name="X2c5fb3b248eec35d5e7d107852cc081da612304"/>
    <w:p>
      <w:pPr>
        <w:pStyle w:val="Heading2"/>
      </w:pPr>
      <w:r>
        <w:t xml:space="preserve">4.1 Principle</w:t>
      </w:r>
    </w:p>
    <w:p>
      <w:pPr>
        <w:pStyle w:val="FirstParagraph"/>
      </w:pPr>
      <w:r>
        <w:t xml:space="preserve">All business logic resides in the service layer. No page handler, API endpoint, or middleware layer shall contain domain logic directly. This separation ensures that business rules are testable in isolation (via PHPUnit 11.2), reusable across web and mobile entry points, and auditable as distinct units during code review.</w:t>
      </w:r>
    </w:p>
    <w:bookmarkEnd w:id="45"/>
    <w:bookmarkStart w:id="46" w:name="X38032187a2291f945b0bd1409a6d4867c469240"/>
    <w:p>
      <w:pPr>
        <w:pStyle w:val="Heading2"/>
      </w:pPr>
      <w:r>
        <w:t xml:space="preserve">4.2 Service Directory Structure</w:t>
      </w:r>
    </w:p>
    <w:p>
      <w:pPr>
        <w:pStyle w:val="FirstParagraph"/>
      </w:pPr>
      <w:r>
        <w:t xml:space="preserve">Services are organised by domain under</w:t>
      </w:r>
      <w:r>
        <w:t xml:space="preserve"> </w:t>
      </w:r>
      <w:r>
        <w:rPr>
          <w:rStyle w:val="VerbatimChar"/>
        </w:rPr>
        <w:t xml:space="preserve">src/Services/</w:t>
      </w:r>
      <w:r>
        <w:t xml:space="preserve">:</w:t>
      </w:r>
    </w:p>
    <w:p>
      <w:pPr>
        <w:pStyle w:val="SourceCode"/>
      </w:pPr>
      <w:r>
        <w:rPr>
          <w:rStyle w:val="VerbatimChar"/>
        </w:rPr>
        <w:t xml:space="preserve">src/</w:t>
      </w:r>
      <w:r>
        <w:br/>
      </w:r>
      <w:r>
        <w:rPr>
          <w:rStyle w:val="VerbatimChar"/>
        </w:rPr>
        <w:t xml:space="preserve">└── Services/</w:t>
      </w:r>
      <w:r>
        <w:br/>
      </w:r>
      <w:r>
        <w:rPr>
          <w:rStyle w:val="VerbatimChar"/>
        </w:rPr>
        <w:t xml:space="preserve">    ├── Accounting/</w:t>
      </w:r>
      <w:r>
        <w:br/>
      </w:r>
      <w:r>
        <w:rPr>
          <w:rStyle w:val="VerbatimChar"/>
        </w:rPr>
        <w:t xml:space="preserve">    │   ├── GeneralLedgerService.php</w:t>
      </w:r>
      <w:r>
        <w:br/>
      </w:r>
      <w:r>
        <w:rPr>
          <w:rStyle w:val="VerbatimChar"/>
        </w:rPr>
        <w:t xml:space="preserve">    │   ├── AccountsPayableService.php</w:t>
      </w:r>
      <w:r>
        <w:br/>
      </w:r>
      <w:r>
        <w:rPr>
          <w:rStyle w:val="VerbatimChar"/>
        </w:rPr>
        <w:t xml:space="preserve">    │   └── ...</w:t>
      </w:r>
      <w:r>
        <w:br/>
      </w:r>
      <w:r>
        <w:rPr>
          <w:rStyle w:val="VerbatimChar"/>
        </w:rPr>
        <w:t xml:space="preserve">    ├── Inventory/</w:t>
      </w:r>
      <w:r>
        <w:br/>
      </w:r>
      <w:r>
        <w:rPr>
          <w:rStyle w:val="VerbatimChar"/>
        </w:rPr>
        <w:t xml:space="preserve">    │   ├── StockService.php</w:t>
      </w:r>
      <w:r>
        <w:br/>
      </w:r>
      <w:r>
        <w:rPr>
          <w:rStyle w:val="VerbatimChar"/>
        </w:rPr>
        <w:t xml:space="preserve">    │   └── ...</w:t>
      </w:r>
      <w:r>
        <w:br/>
      </w:r>
      <w:r>
        <w:rPr>
          <w:rStyle w:val="VerbatimChar"/>
        </w:rPr>
        <w:t xml:space="preserve">    ├── Sales/</w:t>
      </w:r>
      <w:r>
        <w:br/>
      </w:r>
      <w:r>
        <w:rPr>
          <w:rStyle w:val="VerbatimChar"/>
        </w:rPr>
        <w:t xml:space="preserve">    │   ├── InvoiceService.php</w:t>
      </w:r>
      <w:r>
        <w:br/>
      </w:r>
      <w:r>
        <w:rPr>
          <w:rStyle w:val="VerbatimChar"/>
        </w:rPr>
        <w:t xml:space="preserve">    │   └── ...</w:t>
      </w:r>
      <w:r>
        <w:br/>
      </w:r>
      <w:r>
        <w:rPr>
          <w:rStyle w:val="VerbatimChar"/>
        </w:rPr>
        <w:t xml:space="preserve">    ├── Procurement/</w:t>
      </w:r>
      <w:r>
        <w:br/>
      </w:r>
      <w:r>
        <w:rPr>
          <w:rStyle w:val="VerbatimChar"/>
        </w:rPr>
        <w:t xml:space="preserve">    │   └── ...</w:t>
      </w:r>
      <w:r>
        <w:br/>
      </w:r>
      <w:r>
        <w:rPr>
          <w:rStyle w:val="VerbatimChar"/>
        </w:rPr>
        <w:t xml:space="preserve">    ├── HR/</w:t>
      </w:r>
      <w:r>
        <w:br/>
      </w:r>
      <w:r>
        <w:rPr>
          <w:rStyle w:val="VerbatimChar"/>
        </w:rPr>
        <w:t xml:space="preserve">    │   └── ...</w:t>
      </w:r>
      <w:r>
        <w:br/>
      </w:r>
      <w:r>
        <w:rPr>
          <w:rStyle w:val="VerbatimChar"/>
        </w:rPr>
        <w:t xml:space="preserve">    ├── Manufacturing/</w:t>
      </w:r>
      <w:r>
        <w:br/>
      </w:r>
      <w:r>
        <w:rPr>
          <w:rStyle w:val="VerbatimChar"/>
        </w:rPr>
        <w:t xml:space="preserve">    │   └── ...</w:t>
      </w:r>
      <w:r>
        <w:br/>
      </w:r>
      <w:r>
        <w:rPr>
          <w:rStyle w:val="VerbatimChar"/>
        </w:rPr>
        <w:t xml:space="preserve">    ├── PLM/</w:t>
      </w:r>
      <w:r>
        <w:br/>
      </w:r>
      <w:r>
        <w:rPr>
          <w:rStyle w:val="VerbatimChar"/>
        </w:rPr>
        <w:t xml:space="preserve">    │   └── ...</w:t>
      </w:r>
      <w:r>
        <w:br/>
      </w:r>
      <w:r>
        <w:rPr>
          <w:rStyle w:val="VerbatimChar"/>
        </w:rPr>
        <w:t xml:space="preserve">    ├── Transportation/</w:t>
      </w:r>
      <w:r>
        <w:br/>
      </w:r>
      <w:r>
        <w:rPr>
          <w:rStyle w:val="VerbatimChar"/>
        </w:rPr>
        <w:t xml:space="preserve">    │   └── ...</w:t>
      </w:r>
      <w:r>
        <w:br/>
      </w:r>
      <w:r>
        <w:rPr>
          <w:rStyle w:val="VerbatimChar"/>
        </w:rPr>
        <w:t xml:space="preserve">    ├── OutgrowerFarmer/ (target-state service boundary; current endpoints remain distributed)</w:t>
      </w:r>
      <w:r>
        <w:br/>
      </w:r>
      <w:r>
        <w:rPr>
          <w:rStyle w:val="VerbatimChar"/>
        </w:rPr>
        <w:t xml:space="preserve">    │   └── ...</w:t>
      </w:r>
      <w:r>
        <w:br/>
      </w:r>
      <w:r>
        <w:rPr>
          <w:rStyle w:val="VerbatimChar"/>
        </w:rPr>
        <w:t xml:space="preserve">    ├── Auth/</w:t>
      </w:r>
      <w:r>
        <w:br/>
      </w:r>
      <w:r>
        <w:rPr>
          <w:rStyle w:val="VerbatimChar"/>
        </w:rPr>
        <w:t xml:space="preserve">    │   └── ...</w:t>
      </w:r>
      <w:r>
        <w:br/>
      </w:r>
      <w:r>
        <w:rPr>
          <w:rStyle w:val="VerbatimChar"/>
        </w:rPr>
        <w:t xml:space="preserve">    └── Platform/</w:t>
      </w:r>
      <w:r>
        <w:br/>
      </w:r>
      <w:r>
        <w:rPr>
          <w:rStyle w:val="VerbatimChar"/>
        </w:rPr>
        <w:t xml:space="preserve">        ├── TenantContext.php</w:t>
      </w:r>
      <w:r>
        <w:br/>
      </w:r>
      <w:r>
        <w:rPr>
          <w:rStyle w:val="VerbatimChar"/>
        </w:rPr>
        <w:t xml:space="preserve">        ├── ModuleGate.php</w:t>
      </w:r>
      <w:r>
        <w:br/>
      </w:r>
      <w:r>
        <w:rPr>
          <w:rStyle w:val="VerbatimChar"/>
        </w:rPr>
        <w:t xml:space="preserve">        └── ...</w:t>
      </w:r>
    </w:p>
    <w:p>
      <w:pPr>
        <w:pStyle w:val="FirstParagraph"/>
      </w:pPr>
      <w:r>
        <w:t xml:space="preserve">Each domain directory maps directly to the corresponding module code. Services within a domain directory may call other services within the same domain. Cross-domain calls (e.g.,</w:t>
      </w:r>
      <w:r>
        <w:t xml:space="preserve"> </w:t>
      </w:r>
      <w:r>
        <w:rPr>
          <w:rStyle w:val="VerbatimChar"/>
        </w:rPr>
        <w:t xml:space="preserve">InvoiceService</w:t>
      </w:r>
      <w:r>
        <w:t xml:space="preserve"> </w:t>
      </w:r>
      <w:r>
        <w:t xml:space="preserve">calling</w:t>
      </w:r>
      <w:r>
        <w:t xml:space="preserve"> </w:t>
      </w:r>
      <w:r>
        <w:rPr>
          <w:rStyle w:val="VerbatimChar"/>
        </w:rPr>
        <w:t xml:space="preserve">GeneralLedgerService</w:t>
      </w:r>
      <w:r>
        <w:t xml:space="preserve"> </w:t>
      </w:r>
      <w:r>
        <w:t xml:space="preserve">to post a receivable) are explicitly modelled as inter-service dependencies registered in the container.</w:t>
      </w:r>
    </w:p>
    <w:p>
      <w:pPr>
        <w:pStyle w:val="BodyText"/>
      </w:pPr>
      <w:r>
        <w:t xml:space="preserve">For the industrial operating model, the service layer shall preserve these ownership boundaries:</w:t>
      </w:r>
    </w:p>
    <w:p>
      <w:pPr>
        <w:pStyle w:val="Compact"/>
        <w:numPr>
          <w:ilvl w:val="0"/>
          <w:numId w:val="1009"/>
        </w:numPr>
      </w:pPr>
      <w:r>
        <w:rPr>
          <w:rStyle w:val="VerbatimChar"/>
        </w:rPr>
        <w:t xml:space="preserve">PLM</w:t>
      </w:r>
      <w:r>
        <w:t xml:space="preserve"> </w:t>
      </w:r>
      <w:r>
        <w:t xml:space="preserve">owns engineering items, revisions, changes, document control, and downstream release publication.</w:t>
      </w:r>
    </w:p>
    <w:p>
      <w:pPr>
        <w:pStyle w:val="Compact"/>
        <w:numPr>
          <w:ilvl w:val="0"/>
          <w:numId w:val="1009"/>
        </w:numPr>
      </w:pPr>
      <w:r>
        <w:rPr>
          <w:rStyle w:val="VerbatimChar"/>
        </w:rPr>
        <w:t xml:space="preserve">Manufacturing</w:t>
      </w:r>
      <w:r>
        <w:t xml:space="preserve"> </w:t>
      </w:r>
      <w:r>
        <w:t xml:space="preserve">owns routings, production execution, work-centre operations, genealogy, quality execution, and costing.</w:t>
      </w:r>
    </w:p>
    <w:p>
      <w:pPr>
        <w:pStyle w:val="Compact"/>
        <w:numPr>
          <w:ilvl w:val="0"/>
          <w:numId w:val="1009"/>
        </w:numPr>
      </w:pPr>
      <w:r>
        <w:rPr>
          <w:rStyle w:val="VerbatimChar"/>
        </w:rPr>
        <w:t xml:space="preserve">Transportation</w:t>
      </w:r>
      <w:r>
        <w:t xml:space="preserve"> </w:t>
      </w:r>
      <w:r>
        <w:t xml:space="preserve">owns shipment planning, dispatch, trip execution, proof capture, transport exceptions, and freight settlement.</w:t>
      </w:r>
    </w:p>
    <w:p>
      <w:pPr>
        <w:pStyle w:val="Compact"/>
        <w:numPr>
          <w:ilvl w:val="0"/>
          <w:numId w:val="1009"/>
        </w:numPr>
      </w:pPr>
      <w:r>
        <w:rPr>
          <w:rStyle w:val="VerbatimChar"/>
        </w:rPr>
        <w:t xml:space="preserve">Assets</w:t>
      </w:r>
      <w:r>
        <w:t xml:space="preserve"> </w:t>
      </w:r>
      <w:r>
        <w:t xml:space="preserve">may expose vehicle-reference data to</w:t>
      </w:r>
      <w:r>
        <w:t xml:space="preserve"> </w:t>
      </w:r>
      <w:r>
        <w:rPr>
          <w:rStyle w:val="VerbatimChar"/>
        </w:rPr>
        <w:t xml:space="preserve">Transportation</w:t>
      </w:r>
      <w:r>
        <w:t xml:space="preserve">, but it does not own trip state or dispatch logic.</w:t>
      </w:r>
    </w:p>
    <w:bookmarkEnd w:id="46"/>
    <w:bookmarkStart w:id="47" w:name="X074b9be54397036c88c5485102f7b689671f019"/>
    <w:p>
      <w:pPr>
        <w:pStyle w:val="Heading2"/>
      </w:pPr>
      <w:r>
        <w:t xml:space="preserve">4.3 Dependency Injection Container</w:t>
      </w:r>
    </w:p>
    <w:p>
      <w:pPr>
        <w:pStyle w:val="FirstParagraph"/>
      </w:pPr>
      <w:r>
        <w:t xml:space="preserve">All services are registered in</w:t>
      </w:r>
      <w:r>
        <w:t xml:space="preserve"> </w:t>
      </w:r>
      <w:r>
        <w:rPr>
          <w:rStyle w:val="VerbatimChar"/>
        </w:rPr>
        <w:t xml:space="preserve">bootstrap/container.php</w:t>
      </w:r>
      <w:r>
        <w:t xml:space="preserve"> </w:t>
      </w:r>
      <w:r>
        <w:t xml:space="preserve">using PHP-DI 7.0. The container is the single authorised mechanism for resolving service instances. Direct</w:t>
      </w:r>
      <w:r>
        <w:t xml:space="preserve"> </w:t>
      </w:r>
      <w:r>
        <w:rPr>
          <w:rStyle w:val="VerbatimChar"/>
        </w:rPr>
        <w:t xml:space="preserve">new ServiceClass()</w:t>
      </w:r>
      <w:r>
        <w:t xml:space="preserve"> </w:t>
      </w:r>
      <w:r>
        <w:t xml:space="preserve">instantiation outside the container is prohibited.</w:t>
      </w:r>
    </w:p>
    <w:p>
      <w:pPr>
        <w:pStyle w:val="BodyText"/>
      </w:pPr>
      <w:r>
        <w:t xml:space="preserve">Registration follows the constructor injection pattern:</w:t>
      </w:r>
    </w:p>
    <w:p>
      <w:pPr>
        <w:pStyle w:val="SourceCode"/>
      </w:pPr>
      <w:r>
        <w:rPr>
          <w:rStyle w:val="CommentTok"/>
        </w:rPr>
        <w:t xml:space="preserve">// bootstrap/container.php (illustrative - prospective)</w:t>
      </w:r>
      <w:r>
        <w:br/>
      </w:r>
      <w:r>
        <w:rPr>
          <w:rStyle w:val="VariableTok"/>
        </w:rPr>
        <w:t xml:space="preserve">$container</w:t>
      </w:r>
      <w:r>
        <w:rPr>
          <w:rStyle w:val="NormalTok"/>
        </w:rPr>
        <w:t xml:space="preserve">-&gt;set(InvoiceService::</w:t>
      </w:r>
      <w:r>
        <w:rPr>
          <w:rStyle w:val="KeywordTok"/>
        </w:rPr>
        <w:t xml:space="preserve">class</w:t>
      </w:r>
      <w:r>
        <w:rPr>
          <w:rStyle w:val="OtherTok"/>
        </w:rPr>
        <w:t xml:space="preserve">,</w:t>
      </w:r>
      <w:r>
        <w:rPr>
          <w:rStyle w:val="NormalTok"/>
        </w:rPr>
        <w:t xml:space="preserve"> </w:t>
      </w:r>
      <w:r>
        <w:rPr>
          <w:rStyle w:val="KeywordTok"/>
        </w:rPr>
        <w:t xml:space="preserve">function</w:t>
      </w:r>
      <w:r>
        <w:rPr>
          <w:rStyle w:val="NormalTok"/>
        </w:rPr>
        <w:t xml:space="preserve"> (Container </w:t>
      </w:r>
      <w:r>
        <w:rPr>
          <w:rStyle w:val="VariableTok"/>
        </w:rPr>
        <w:t xml:space="preserve">$c</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InvoiceService(</w:t>
      </w:r>
      <w:r>
        <w:br/>
      </w:r>
      <w:r>
        <w:rPr>
          <w:rStyle w:val="NormalTok"/>
        </w:rPr>
        <w:t xml:space="preserve">        </w:t>
      </w:r>
      <w:r>
        <w:rPr>
          <w:rStyle w:val="VariableTok"/>
        </w:rPr>
        <w:t xml:space="preserve">$c</w:t>
      </w:r>
      <w:r>
        <w:rPr>
          <w:rStyle w:val="NormalTok"/>
        </w:rPr>
        <w:t xml:space="preserve">-&gt;get(TenantContext::</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$c</w:t>
      </w:r>
      <w:r>
        <w:rPr>
          <w:rStyle w:val="NormalTok"/>
        </w:rPr>
        <w:t xml:space="preserve">-&gt;get(GeneralLedgerService::</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$c</w:t>
      </w:r>
      <w:r>
        <w:rPr>
          <w:rStyle w:val="NormalTok"/>
        </w:rPr>
        <w:t xml:space="preserve">-&gt;get(</w:t>
      </w:r>
      <w:r>
        <w:rPr>
          <w:rStyle w:val="BuiltInTok"/>
        </w:rPr>
        <w:t xml:space="preserve">PDO</w:t>
      </w:r>
      <w:r>
        <w:rPr>
          <w:rStyle w:val="NormalTok"/>
        </w:rPr>
        <w:t xml:space="preserve">::</w:t>
      </w:r>
      <w:r>
        <w:rPr>
          <w:rStyle w:val="KeywordTok"/>
        </w:rPr>
        <w:t xml:space="preserve">class</w:t>
      </w:r>
      <w:r>
        <w:rPr>
          <w:rStyle w:val="Normal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Services are injected into:</w:t>
      </w:r>
    </w:p>
    <w:p>
      <w:pPr>
        <w:pStyle w:val="Compact"/>
        <w:numPr>
          <w:ilvl w:val="0"/>
          <w:numId w:val="1010"/>
        </w:numPr>
      </w:pPr>
      <w:r>
        <w:t xml:space="preserve">API endpoint files under</w:t>
      </w:r>
      <w:r>
        <w:t xml:space="preserve"> </w:t>
      </w:r>
      <w:r>
        <w:rPr>
          <w:rStyle w:val="VerbatimChar"/>
        </w:rPr>
        <w:t xml:space="preserve">public/api/[domain]/endpoint.php</w:t>
      </w:r>
      <w:r>
        <w:t xml:space="preserve"> </w:t>
      </w:r>
      <w:r>
        <w:t xml:space="preserve">- resolved from the container at the top of each file.</w:t>
      </w:r>
    </w:p>
    <w:p>
      <w:pPr>
        <w:pStyle w:val="Compact"/>
        <w:numPr>
          <w:ilvl w:val="0"/>
          <w:numId w:val="1010"/>
        </w:numPr>
      </w:pPr>
      <w:r>
        <w:t xml:space="preserve">Page handler files under</w:t>
      </w:r>
      <w:r>
        <w:t xml:space="preserve"> </w:t>
      </w:r>
      <w:r>
        <w:rPr>
          <w:rStyle w:val="VerbatimChar"/>
        </w:rPr>
        <w:t xml:space="preserve">public/[domain]/page.php</w:t>
      </w:r>
      <w:r>
        <w:t xml:space="preserve"> </w:t>
      </w:r>
      <w:r>
        <w:t xml:space="preserve">- resolved from the container at the top of each file.</w:t>
      </w:r>
    </w:p>
    <w:bookmarkEnd w:id="47"/>
    <w:bookmarkStart w:id="48" w:name="X63584c3aa19875a83028862586dfe0bbf9b942e"/>
    <w:p>
      <w:pPr>
        <w:pStyle w:val="Heading2"/>
      </w:pPr>
      <w:r>
        <w:t xml:space="preserve">4.4 TenantContext Injection into Services</w:t>
      </w:r>
    </w:p>
    <w:p>
      <w:pPr>
        <w:pStyle w:val="FirstParagraph"/>
      </w:pPr>
      <w:r>
        <w:t xml:space="preserve">Every service that accesses operational data shall receive</w:t>
      </w:r>
      <w:r>
        <w:t xml:space="preserve"> </w:t>
      </w:r>
      <w:r>
        <w:rPr>
          <w:rStyle w:val="VerbatimChar"/>
        </w:rPr>
        <w:t xml:space="preserve">TenantContext</w:t>
      </w:r>
      <w:r>
        <w:t xml:space="preserve"> </w:t>
      </w:r>
      <w:r>
        <w:t xml:space="preserve">as the first constructor parameter. The service uses</w:t>
      </w:r>
      <w:r>
        <w:t xml:space="preserve"> </w:t>
      </w:r>
      <w:r>
        <w:rPr>
          <w:rStyle w:val="VerbatimChar"/>
        </w:rPr>
        <w:t xml:space="preserve">$this-&gt;tenantContext-&gt;getTenantId()</w:t>
      </w:r>
      <w:r>
        <w:t xml:space="preserve"> </w:t>
      </w:r>
      <w:r>
        <w:t xml:space="preserve">as the value for the</w:t>
      </w:r>
      <w:r>
        <w:t xml:space="preserve"> </w:t>
      </w:r>
      <w:r>
        <w:rPr>
          <w:rStyle w:val="VerbatimChar"/>
        </w:rPr>
        <w:t xml:space="preserve">tenant_id</w:t>
      </w:r>
      <w:r>
        <w:t xml:space="preserve"> </w:t>
      </w:r>
      <w:r>
        <w:t xml:space="preserve">clause on every SQL query. No service shall accept a</w:t>
      </w:r>
      <w:r>
        <w:t xml:space="preserve"> </w:t>
      </w:r>
      <w:r>
        <w:rPr>
          <w:rStyle w:val="VerbatimChar"/>
        </w:rPr>
        <w:t xml:space="preserve">tenant_id</w:t>
      </w:r>
      <w:r>
        <w:t xml:space="preserve"> </w:t>
      </w:r>
      <w:r>
        <w:t xml:space="preserve">parameter from a caller - the tenant identity is always derived from the injected context.</w:t>
      </w:r>
    </w:p>
    <w:p>
      <w:pPr>
        <w:pStyle w:val="SourceCode"/>
      </w:pPr>
      <w:r>
        <w:rPr>
          <w:rStyle w:val="CommentTok"/>
        </w:rPr>
        <w:t xml:space="preserve">// Illustrative service constructor (prospective)</w:t>
      </w:r>
      <w:r>
        <w:br/>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GeneralLedgerService </w:t>
      </w:r>
      <w:r>
        <w:rPr>
          <w:rStyle w:val="VariableTok"/>
        </w:rPr>
        <w:t xml:space="preserve">$gl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$pdo</w:t>
      </w:r>
      <w:r>
        <w:br/>
      </w:r>
      <w:r>
        <w:rPr>
          <w:rStyle w:val="NormalTok"/>
        </w:rPr>
        <w:t xml:space="preserve">    ) {}</w:t>
      </w:r>
      <w:r>
        <w:br/>
      </w:r>
      <w:r>
        <w:rPr>
          <w:rStyle w:val="NormalTok"/>
        </w:rPr>
        <w:t xml:space="preserve">}</w:t>
      </w:r>
    </w:p>
    <w:bookmarkEnd w:id="48"/>
    <w:bookmarkStart w:id="49" w:name="Xd51abc367bc778e17648c585e695bc1313e6f8b"/>
    <w:p>
      <w:pPr>
        <w:pStyle w:val="Heading2"/>
      </w:pPr>
      <w:r>
        <w:t xml:space="preserve">4.5 ApiResponse Standard</w:t>
      </w:r>
    </w:p>
    <w:p>
      <w:pPr>
        <w:pStyle w:val="FirstParagraph"/>
      </w:pPr>
      <w:r>
        <w:t xml:space="preserve">All REST API endpoints shall return responses using the</w:t>
      </w:r>
      <w:r>
        <w:t xml:space="preserve"> </w:t>
      </w:r>
      <w:r>
        <w:rPr>
          <w:rStyle w:val="VerbatimChar"/>
        </w:rPr>
        <w:t xml:space="preserve">ApiResponse</w:t>
      </w:r>
      <w:r>
        <w:t xml:space="preserve"> </w:t>
      </w:r>
      <w:r>
        <w:t xml:space="preserve">class. The class enforces the standardised JSON envelope defined in Section 9:</w:t>
      </w:r>
    </w:p>
    <w:p>
      <w:pPr>
        <w:pStyle w:val="SourceCode"/>
      </w:pPr>
      <w:r>
        <w:rPr>
          <w:rStyle w:val="VerbatimChar"/>
        </w:rPr>
        <w:t xml:space="preserve">{ "success": bool, "data": {}, "error": {} }</w:t>
      </w:r>
    </w:p>
    <w:p>
      <w:pPr>
        <w:pStyle w:val="FirstParagraph"/>
      </w:pPr>
      <w:r>
        <w:rPr>
          <w:rStyle w:val="VerbatimChar"/>
        </w:rPr>
        <w:t xml:space="preserve">ApiResponse</w:t>
      </w:r>
      <w:r>
        <w:t xml:space="preserve"> </w:t>
      </w:r>
      <w:r>
        <w:t xml:space="preserve">provides the following static factory methods:</w:t>
      </w:r>
    </w:p>
    <w:p>
      <w:pPr>
        <w:pStyle w:val="Compact"/>
        <w:numPr>
          <w:ilvl w:val="0"/>
          <w:numId w:val="1011"/>
        </w:numPr>
      </w:pPr>
      <w:r>
        <w:rPr>
          <w:rStyle w:val="VerbatimChar"/>
        </w:rPr>
        <w:t xml:space="preserve">ApiResponse::success(mixed $data, int $httpCode = 200)</w:t>
      </w:r>
      <w:r>
        <w:t xml:space="preserve"> </w:t>
      </w:r>
      <w:r>
        <w:t xml:space="preserve">- returns a success envelope.</w:t>
      </w:r>
    </w:p>
    <w:p>
      <w:pPr>
        <w:pStyle w:val="Compact"/>
        <w:numPr>
          <w:ilvl w:val="0"/>
          <w:numId w:val="1011"/>
        </w:numPr>
      </w:pPr>
      <w:r>
        <w:rPr>
          <w:rStyle w:val="VerbatimChar"/>
        </w:rPr>
        <w:t xml:space="preserve">ApiResponse::error(string $message, string $code, int $httpCode)</w:t>
      </w:r>
      <w:r>
        <w:t xml:space="preserve"> </w:t>
      </w:r>
      <w:r>
        <w:t xml:space="preserve">- returns an error envelope.</w:t>
      </w:r>
    </w:p>
    <w:p>
      <w:pPr>
        <w:pStyle w:val="FirstParagraph"/>
      </w:pPr>
      <w:r>
        <w:t xml:space="preserve">No endpoint shall write raw</w:t>
      </w:r>
      <w:r>
        <w:t xml:space="preserve"> </w:t>
      </w:r>
      <w:r>
        <w:rPr>
          <w:rStyle w:val="VerbatimChar"/>
        </w:rPr>
        <w:t xml:space="preserve">echo json_encode(...)</w:t>
      </w:r>
      <w:r>
        <w:t xml:space="preserve"> </w:t>
      </w:r>
      <w:r>
        <w:t xml:space="preserve">output. All output is routed through</w:t>
      </w:r>
      <w:r>
        <w:t xml:space="preserve"> </w:t>
      </w:r>
      <w:r>
        <w:rPr>
          <w:rStyle w:val="VerbatimChar"/>
        </w:rPr>
        <w:t xml:space="preserve">ApiResponse</w:t>
      </w:r>
      <w:r>
        <w:t xml:space="preserve">.</w:t>
      </w:r>
    </w:p>
    <w:bookmarkEnd w:id="49"/>
    <w:bookmarkStart w:id="50" w:name="X128dd57b8cf0196e5e9b8c1853bb3d00b8bb46d"/>
    <w:p>
      <w:pPr>
        <w:pStyle w:val="Heading2"/>
      </w:pPr>
      <w:r>
        <w:t xml:space="preserve">4.6 JavaScript Architecture</w:t>
      </w:r>
    </w:p>
    <w:p>
      <w:pPr>
        <w:pStyle w:val="FirstParagraph"/>
      </w:pPr>
      <w:r>
        <w:t xml:space="preserve">Each page that requires client-side behaviour shall have exactly 1 dedicated JavaScript file at</w:t>
      </w:r>
      <w:r>
        <w:t xml:space="preserve"> </w:t>
      </w:r>
      <w:r>
        <w:rPr>
          <w:rStyle w:val="VerbatimChar"/>
        </w:rPr>
        <w:t xml:space="preserve">public/js/[page-name].js</w:t>
      </w:r>
      <w:r>
        <w:t xml:space="preserve">. Inline</w:t>
      </w:r>
      <w:r>
        <w:t xml:space="preserve"> </w:t>
      </w:r>
      <w:r>
        <w:rPr>
          <w:rStyle w:val="VerbatimChar"/>
        </w:rPr>
        <w:t xml:space="preserve">&lt;script&gt;</w:t>
      </w:r>
      <w:r>
        <w:t xml:space="preserve"> </w:t>
      </w:r>
      <w:r>
        <w:t xml:space="preserve">blocks in PHP page files are prohibited.</w:t>
      </w:r>
    </w:p>
    <w:p>
      <w:pPr>
        <w:pStyle w:val="BodyText"/>
      </w:pPr>
      <w:r>
        <w:t xml:space="preserve">JavaScript files shall reference API endpoints using relative paths (e.g.,</w:t>
      </w:r>
      <w:r>
        <w:t xml:space="preserve"> </w:t>
      </w:r>
      <w:r>
        <w:rPr>
          <w:rStyle w:val="VerbatimChar"/>
        </w:rPr>
        <w:t xml:space="preserve">./api/invoices/create.php</w:t>
      </w:r>
      <w:r>
        <w:t xml:space="preserve">). Absolute URL construction in JavaScript is prohibited, as it breaks multi-path deployments.</w:t>
      </w:r>
    </w:p>
    <w:p>
      <w:pPr>
        <w:pStyle w:val="BodyText"/>
      </w:pPr>
      <w:r>
        <w:t xml:space="preserve">All AJAX calls made from page JavaScript shall include the</w:t>
      </w:r>
      <w:r>
        <w:t xml:space="preserve"> </w:t>
      </w:r>
      <w:r>
        <w:rPr>
          <w:rStyle w:val="VerbatimChar"/>
        </w:rPr>
        <w:t xml:space="preserve">X-CSRF-Token</w:t>
      </w:r>
      <w:r>
        <w:t xml:space="preserve"> </w:t>
      </w:r>
      <w:r>
        <w:t xml:space="preserve">header populated from the session token injected into the page by the PHP renderer.</w:t>
      </w:r>
    </w:p>
    <w:bookmarkEnd w:id="50"/>
    <w:bookmarkStart w:id="51" w:name="X842f760413cbc424ad55e228b5234cd7f6d62e8"/>
    <w:p>
      <w:pPr>
        <w:pStyle w:val="Heading2"/>
      </w:pPr>
      <w:r>
        <w:t xml:space="preserve">4.7 Database Access Standards</w:t>
      </w:r>
    </w:p>
    <w:p>
      <w:pPr>
        <w:pStyle w:val="FirstParagraph"/>
      </w:pPr>
      <w:r>
        <w:t xml:space="preserve">All database access shall use PHP Data Objects (PDO) with prepared statements. Raw SQL string concatenation is prohibited. This applies to all service classes, stored procedure calls, and any direct PDO usage in API endpoints.</w:t>
      </w:r>
    </w:p>
    <w:p>
      <w:pPr>
        <w:pStyle w:val="SourceCode"/>
      </w:pPr>
      <w:r>
        <w:rPr>
          <w:rStyle w:val="CommentTok"/>
        </w:rPr>
        <w:t xml:space="preserve">// Required pattern (prospective):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'SELECT * FROM invoices WHERE tenant_id = ? AND id = ?'</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$this</w:t>
      </w:r>
      <w:r>
        <w:rPr>
          <w:rStyle w:val="NormalTok"/>
        </w:rPr>
        <w:t xml:space="preserve">-&gt;tenantContext-&gt;getTenantId()</w:t>
      </w:r>
      <w:r>
        <w:rPr>
          <w:rStyle w:val="OtherTok"/>
        </w:rPr>
        <w:t xml:space="preserve">,</w:t>
      </w:r>
      <w:r>
        <w:rPr>
          <w:rStyle w:val="NormalTok"/>
        </w:rPr>
        <w:t xml:space="preserve"> </w:t>
      </w:r>
      <w:r>
        <w:rPr>
          <w:rStyle w:val="VariableTok"/>
        </w:rPr>
        <w:t xml:space="preserve">$invoiceId</w:t>
      </w:r>
      <w:r>
        <w:rPr>
          <w:rStyle w:val="NormalTok"/>
        </w:rPr>
        <w:t xml:space="preserve">])</w:t>
      </w:r>
      <w:r>
        <w:rPr>
          <w:rStyle w:val="OtherTok"/>
        </w:rPr>
        <w:t xml:space="preserve">;</w:t>
      </w:r>
    </w:p>
    <w:p>
      <w:pPr>
        <w:pStyle w:val="FirstParagraph"/>
      </w:pPr>
      <w:r>
        <w:t xml:space="preserve">Stored procedures in MySQL 9.1 are used for complex multi-step operations (General Ledger posting, sequential document numbering, account mapping). Stored procedure calls shall also use PDO prepared statement syntax (</w:t>
      </w:r>
      <w:r>
        <w:rPr>
          <w:rStyle w:val="VerbatimChar"/>
        </w:rPr>
        <w:t xml:space="preserve">CALL procedure_name(?, ?)</w:t>
      </w:r>
      <w:r>
        <w:t xml:space="preserve">) and shall never interpolate values into the call string.</w:t>
      </w:r>
    </w:p>
    <w:bookmarkEnd w:id="51"/>
    <w:bookmarkEnd w:id="52"/>
    <w:bookmarkStart w:id="60" w:name="multi-tenancy-design"/>
    <w:p>
      <w:pPr>
        <w:pStyle w:val="Heading1"/>
      </w:pPr>
      <w:r>
        <w:t xml:space="preserve">Multi-Tenancy Design</w:t>
      </w:r>
    </w:p>
    <w:bookmarkStart w:id="53" w:name="Xaa9e2b940e5c2448ecd46634d4cba740fe818d0"/>
    <w:p>
      <w:pPr>
        <w:pStyle w:val="Heading2"/>
      </w:pPr>
      <w:r>
        <w:t xml:space="preserve">5.1 Architecture Pattern: Shared Database, Row-Level Isolation</w:t>
      </w:r>
    </w:p>
    <w:p>
      <w:pPr>
        <w:pStyle w:val="FirstParagraph"/>
      </w:pPr>
      <w:r>
        <w:t xml:space="preserve">Kraal Code adopts a shared-database multi-tenancy model. All tenants reside in the same MySQL 9.1 database instance. Tenant data isolation is enforced at the application layer through:</w:t>
      </w:r>
    </w:p>
    <w:p>
      <w:pPr>
        <w:pStyle w:val="Compact"/>
        <w:numPr>
          <w:ilvl w:val="0"/>
          <w:numId w:val="1012"/>
        </w:numPr>
      </w:pPr>
      <w:r>
        <w:t xml:space="preserve">A</w:t>
      </w:r>
      <w:r>
        <w:t xml:space="preserve"> </w:t>
      </w:r>
      <w:r>
        <w:rPr>
          <w:rStyle w:val="VerbatimChar"/>
        </w:rPr>
        <w:t xml:space="preserve">tenant_id</w:t>
      </w:r>
      <w:r>
        <w:t xml:space="preserve"> </w:t>
      </w:r>
      <w:r>
        <w:t xml:space="preserve">foreign key on every operational table.</w:t>
      </w:r>
    </w:p>
    <w:p>
      <w:pPr>
        <w:pStyle w:val="Compact"/>
        <w:numPr>
          <w:ilvl w:val="0"/>
          <w:numId w:val="1012"/>
        </w:numPr>
      </w:pPr>
      <w:r>
        <w:t xml:space="preserve">The middleware pipeline, which populates</w:t>
      </w:r>
      <w:r>
        <w:t xml:space="preserve"> </w:t>
      </w:r>
      <w:r>
        <w:rPr>
          <w:rStyle w:val="VerbatimChar"/>
        </w:rPr>
        <w:t xml:space="preserve">TenantContext</w:t>
      </w:r>
      <w:r>
        <w:t xml:space="preserve"> </w:t>
      </w:r>
      <w:r>
        <w:t xml:space="preserve">from the authenticated session before any page handler or service executes.</w:t>
      </w:r>
    </w:p>
    <w:p>
      <w:pPr>
        <w:pStyle w:val="Compact"/>
        <w:numPr>
          <w:ilvl w:val="0"/>
          <w:numId w:val="1012"/>
        </w:numPr>
      </w:pPr>
      <w:r>
        <w:t xml:space="preserve">The convention that every SQL query against an operational table includes a</w:t>
      </w:r>
      <w:r>
        <w:t xml:space="preserve"> </w:t>
      </w:r>
      <w:r>
        <w:rPr>
          <w:rStyle w:val="VerbatimChar"/>
        </w:rPr>
        <w:t xml:space="preserve">WHERE tenant_id = ?</w:t>
      </w:r>
      <w:r>
        <w:t xml:space="preserve"> </w:t>
      </w:r>
      <w:r>
        <w:t xml:space="preserve">clause parameterised from</w:t>
      </w:r>
      <w:r>
        <w:t xml:space="preserve"> </w:t>
      </w:r>
      <w:r>
        <w:rPr>
          <w:rStyle w:val="VerbatimChar"/>
        </w:rPr>
        <w:t xml:space="preserve">$this-&gt;tenantContext-&gt;getTenantId()</w:t>
      </w:r>
      <w:r>
        <w:t xml:space="preserve">.</w:t>
      </w:r>
    </w:p>
    <w:p>
      <w:pPr>
        <w:pStyle w:val="FirstParagraph"/>
      </w:pPr>
      <w:r>
        <w:t xml:space="preserve">This approach was selected for operational simplicity and cost efficiency (see ADR-001 in Section 12).</w:t>
      </w:r>
    </w:p>
    <w:bookmarkEnd w:id="53"/>
    <w:bookmarkStart w:id="54" w:name="X6cd3aefb32463eb3c9958728c98d2c9473343f9"/>
    <w:p>
      <w:pPr>
        <w:pStyle w:val="Heading2"/>
      </w:pPr>
      <w:r>
        <w:t xml:space="preserve">5.2 The</w:t>
      </w:r>
      <w:r>
        <w:t xml:space="preserve"> </w:t>
      </w:r>
      <w:r>
        <w:rPr>
          <w:rStyle w:val="VerbatimChar"/>
        </w:rPr>
        <w:t xml:space="preserve">tenant_id</w:t>
      </w:r>
      <w:r>
        <w:t xml:space="preserve"> </w:t>
      </w:r>
      <w:r>
        <w:t xml:space="preserve">Rule</w:t>
      </w:r>
    </w:p>
    <w:p>
      <w:pPr>
        <w:pStyle w:val="FirstParagraph"/>
      </w:pPr>
      <w:r>
        <w:rPr>
          <w:i/>
          <w:iCs/>
        </w:rPr>
        <w:t xml:space="preserve">The</w:t>
      </w:r>
      <w:r>
        <w:rPr>
          <w:i/>
          <w:iCs/>
        </w:rPr>
        <w:t xml:space="preserve"> </w:t>
      </w:r>
      <w:r>
        <w:rPr>
          <w:rStyle w:val="VerbatimChar"/>
          <w:i/>
          <w:iCs/>
        </w:rPr>
        <w:t xml:space="preserve">tenant_id</w:t>
      </w:r>
      <w:r>
        <w:rPr>
          <w:i/>
          <w:iCs/>
        </w:rPr>
        <w:t xml:space="preserve"> </w:t>
      </w:r>
      <w:r>
        <w:rPr>
          <w:i/>
          <w:iCs/>
        </w:rPr>
        <w:t xml:space="preserve">value used in any SQL query shall always be sourced from</w:t>
      </w:r>
      <w:r>
        <w:rPr>
          <w:i/>
          <w:iCs/>
        </w:rPr>
        <w:t xml:space="preserve"> </w:t>
      </w:r>
      <w:r>
        <w:rPr>
          <w:rStyle w:val="VerbatimChar"/>
          <w:i/>
          <w:iCs/>
        </w:rPr>
        <w:t xml:space="preserve">$_SESSION['tenant_id']</w:t>
      </w:r>
      <w:r>
        <w:rPr>
          <w:i/>
          <w:iCs/>
        </w:rPr>
        <w:t xml:space="preserve"> </w:t>
      </w:r>
      <w:r>
        <w:rPr>
          <w:i/>
          <w:iCs/>
        </w:rPr>
        <w:t xml:space="preserve">as provided by the</w:t>
      </w:r>
      <w:r>
        <w:rPr>
          <w:i/>
          <w:iCs/>
        </w:rPr>
        <w:t xml:space="preserve"> </w:t>
      </w:r>
      <w:r>
        <w:rPr>
          <w:rStyle w:val="VerbatimChar"/>
          <w:i/>
          <w:iCs/>
        </w:rPr>
        <w:t xml:space="preserve">TenantContext</w:t>
      </w:r>
      <w:r>
        <w:rPr>
          <w:i/>
          <w:iCs/>
        </w:rPr>
        <w:t xml:space="preserve"> </w:t>
      </w:r>
      <w:r>
        <w:rPr>
          <w:i/>
          <w:iCs/>
        </w:rPr>
        <w:t xml:space="preserve">object. It shall never be sourced from</w:t>
      </w:r>
      <w:r>
        <w:rPr>
          <w:i/>
          <w:iCs/>
        </w:rPr>
        <w:t xml:space="preserve"> </w:t>
      </w:r>
      <w:r>
        <w:rPr>
          <w:rStyle w:val="VerbatimChar"/>
          <w:i/>
          <w:iCs/>
        </w:rPr>
        <w:t xml:space="preserve">$_GET</w:t>
      </w:r>
      <w:r>
        <w:rPr>
          <w:i/>
          <w:iCs/>
        </w:rPr>
        <w:t xml:space="preserve">,</w:t>
      </w:r>
      <w:r>
        <w:rPr>
          <w:i/>
          <w:iCs/>
        </w:rPr>
        <w:t xml:space="preserve"> </w:t>
      </w:r>
      <w:r>
        <w:rPr>
          <w:rStyle w:val="VerbatimChar"/>
          <w:i/>
          <w:iCs/>
        </w:rPr>
        <w:t xml:space="preserve">$_POST</w:t>
      </w:r>
      <w:r>
        <w:rPr>
          <w:i/>
          <w:iCs/>
        </w:rPr>
        <w:t xml:space="preserve">,</w:t>
      </w:r>
      <w:r>
        <w:rPr>
          <w:i/>
          <w:iCs/>
        </w:rPr>
        <w:t xml:space="preserve"> </w:t>
      </w:r>
      <w:r>
        <w:rPr>
          <w:rStyle w:val="VerbatimChar"/>
          <w:i/>
          <w:iCs/>
        </w:rPr>
        <w:t xml:space="preserve">$_COOKIE</w:t>
      </w:r>
      <w:r>
        <w:rPr>
          <w:i/>
          <w:iCs/>
        </w:rPr>
        <w:t xml:space="preserve">, request headers, URL path parameters, or any other client-supplied input.</w:t>
      </w:r>
    </w:p>
    <w:p>
      <w:pPr>
        <w:pStyle w:val="BodyText"/>
      </w:pPr>
      <w:r>
        <w:t xml:space="preserve">Violation of this rule is a Critical severity defect (NFR-SEC-001). The</w:t>
      </w:r>
      <w:r>
        <w:t xml:space="preserve"> </w:t>
      </w:r>
      <w:r>
        <w:rPr>
          <w:rStyle w:val="VerbatimChar"/>
        </w:rPr>
        <w:t xml:space="preserve">TenantContext</w:t>
      </w:r>
      <w:r>
        <w:t xml:space="preserve"> </w:t>
      </w:r>
      <w:r>
        <w:t xml:space="preserve">class is the single authorised accessor.</w:t>
      </w:r>
    </w:p>
    <w:bookmarkEnd w:id="54"/>
    <w:bookmarkStart w:id="55" w:name="Xe1ede0cbd1c4a5bf9136472de34085d510e811e"/>
    <w:p>
      <w:pPr>
        <w:pStyle w:val="Heading2"/>
      </w:pPr>
      <w:r>
        <w:t xml:space="preserve">5.3 Cross-Tenant Access Attempts</w:t>
      </w:r>
    </w:p>
    <w:p>
      <w:pPr>
        <w:pStyle w:val="FirstParagraph"/>
      </w:pPr>
      <w:r>
        <w:t xml:space="preserve">When a request attempts to retrieve a record that exists but belongs to a different tenant, the system shall return HTTP 404 Not Found rather than HTTP 403 Forbidden. This behaviour prevents tenant enumeration: an attacker cannot distinguish "this record exists but belongs to another tenant" from "this record does not exist."</w:t>
      </w:r>
    </w:p>
    <w:p>
      <w:pPr>
        <w:pStyle w:val="BodyText"/>
      </w:pPr>
      <w:r>
        <w:t xml:space="preserve">All such events are logged in the audit trail with a</w:t>
      </w:r>
      <w:r>
        <w:t xml:space="preserve"> </w:t>
      </w:r>
      <w:r>
        <w:rPr>
          <w:rStyle w:val="VerbatimChar"/>
        </w:rPr>
        <w:t xml:space="preserve">CROSS_TENANT_ATTEMPT</w:t>
      </w:r>
      <w:r>
        <w:t xml:space="preserve"> </w:t>
      </w:r>
      <w:r>
        <w:t xml:space="preserve">event type, regardless of whether the attempt was malicious or the result of a misconfigured request.</w:t>
      </w:r>
    </w:p>
    <w:bookmarkEnd w:id="55"/>
    <w:bookmarkStart w:id="56" w:name="X118e4e592981523834d81895d8369cd839197e2"/>
    <w:p>
      <w:pPr>
        <w:pStyle w:val="Heading2"/>
      </w:pPr>
      <w:r>
        <w:t xml:space="preserve">5.4 Module-Level Gating</w:t>
      </w:r>
    </w:p>
    <w:p>
      <w:pPr>
        <w:pStyle w:val="FirstParagraph"/>
      </w:pPr>
      <w:r>
        <w:t xml:space="preserve">Every page belonging to an add-on module shall call</w:t>
      </w:r>
      <w:r>
        <w:t xml:space="preserve"> </w:t>
      </w:r>
      <w:r>
        <w:rPr>
          <w:rStyle w:val="VerbatimChar"/>
        </w:rPr>
        <w:t xml:space="preserve">requireModuleAccess('MODULE_CODE')</w:t>
      </w:r>
      <w:r>
        <w:t xml:space="preserve"> </w:t>
      </w:r>
      <w:r>
        <w:t xml:space="preserve">as the first operation in the page handler, after the middleware pipeline completes. If the module is not active for the current tenant, the function redirects the user to the module upgrade/activation page. The check uses</w:t>
      </w:r>
      <w:r>
        <w:t xml:space="preserve"> </w:t>
      </w:r>
      <w:r>
        <w:rPr>
          <w:rStyle w:val="VerbatimChar"/>
        </w:rPr>
        <w:t xml:space="preserve">TenantContext::isModuleActive(string $moduleCode)</w:t>
      </w:r>
      <w:r>
        <w:t xml:space="preserve"> </w:t>
      </w:r>
      <w:r>
        <w:t xml:space="preserve">internally.</w:t>
      </w:r>
    </w:p>
    <w:p>
      <w:pPr>
        <w:pStyle w:val="BodyText"/>
      </w:pPr>
      <w:r>
        <w:t xml:space="preserve">Core modules (ACCOUNTING, INVENTORY, SALES, PROCUREMENT, USER_MGMT, AUDIT) are always active for all tenants and do not require</w:t>
      </w:r>
      <w:r>
        <w:t xml:space="preserve"> </w:t>
      </w:r>
      <w:r>
        <w:rPr>
          <w:rStyle w:val="VerbatimChar"/>
        </w:rPr>
        <w:t xml:space="preserve">requireModuleAccess</w:t>
      </w:r>
      <w:r>
        <w:t xml:space="preserve"> </w:t>
      </w:r>
      <w:r>
        <w:t xml:space="preserve">gating, but the function is idempotent for these codes and will not block access if called.</w:t>
      </w:r>
    </w:p>
    <w:bookmarkEnd w:id="56"/>
    <w:bookmarkStart w:id="57" w:name="Xb01a2f914ec8873d5d4d981cfec6ebf348906fc"/>
    <w:p>
      <w:pPr>
        <w:pStyle w:val="Heading2"/>
      </w:pPr>
      <w:r>
        <w:t xml:space="preserve">5.5 Tenant Lifecycle States</w:t>
      </w:r>
    </w:p>
    <w:p>
      <w:pPr>
        <w:pStyle w:val="FirstParagraph"/>
      </w:pPr>
      <w:r>
        <w:t xml:space="preserve">The tenant lifecycle is a finite state machine with the following states and transitions:</w:t>
      </w:r>
    </w:p>
    <w:p>
      <w:pPr>
        <w:pStyle w:val="SourceCode"/>
      </w:pPr>
      <w:r>
        <w:rPr>
          <w:rStyle w:val="VerbatimChar"/>
        </w:rPr>
        <w:t xml:space="preserve">Trial ──────────────────────────────────────▶ Active</w:t>
      </w:r>
      <w:r>
        <w:br/>
      </w:r>
      <w:r>
        <w:rPr>
          <w:rStyle w:val="VerbatimChar"/>
        </w:rPr>
        <w:t xml:space="preserve">  │                                              │</w:t>
      </w:r>
      <w:r>
        <w:br/>
      </w:r>
      <w:r>
        <w:rPr>
          <w:rStyle w:val="VerbatimChar"/>
        </w:rPr>
        <w:t xml:space="preserve">  │ (payment not received by trial end)          │ (payment not received by due date)</w:t>
      </w:r>
      <w:r>
        <w:br/>
      </w:r>
      <w:r>
        <w:rPr>
          <w:rStyle w:val="VerbatimChar"/>
        </w:rPr>
        <w:t xml:space="preserve">  ▼                                              ▼</w:t>
      </w:r>
      <w:r>
        <w:br/>
      </w:r>
      <w:r>
        <w:rPr>
          <w:rStyle w:val="VerbatimChar"/>
        </w:rPr>
        <w:t xml:space="preserve">Suspended ◀────────────────────────────── Overdue</w:t>
      </w:r>
      <w:r>
        <w:br/>
      </w:r>
      <w:r>
        <w:rPr>
          <w:rStyle w:val="VerbatimChar"/>
        </w:rPr>
        <w:t xml:space="preserve">  │               (manually by Chwezi)          │</w:t>
      </w:r>
      <w:r>
        <w:br/>
      </w:r>
      <w:r>
        <w:rPr>
          <w:rStyle w:val="VerbatimChar"/>
        </w:rPr>
        <w:t xml:space="preserve">  │                                              │ (paid)</w:t>
      </w:r>
      <w:r>
        <w:br/>
      </w:r>
      <w:r>
        <w:rPr>
          <w:rStyle w:val="VerbatimChar"/>
        </w:rPr>
        <w:t xml:space="preserve">  ▼                                              ▼</w:t>
      </w:r>
      <w:r>
        <w:br/>
      </w:r>
      <w:r>
        <w:rPr>
          <w:rStyle w:val="VerbatimChar"/>
        </w:rPr>
        <w:t xml:space="preserve">Archived                                      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Login Permitted</w:t>
            </w:r>
          </w:p>
        </w:tc>
        <w:tc>
          <w:tcPr/>
          <w:p>
            <w:pPr>
              <w:pStyle w:val="Compact"/>
            </w:pPr>
            <w:r>
              <w:t xml:space="preserve">Data Access</w:t>
            </w:r>
          </w:p>
        </w:tc>
        <w:tc>
          <w:tcPr/>
          <w:p>
            <w:pPr>
              <w:pStyle w:val="Compact"/>
            </w:pPr>
            <w:r>
              <w:t xml:space="preserve">Billing</w:t>
            </w:r>
          </w:p>
        </w:tc>
      </w:tr>
      <w:tr>
        <w:tc>
          <w:tcPr/>
          <w:p>
            <w:pPr>
              <w:pStyle w:val="Compact"/>
            </w:pPr>
            <w:r>
              <w:rPr>
                <w:rStyle w:val="VerbatimChar"/>
              </w:rPr>
              <w:t xml:space="preserve">trial</w:t>
            </w:r>
          </w:p>
        </w:tc>
        <w:tc>
          <w:tcPr/>
          <w:p>
            <w:pPr>
              <w:pStyle w:val="Compact"/>
            </w:pPr>
            <w:r>
              <w:t xml:space="preserve">Yes</w:t>
            </w:r>
          </w:p>
        </w:tc>
        <w:tc>
          <w:tcPr/>
          <w:p>
            <w:pPr>
              <w:pStyle w:val="Compact"/>
            </w:pPr>
            <w:r>
              <w:t xml:space="preserve">Full</w:t>
            </w:r>
          </w:p>
        </w:tc>
        <w:tc>
          <w:tcPr/>
          <w:p>
            <w:pPr>
              <w:pStyle w:val="Compact"/>
            </w:pPr>
            <w:r>
              <w:t xml:space="preserve">No charge</w:t>
            </w:r>
          </w:p>
        </w:tc>
      </w:tr>
      <w:tr>
        <w:tc>
          <w:tcPr/>
          <w:p>
            <w:pPr>
              <w:pStyle w:val="Compact"/>
            </w:pPr>
            <w:r>
              <w:rPr>
                <w:rStyle w:val="VerbatimChar"/>
              </w:rPr>
              <w:t xml:space="preserve">active</w:t>
            </w:r>
          </w:p>
        </w:tc>
        <w:tc>
          <w:tcPr/>
          <w:p>
            <w:pPr>
              <w:pStyle w:val="Compact"/>
            </w:pPr>
            <w:r>
              <w:t xml:space="preserve">Yes</w:t>
            </w:r>
          </w:p>
        </w:tc>
        <w:tc>
          <w:tcPr/>
          <w:p>
            <w:pPr>
              <w:pStyle w:val="Compact"/>
            </w:pPr>
            <w:r>
              <w:t xml:space="preserve">Full</w:t>
            </w:r>
          </w:p>
        </w:tc>
        <w:tc>
          <w:tcPr/>
          <w:p>
            <w:pPr>
              <w:pStyle w:val="Compact"/>
            </w:pPr>
            <w:r>
              <w:t xml:space="preserve">Charged</w:t>
            </w:r>
          </w:p>
        </w:tc>
      </w:tr>
      <w:tr>
        <w:tc>
          <w:tcPr/>
          <w:p>
            <w:pPr>
              <w:pStyle w:val="Compact"/>
            </w:pPr>
            <w:r>
              <w:rPr>
                <w:rStyle w:val="VerbatimChar"/>
              </w:rPr>
              <w:t xml:space="preserve">overdue</w:t>
            </w:r>
          </w:p>
        </w:tc>
        <w:tc>
          <w:tcPr/>
          <w:p>
            <w:pPr>
              <w:pStyle w:val="Compact"/>
            </w:pPr>
            <w:r>
              <w:t xml:space="preserve">Blocked (notice shown)</w:t>
            </w:r>
          </w:p>
        </w:tc>
        <w:tc>
          <w:tcPr/>
          <w:p>
            <w:pPr>
              <w:pStyle w:val="Compact"/>
            </w:pPr>
            <w:r>
              <w:t xml:space="preserve">Read-only export only</w:t>
            </w:r>
          </w:p>
        </w:tc>
        <w:tc>
          <w:tcPr/>
          <w:p>
            <w:pPr>
              <w:pStyle w:val="Compact"/>
            </w:pPr>
            <w:r>
              <w:t xml:space="preserve">Overdue</w:t>
            </w:r>
          </w:p>
        </w:tc>
      </w:tr>
      <w:tr>
        <w:tc>
          <w:tcPr/>
          <w:p>
            <w:pPr>
              <w:pStyle w:val="Compact"/>
            </w:pPr>
            <w:r>
              <w:rPr>
                <w:rStyle w:val="VerbatimChar"/>
              </w:rPr>
              <w:t xml:space="preserve">suspended</w:t>
            </w:r>
          </w:p>
        </w:tc>
        <w:tc>
          <w:tcPr/>
          <w:p>
            <w:pPr>
              <w:pStyle w:val="Compact"/>
            </w:pPr>
            <w:r>
              <w:t xml:space="preserve">Blocked (notice shown)</w:t>
            </w:r>
          </w:p>
        </w:tc>
        <w:tc>
          <w:tcPr/>
          <w:p>
            <w:pPr>
              <w:pStyle w:val="Compact"/>
            </w:pPr>
            <w:r>
              <w:t xml:space="preserve">None</w:t>
            </w:r>
          </w:p>
        </w:tc>
        <w:tc>
          <w:tcPr/>
          <w:p>
            <w:pPr>
              <w:pStyle w:val="Compact"/>
            </w:pPr>
            <w:r>
              <w:t xml:space="preserve">Suspended</w:t>
            </w:r>
          </w:p>
        </w:tc>
      </w:tr>
      <w:tr>
        <w:tc>
          <w:tcPr/>
          <w:p>
            <w:pPr>
              <w:pStyle w:val="Compact"/>
            </w:pPr>
            <w:r>
              <w:rPr>
                <w:rStyle w:val="VerbatimChar"/>
              </w:rPr>
              <w:t xml:space="preserve">archived</w:t>
            </w:r>
          </w:p>
        </w:tc>
        <w:tc>
          <w:tcPr/>
          <w:p>
            <w:pPr>
              <w:pStyle w:val="Compact"/>
            </w:pPr>
            <w:r>
              <w:t xml:space="preserve">Blocked</w:t>
            </w:r>
          </w:p>
        </w:tc>
        <w:tc>
          <w:tcPr/>
          <w:p>
            <w:pPr>
              <w:pStyle w:val="Compact"/>
            </w:pPr>
            <w:r>
              <w:t xml:space="preserve">None</w:t>
            </w:r>
          </w:p>
        </w:tc>
        <w:tc>
          <w:tcPr/>
          <w:p>
            <w:pPr>
              <w:pStyle w:val="Compact"/>
            </w:pPr>
            <w:r>
              <w:t xml:space="preserve">Closed</w:t>
            </w:r>
          </w:p>
        </w:tc>
      </w:tr>
    </w:tbl>
    <w:p>
      <w:pPr>
        <w:pStyle w:val="BodyText"/>
      </w:pPr>
      <w:r>
        <w:t xml:space="preserve">Tenant lifecycle transitions are initiated from the Super Admin Panel and are recorded in the platform audit log.</w:t>
      </w:r>
    </w:p>
    <w:bookmarkEnd w:id="57"/>
    <w:bookmarkStart w:id="58" w:name="X862daf9995b40a4acb129fce7f7be72efec5674"/>
    <w:p>
      <w:pPr>
        <w:pStyle w:val="Heading2"/>
      </w:pPr>
      <w:r>
        <w:t xml:space="preserve">5.6 Per-Tenant Configuration</w:t>
      </w:r>
    </w:p>
    <w:p>
      <w:pPr>
        <w:pStyle w:val="FirstParagraph"/>
      </w:pPr>
      <w:r>
        <w:t xml:space="preserve">Each tenant record carries a configuration profile that governs all jurisdiction-specific and business-specific behaviour. The configuration profile includes:</w:t>
      </w:r>
    </w:p>
    <w:p>
      <w:pPr>
        <w:pStyle w:val="Compact"/>
        <w:numPr>
          <w:ilvl w:val="0"/>
          <w:numId w:val="1013"/>
        </w:numPr>
      </w:pPr>
      <w:r>
        <w:rPr>
          <w:b/>
          <w:bCs/>
        </w:rPr>
        <w:t xml:space="preserve">Currency:</w:t>
      </w:r>
      <w:r>
        <w:t xml:space="preserve"> </w:t>
      </w:r>
      <w:r>
        <w:t xml:space="preserve">ISO 4217 currency code (e.g.,</w:t>
      </w:r>
      <w:r>
        <w:t xml:space="preserve"> </w:t>
      </w:r>
      <w:r>
        <w:rPr>
          <w:rStyle w:val="VerbatimChar"/>
        </w:rPr>
        <w:t xml:space="preserve">UGX</w:t>
      </w:r>
      <w:r>
        <w:t xml:space="preserve">,</w:t>
      </w:r>
      <w:r>
        <w:t xml:space="preserve"> </w:t>
      </w:r>
      <w:r>
        <w:rPr>
          <w:rStyle w:val="VerbatimChar"/>
        </w:rPr>
        <w:t xml:space="preserve">KES</w:t>
      </w:r>
      <w:r>
        <w:t xml:space="preserve">,</w:t>
      </w:r>
      <w:r>
        <w:t xml:space="preserve"> </w:t>
      </w:r>
      <w:r>
        <w:rPr>
          <w:rStyle w:val="VerbatimChar"/>
        </w:rPr>
        <w:t xml:space="preserve">TZS</w:t>
      </w:r>
      <w:r>
        <w:t xml:space="preserve">).</w:t>
      </w:r>
    </w:p>
    <w:p>
      <w:pPr>
        <w:pStyle w:val="Compact"/>
        <w:numPr>
          <w:ilvl w:val="0"/>
          <w:numId w:val="1013"/>
        </w:numPr>
      </w:pPr>
      <w:r>
        <w:rPr>
          <w:b/>
          <w:bCs/>
        </w:rPr>
        <w:t xml:space="preserve">Timezone:</w:t>
      </w:r>
      <w:r>
        <w:t xml:space="preserve"> </w:t>
      </w:r>
      <w:r>
        <w:t xml:space="preserve">IANA timezone identifier (e.g.,</w:t>
      </w:r>
      <w:r>
        <w:t xml:space="preserve"> </w:t>
      </w:r>
      <w:r>
        <w:rPr>
          <w:rStyle w:val="VerbatimChar"/>
        </w:rPr>
        <w:t xml:space="preserve">Africa/Kampala</w:t>
      </w:r>
      <w:r>
        <w:t xml:space="preserve">).</w:t>
      </w:r>
    </w:p>
    <w:p>
      <w:pPr>
        <w:pStyle w:val="Compact"/>
        <w:numPr>
          <w:ilvl w:val="0"/>
          <w:numId w:val="1013"/>
        </w:numPr>
      </w:pPr>
      <w:r>
        <w:rPr>
          <w:b/>
          <w:bCs/>
        </w:rPr>
        <w:t xml:space="preserve">Chart of Accounts (COA):</w:t>
      </w:r>
      <w:r>
        <w:t xml:space="preserve"> </w:t>
      </w:r>
      <w:r>
        <w:t xml:space="preserve">The COA starter template applied at tenant provisioning, customisable post-provisioning.</w:t>
      </w:r>
    </w:p>
    <w:p>
      <w:pPr>
        <w:pStyle w:val="Compact"/>
        <w:numPr>
          <w:ilvl w:val="0"/>
          <w:numId w:val="1013"/>
        </w:numPr>
      </w:pPr>
      <w:r>
        <w:rPr>
          <w:b/>
          <w:bCs/>
        </w:rPr>
        <w:t xml:space="preserve">Roles and permissions:</w:t>
      </w:r>
      <w:r>
        <w:t xml:space="preserve"> </w:t>
      </w:r>
      <w:r>
        <w:t xml:space="preserve">Tenant-defined roles built on top of the platform RBAC framework.</w:t>
      </w:r>
    </w:p>
    <w:p>
      <w:pPr>
        <w:pStyle w:val="Compact"/>
        <w:numPr>
          <w:ilvl w:val="0"/>
          <w:numId w:val="1013"/>
        </w:numPr>
      </w:pPr>
      <w:r>
        <w:rPr>
          <w:b/>
          <w:bCs/>
        </w:rPr>
        <w:t xml:space="preserve">Branches:</w:t>
      </w:r>
      <w:r>
        <w:t xml:space="preserve"> </w:t>
      </w:r>
      <w:r>
        <w:t xml:space="preserve">One or more branches with individual location data, contact details, and branch-level configuration.</w:t>
      </w:r>
    </w:p>
    <w:p>
      <w:pPr>
        <w:pStyle w:val="Compact"/>
        <w:numPr>
          <w:ilvl w:val="0"/>
          <w:numId w:val="1013"/>
        </w:numPr>
      </w:pPr>
      <w:r>
        <w:rPr>
          <w:b/>
          <w:bCs/>
        </w:rPr>
        <w:t xml:space="preserve">Enabled modules:</w:t>
      </w:r>
      <w:r>
        <w:t xml:space="preserve"> </w:t>
      </w:r>
      <w:r>
        <w:t xml:space="preserve">The set of module codes active for this tenant under their current subscription plan.</w:t>
      </w:r>
    </w:p>
    <w:p>
      <w:pPr>
        <w:pStyle w:val="Compact"/>
        <w:numPr>
          <w:ilvl w:val="0"/>
          <w:numId w:val="1013"/>
        </w:numPr>
      </w:pPr>
      <w:r>
        <w:rPr>
          <w:b/>
          <w:bCs/>
        </w:rPr>
        <w:t xml:space="preserve">Localisation profile:</w:t>
      </w:r>
      <w:r>
        <w:t xml:space="preserve"> </w:t>
      </w:r>
      <w:r>
        <w:t xml:space="preserve">See Section 10 for the full localisation profile specification.</w:t>
      </w:r>
    </w:p>
    <w:p>
      <w:pPr>
        <w:pStyle w:val="FirstParagraph"/>
      </w:pPr>
      <w:r>
        <w:t xml:space="preserve">Configuration is managed via the Tenant Workspace settings area and the Super Admin Panel. Configuration changes take effect on the next page load (no application restart required).</w:t>
      </w:r>
    </w:p>
    <w:bookmarkEnd w:id="58"/>
    <w:bookmarkStart w:id="59" w:name="Xf07ac8af26e4b67f0b107c2c56323c06de625e8"/>
    <w:p>
      <w:pPr>
        <w:pStyle w:val="Heading2"/>
      </w:pPr>
      <w:r>
        <w:t xml:space="preserve">5.7 Data Schema Convention</w:t>
      </w:r>
    </w:p>
    <w:p>
      <w:pPr>
        <w:pStyle w:val="FirstParagraph"/>
      </w:pPr>
      <w:r>
        <w:t xml:space="preserve">Every operational table in the Kraal Code schema follows this convention:</w:t>
      </w:r>
    </w:p>
    <w:p>
      <w:pPr>
        <w:pStyle w:val="SourceCode"/>
      </w:pPr>
      <w:r>
        <w:rPr>
          <w:rStyle w:val="CommentTok"/>
        </w:rPr>
        <w:t xml:space="preserve">-- Illustrative table structure (prospective)</w:t>
      </w:r>
      <w:r>
        <w:br/>
      </w: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w:t>
      </w:r>
      <w:r>
        <w:rPr>
          <w:rStyle w:val="KeywordTok"/>
        </w:rPr>
        <w:t xml:space="preserve">id</w:t>
      </w:r>
      <w:r>
        <w:rPr>
          <w:rStyle w:val="NormalTok"/>
        </w:rPr>
        <w:t xml:space="preserve">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tenant_id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branch_id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domain columns ...</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idx_tenant (tenant_id),</w:t>
      </w:r>
      <w:r>
        <w:br/>
      </w:r>
      <w:r>
        <w:rPr>
          <w:rStyle w:val="NormalTok"/>
        </w:rPr>
        <w:t xml:space="preserve">    </w:t>
      </w:r>
      <w:r>
        <w:rPr>
          <w:rStyle w:val="KeywordTok"/>
        </w:rPr>
        <w:t xml:space="preserve">CONSTRAINT</w:t>
      </w:r>
      <w:r>
        <w:rPr>
          <w:rStyle w:val="NormalTok"/>
        </w:rPr>
        <w:t xml:space="preserve"> fk_invoice_tenant </w:t>
      </w:r>
      <w:r>
        <w:rPr>
          <w:rStyle w:val="KeywordTok"/>
        </w:rPr>
        <w:t xml:space="preserve">FOREIGN</w:t>
      </w:r>
      <w:r>
        <w:rPr>
          <w:rStyle w:val="NormalTok"/>
        </w:rPr>
        <w:t xml:space="preserve"> </w:t>
      </w:r>
      <w:r>
        <w:rPr>
          <w:rStyle w:val="KeywordTok"/>
        </w:rPr>
        <w:t xml:space="preserve">KEY</w:t>
      </w:r>
      <w:r>
        <w:rPr>
          <w:rStyle w:val="NormalTok"/>
        </w:rPr>
        <w:t xml:space="preserve"> (tenant_id)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w:t>
      </w:r>
    </w:p>
    <w:p>
      <w:pPr>
        <w:pStyle w:val="FirstParagraph"/>
      </w:pPr>
      <w:r>
        <w:t xml:space="preserve">The</w:t>
      </w:r>
      <w:r>
        <w:t xml:space="preserve"> </w:t>
      </w:r>
      <w:r>
        <w:rPr>
          <w:rStyle w:val="VerbatimChar"/>
        </w:rPr>
        <w:t xml:space="preserve">tenant_id</w:t>
      </w:r>
      <w:r>
        <w:t xml:space="preserve"> </w:t>
      </w:r>
      <w:r>
        <w:t xml:space="preserve">column is indexed on all operational tables to ensure that tenant-scoped queries execute with a predictable execution plan that does not degrade as the number of tenants grows.</w:t>
      </w:r>
    </w:p>
    <w:bookmarkEnd w:id="59"/>
    <w:bookmarkEnd w:id="60"/>
    <w:bookmarkStart w:id="69" w:name="security-architecture"/>
    <w:p>
      <w:pPr>
        <w:pStyle w:val="Heading1"/>
      </w:pPr>
      <w:r>
        <w:t xml:space="preserve">Security Architecture</w:t>
      </w:r>
    </w:p>
    <w:bookmarkStart w:id="61" w:name="X2b4d19dface0bd64065274bdc59058dda5fbca1"/>
    <w:p>
      <w:pPr>
        <w:pStyle w:val="Heading2"/>
      </w:pPr>
      <w:r>
        <w:t xml:space="preserve">6.1 Security Model Overview</w:t>
      </w:r>
    </w:p>
    <w:p>
      <w:pPr>
        <w:pStyle w:val="FirstParagraph"/>
      </w:pPr>
      <w:r>
        <w:t xml:space="preserve">The Kraal Code security model addresses four threat surfaces: web browser clients, mobile native clients, the REST API, and the shared-database multi-tenant data layer. Each surface has a distinct authentication and authorisation mechanism. The model is designed to satisfy OWASP Top 10 (2021), NIST SP 800-63B authentication assurance levels, and the Uganda Data Protection and Privacy Act 2019.</w:t>
      </w:r>
    </w:p>
    <w:bookmarkEnd w:id="61"/>
    <w:bookmarkStart w:id="62" w:name="X427f17792d8710b097b593476e6cf06e16e303f"/>
    <w:p>
      <w:pPr>
        <w:pStyle w:val="Heading2"/>
      </w:pPr>
      <w:r>
        <w:t xml:space="preserve">6.2 Web Authentication</w:t>
      </w:r>
    </w:p>
    <w:p>
      <w:pPr>
        <w:pStyle w:val="FirstParagraph"/>
      </w:pPr>
      <w:r>
        <w:rPr>
          <w:b/>
          <w:bCs/>
        </w:rPr>
        <w:t xml:space="preserve">Mechanism:</w:t>
      </w:r>
      <w:r>
        <w:t xml:space="preserve"> </w:t>
      </w:r>
      <w:r>
        <w:t xml:space="preserve">Session-based authentication.</w:t>
      </w:r>
    </w:p>
    <w:p>
      <w:pPr>
        <w:pStyle w:val="BodyText"/>
      </w:pPr>
      <w:r>
        <w:rPr>
          <w:b/>
          <w:bCs/>
        </w:rPr>
        <w:t xml:space="preserve">Session cookie:</w:t>
      </w:r>
      <w:r>
        <w:t xml:space="preserve"> </w:t>
      </w:r>
      <w:r>
        <w:rPr>
          <w:rStyle w:val="VerbatimChar"/>
        </w:rPr>
        <w:t xml:space="preserve">KRAAL_CODE_SESSION</w:t>
      </w:r>
    </w:p>
    <w:p>
      <w:pPr>
        <w:pStyle w:val="BodyText"/>
      </w:pPr>
      <w:r>
        <w:rPr>
          <w:b/>
          <w:bCs/>
        </w:rPr>
        <w:t xml:space="preserve">Cookie attributes: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HttpOnly</w:t>
            </w:r>
          </w:p>
        </w:tc>
        <w:tc>
          <w:tcPr/>
          <w:p>
            <w:pPr>
              <w:pStyle w:val="Compact"/>
            </w:pPr>
            <w:r>
              <w:rPr>
                <w:rStyle w:val="VerbatimChar"/>
              </w:rPr>
              <w:t xml:space="preserve">true</w:t>
            </w:r>
          </w:p>
        </w:tc>
        <w:tc>
          <w:tcPr/>
          <w:p>
            <w:pPr>
              <w:pStyle w:val="Compact"/>
            </w:pPr>
            <w:r>
              <w:t xml:space="preserve">Prevents JavaScript access; mitigates XSS token theft.</w:t>
            </w:r>
          </w:p>
        </w:tc>
      </w:tr>
      <w:tr>
        <w:tc>
          <w:tcPr/>
          <w:p>
            <w:pPr>
              <w:pStyle w:val="Compact"/>
            </w:pPr>
            <w:r>
              <w:rPr>
                <w:rStyle w:val="VerbatimChar"/>
              </w:rPr>
              <w:t xml:space="preserve">SameSite</w:t>
            </w:r>
          </w:p>
        </w:tc>
        <w:tc>
          <w:tcPr/>
          <w:p>
            <w:pPr>
              <w:pStyle w:val="Compact"/>
            </w:pPr>
            <w:r>
              <w:rPr>
                <w:rStyle w:val="VerbatimChar"/>
              </w:rPr>
              <w:t xml:space="preserve">Strict</w:t>
            </w:r>
          </w:p>
        </w:tc>
        <w:tc>
          <w:tcPr/>
          <w:p>
            <w:pPr>
              <w:pStyle w:val="Compact"/>
            </w:pPr>
            <w:r>
              <w:t xml:space="preserve">Prevents cross-site request forgery (CSRF) via browser-level enforcement.</w:t>
            </w:r>
          </w:p>
        </w:tc>
      </w:tr>
      <w:tr>
        <w:tc>
          <w:tcPr/>
          <w:p>
            <w:pPr>
              <w:pStyle w:val="Compact"/>
            </w:pPr>
            <w:r>
              <w:rPr>
                <w:rStyle w:val="VerbatimChar"/>
              </w:rPr>
              <w:t xml:space="preserve">Secure</w:t>
            </w:r>
          </w:p>
        </w:tc>
        <w:tc>
          <w:tcPr/>
          <w:p>
            <w:pPr>
              <w:pStyle w:val="Compact"/>
            </w:pPr>
            <w:r>
              <w:rPr>
                <w:rStyle w:val="VerbatimChar"/>
              </w:rPr>
              <w:t xml:space="preserve">true</w:t>
            </w:r>
            <w:r>
              <w:t xml:space="preserve"> </w:t>
            </w:r>
            <w:r>
              <w:t xml:space="preserve">(production)</w:t>
            </w:r>
          </w:p>
        </w:tc>
        <w:tc>
          <w:tcPr/>
          <w:p>
            <w:pPr>
              <w:pStyle w:val="Compact"/>
            </w:pPr>
            <w:r>
              <w:t xml:space="preserve">Transmits cookie only over TLS.</w:t>
            </w:r>
          </w:p>
        </w:tc>
      </w:tr>
      <w:tr>
        <w:tc>
          <w:tcPr/>
          <w:p>
            <w:pPr>
              <w:pStyle w:val="Compact"/>
            </w:pPr>
            <w:r>
              <w:rPr>
                <w:rStyle w:val="VerbatimChar"/>
              </w:rPr>
              <w:t xml:space="preserve">Path</w:t>
            </w:r>
          </w:p>
        </w:tc>
        <w:tc>
          <w:tcPr/>
          <w:p>
            <w:pPr>
              <w:pStyle w:val="Compact"/>
            </w:pPr>
            <w:r>
              <w:rPr>
                <w:rStyle w:val="VerbatimChar"/>
              </w:rPr>
              <w:t xml:space="preserve">/public/</w:t>
            </w:r>
          </w:p>
        </w:tc>
        <w:tc>
          <w:tcPr/>
          <w:p>
            <w:pPr>
              <w:pStyle w:val="Compact"/>
            </w:pPr>
            <w:r>
              <w:t xml:space="preserve">Scopes cookie to the tenant workspace path.</w:t>
            </w:r>
          </w:p>
        </w:tc>
      </w:tr>
    </w:tbl>
    <w:p>
      <w:pPr>
        <w:pStyle w:val="BodyText"/>
      </w:pPr>
      <w:r>
        <w:rPr>
          <w:b/>
          <w:bCs/>
        </w:rPr>
        <w:t xml:space="preserve">Session invalidation:</w:t>
      </w:r>
      <w:r>
        <w:t xml:space="preserve"> </w:t>
      </w:r>
      <w:r>
        <w:t xml:space="preserve">The system shall invalidate all active sessions for a user within 5 seconds of an administrator disabling that user's account (NFR-SEC-003).</w:t>
      </w:r>
    </w:p>
    <w:p>
      <w:pPr>
        <w:pStyle w:val="BodyText"/>
      </w:pPr>
      <w:r>
        <w:rPr>
          <w:b/>
          <w:bCs/>
        </w:rPr>
        <w:t xml:space="preserve">Two-factor authentication (2FA):</w:t>
      </w:r>
      <w:r>
        <w:t xml:space="preserve"> </w:t>
      </w:r>
      <w:r>
        <w:t xml:space="preserve">Supported via time-based one-time password (TOTP) per NIST SP 800-63B AAL2. 2FA enforcement is configurable per tenant role.</w:t>
      </w:r>
    </w:p>
    <w:bookmarkEnd w:id="62"/>
    <w:bookmarkStart w:id="63" w:name="X3dd99e9d91f2fb26a8e3a21a9904b010ed13a4a"/>
    <w:p>
      <w:pPr>
        <w:pStyle w:val="Heading2"/>
      </w:pPr>
      <w:r>
        <w:t xml:space="preserve">6.3 Mobile Authentication</w:t>
      </w:r>
    </w:p>
    <w:p>
      <w:pPr>
        <w:pStyle w:val="FirstParagraph"/>
      </w:pPr>
      <w:r>
        <w:rPr>
          <w:b/>
          <w:bCs/>
        </w:rPr>
        <w:t xml:space="preserve">Mechanism:</w:t>
      </w:r>
      <w:r>
        <w:t xml:space="preserve"> </w:t>
      </w:r>
      <w:r>
        <w:t xml:space="preserve">JSON Web Token (JWT) Bearer token using the</w:t>
      </w:r>
      <w:r>
        <w:t xml:space="preserve"> </w:t>
      </w:r>
      <w:r>
        <w:rPr>
          <w:rStyle w:val="VerbatimChar"/>
        </w:rPr>
        <w:t xml:space="preserve">firebase/php-jwt</w:t>
      </w:r>
      <w:r>
        <w:t xml:space="preserve"> </w:t>
      </w:r>
      <w:r>
        <w:t xml:space="preserve">7.0 library.</w:t>
      </w:r>
    </w:p>
    <w:p>
      <w:pPr>
        <w:pStyle w:val="BodyText"/>
      </w:pPr>
      <w:r>
        <w:rPr>
          <w:b/>
          <w:bCs/>
        </w:rPr>
        <w:t xml:space="preserve">JWT claims: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Key</w:t>
            </w:r>
          </w:p>
        </w:tc>
        <w:tc>
          <w:tcPr/>
          <w:p>
            <w:pPr>
              <w:pStyle w:val="Compact"/>
            </w:pPr>
            <w:r>
              <w:t xml:space="preserve">Description</w:t>
            </w:r>
          </w:p>
        </w:tc>
      </w:tr>
      <w:tr>
        <w:tc>
          <w:tcPr/>
          <w:p>
            <w:pPr>
              <w:pStyle w:val="Compact"/>
            </w:pPr>
            <w:r>
              <w:t xml:space="preserve">Tenant identifier</w:t>
            </w:r>
          </w:p>
        </w:tc>
        <w:tc>
          <w:tcPr/>
          <w:p>
            <w:pPr>
              <w:pStyle w:val="Compact"/>
            </w:pPr>
            <w:r>
              <w:rPr>
                <w:rStyle w:val="VerbatimChar"/>
              </w:rPr>
              <w:t xml:space="preserve">tid</w:t>
            </w:r>
          </w:p>
        </w:tc>
        <w:tc>
          <w:tcPr/>
          <w:p>
            <w:pPr>
              <w:pStyle w:val="Compact"/>
            </w:pPr>
            <w:r>
              <w:t xml:space="preserve">The tenant's unique identifier.</w:t>
            </w:r>
          </w:p>
        </w:tc>
      </w:tr>
      <w:tr>
        <w:tc>
          <w:tcPr/>
          <w:p>
            <w:pPr>
              <w:pStyle w:val="Compact"/>
            </w:pPr>
            <w:r>
              <w:t xml:space="preserve">User identifier</w:t>
            </w:r>
          </w:p>
        </w:tc>
        <w:tc>
          <w:tcPr/>
          <w:p>
            <w:pPr>
              <w:pStyle w:val="Compact"/>
            </w:pPr>
            <w:r>
              <w:rPr>
                <w:rStyle w:val="VerbatimChar"/>
              </w:rPr>
              <w:t xml:space="preserve">uid</w:t>
            </w:r>
          </w:p>
        </w:tc>
        <w:tc>
          <w:tcPr/>
          <w:p>
            <w:pPr>
              <w:pStyle w:val="Compact"/>
            </w:pPr>
            <w:r>
              <w:t xml:space="preserve">The authenticated user's identifier.</w:t>
            </w:r>
          </w:p>
        </w:tc>
      </w:tr>
      <w:tr>
        <w:tc>
          <w:tcPr/>
          <w:p>
            <w:pPr>
              <w:pStyle w:val="Compact"/>
            </w:pPr>
            <w:r>
              <w:t xml:space="preserve">Role</w:t>
            </w:r>
          </w:p>
        </w:tc>
        <w:tc>
          <w:tcPr/>
          <w:p>
            <w:pPr>
              <w:pStyle w:val="Compact"/>
            </w:pPr>
            <w:r>
              <w:rPr>
                <w:rStyle w:val="VerbatimChar"/>
              </w:rPr>
              <w:t xml:space="preserve">role</w:t>
            </w:r>
          </w:p>
        </w:tc>
        <w:tc>
          <w:tcPr/>
          <w:p>
            <w:pPr>
              <w:pStyle w:val="Compact"/>
            </w:pPr>
            <w:r>
              <w:t xml:space="preserve">The user's primary role code.</w:t>
            </w:r>
          </w:p>
        </w:tc>
      </w:tr>
      <w:tr>
        <w:tc>
          <w:tcPr/>
          <w:p>
            <w:pPr>
              <w:pStyle w:val="Compact"/>
            </w:pPr>
            <w:r>
              <w:t xml:space="preserve">Active modules</w:t>
            </w:r>
          </w:p>
        </w:tc>
        <w:tc>
          <w:tcPr/>
          <w:p>
            <w:pPr>
              <w:pStyle w:val="Compact"/>
            </w:pPr>
            <w:r>
              <w:rPr>
                <w:rStyle w:val="VerbatimChar"/>
              </w:rPr>
              <w:t xml:space="preserve">modules</w:t>
            </w:r>
          </w:p>
        </w:tc>
        <w:tc>
          <w:tcPr/>
          <w:p>
            <w:pPr>
              <w:pStyle w:val="Compact"/>
            </w:pPr>
            <w:r>
              <w:t xml:space="preserve">Array of module codes active for the tenant.</w:t>
            </w:r>
          </w:p>
        </w:tc>
      </w:tr>
      <w:tr>
        <w:tc>
          <w:tcPr/>
          <w:p>
            <w:pPr>
              <w:pStyle w:val="Compact"/>
            </w:pPr>
            <w:r>
              <w:t xml:space="preserve">Expiry</w:t>
            </w:r>
          </w:p>
        </w:tc>
        <w:tc>
          <w:tcPr/>
          <w:p>
            <w:pPr>
              <w:pStyle w:val="Compact"/>
            </w:pPr>
            <w:r>
              <w:rPr>
                <w:rStyle w:val="VerbatimChar"/>
              </w:rPr>
              <w:t xml:space="preserve">exp</w:t>
            </w:r>
          </w:p>
        </w:tc>
        <w:tc>
          <w:tcPr/>
          <w:p>
            <w:pPr>
              <w:pStyle w:val="Compact"/>
            </w:pPr>
            <w:r>
              <w:t xml:space="preserve">Standard JWT expiry timestamp.</w:t>
            </w:r>
          </w:p>
        </w:tc>
      </w:tr>
    </w:tbl>
    <w:p>
      <w:pPr>
        <w:pStyle w:val="BodyText"/>
      </w:pPr>
      <w:r>
        <w:rPr>
          <w:b/>
          <w:bCs/>
        </w:rPr>
        <w:t xml:space="preserve">Refresh rotation:</w:t>
      </w:r>
      <w:r>
        <w:t xml:space="preserve"> </w:t>
      </w:r>
      <w:r>
        <w:t xml:space="preserve">Access tokens expire in 15 minutes. Refresh tokens expire in 30 days and rotate on each use (the old refresh token is immediately invalidated). Refresh token records are stored server-side so that a compromised refresh token can be revoked.</w:t>
      </w:r>
    </w:p>
    <w:p>
      <w:pPr>
        <w:pStyle w:val="BodyText"/>
      </w:pPr>
      <w:r>
        <w:rPr>
          <w:b/>
          <w:bCs/>
        </w:rPr>
        <w:t xml:space="preserve">Token revocation:</w:t>
      </w:r>
      <w:r>
        <w:t xml:space="preserve"> </w:t>
      </w:r>
      <w:r>
        <w:t xml:space="preserve">Revoked token identifiers are stored in a blocklist table checked on every authenticated API request.</w:t>
      </w:r>
    </w:p>
    <w:bookmarkEnd w:id="63"/>
    <w:bookmarkStart w:id="64" w:name="Xd9708d713f481f984754e3ea3c4fa35f997dbc3"/>
    <w:p>
      <w:pPr>
        <w:pStyle w:val="Heading2"/>
      </w:pPr>
      <w:r>
        <w:t xml:space="preserve">6.4 CSRF Protection</w:t>
      </w:r>
    </w:p>
    <w:p>
      <w:pPr>
        <w:pStyle w:val="FirstParagraph"/>
      </w:pPr>
      <w:r>
        <w:t xml:space="preserve">All state-changing web requests (HTTP POST, PUT, DELETE, and PATCH to</w:t>
      </w:r>
      <w:r>
        <w:t xml:space="preserve"> </w:t>
      </w:r>
      <w:r>
        <w:rPr>
          <w:rStyle w:val="VerbatimChar"/>
        </w:rPr>
        <w:t xml:space="preserve">/public/api/</w:t>
      </w:r>
      <w:r>
        <w:t xml:space="preserve">) must include a valid</w:t>
      </w:r>
      <w:r>
        <w:t xml:space="preserve"> </w:t>
      </w:r>
      <w:r>
        <w:rPr>
          <w:rStyle w:val="VerbatimChar"/>
        </w:rPr>
        <w:t xml:space="preserve">X-CSRF-Token</w:t>
      </w:r>
      <w:r>
        <w:t xml:space="preserve"> </w:t>
      </w:r>
      <w:r>
        <w:t xml:space="preserve">header. The token is a cryptographically random value tied to the user's session, generated at session creation and regenerated after each successful authentication.</w:t>
      </w:r>
    </w:p>
    <w:p>
      <w:pPr>
        <w:pStyle w:val="BodyText"/>
      </w:pPr>
      <w:r>
        <w:t xml:space="preserve">The CSRF token is injected into each page by the PHP renderer as a JavaScript variable. All page-level JavaScript files read this variable and include the header on every AJAX request. Requests missing or bearing an invalid CSRF token are rejected with HTTP 403.</w:t>
      </w:r>
    </w:p>
    <w:p>
      <w:pPr>
        <w:pStyle w:val="BodyText"/>
      </w:pPr>
      <w:r>
        <w:t xml:space="preserve">CSRF protection does not apply to the Mobile API (</w:t>
      </w:r>
      <w:r>
        <w:rPr>
          <w:rStyle w:val="VerbatimChar"/>
        </w:rPr>
        <w:t xml:space="preserve">/public/api/mobile/v1/</w:t>
      </w:r>
      <w:r>
        <w:t xml:space="preserve">) because mobile clients are stateless and authenticate via JWT Bearer token, which is inherently CSRF-resistant.</w:t>
      </w:r>
    </w:p>
    <w:bookmarkEnd w:id="64"/>
    <w:bookmarkStart w:id="65" w:name="X64db6619c1d86b31479c05f877802d35155c0fc"/>
    <w:p>
      <w:pPr>
        <w:pStyle w:val="Heading2"/>
      </w:pPr>
      <w:r>
        <w:t xml:space="preserve">6.5 Rate Limiting</w:t>
      </w:r>
    </w:p>
    <w:p>
      <w:pPr>
        <w:pStyle w:val="FirstParagraph"/>
      </w:pPr>
      <w:r>
        <w:t xml:space="preserve">Rate limiting uses a token bucket algorithm applied at two granularities: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 Type</w:t>
            </w:r>
          </w:p>
        </w:tc>
        <w:tc>
          <w:tcPr/>
          <w:p>
            <w:pPr>
              <w:pStyle w:val="Compact"/>
            </w:pPr>
            <w:r>
              <w:t xml:space="preserve">Scope</w:t>
            </w:r>
          </w:p>
        </w:tc>
        <w:tc>
          <w:tcPr/>
          <w:p>
            <w:pPr>
              <w:pStyle w:val="Compact"/>
            </w:pPr>
            <w:r>
              <w:t xml:space="preserve">Default Limit</w:t>
            </w:r>
          </w:p>
        </w:tc>
      </w:tr>
      <w:tr>
        <w:tc>
          <w:tcPr/>
          <w:p>
            <w:pPr>
              <w:pStyle w:val="Compact"/>
            </w:pPr>
            <w:r>
              <w:t xml:space="preserve">Per-tenant</w:t>
            </w:r>
          </w:p>
        </w:tc>
        <w:tc>
          <w:tcPr/>
          <w:p>
            <w:pPr>
              <w:pStyle w:val="Compact"/>
            </w:pPr>
            <w:r>
              <w:t xml:space="preserve">All requests from a single</w:t>
            </w:r>
            <w:r>
              <w:t xml:space="preserve"> </w:t>
            </w:r>
            <w:r>
              <w:rPr>
                <w:rStyle w:val="VerbatimChar"/>
              </w:rPr>
              <w:t xml:space="preserve">tenant_id</w:t>
            </w:r>
          </w:p>
        </w:tc>
        <w:tc>
          <w:tcPr/>
          <w:p>
            <w:pPr>
              <w:pStyle w:val="Compact"/>
            </w:pPr>
            <w:r>
              <w:t xml:space="preserve">Configurable per subscription plan</w:t>
            </w:r>
          </w:p>
        </w:tc>
      </w:tr>
      <w:tr>
        <w:tc>
          <w:tcPr/>
          <w:p>
            <w:pPr>
              <w:pStyle w:val="Compact"/>
            </w:pPr>
            <w:r>
              <w:t xml:space="preserve">Per-user</w:t>
            </w:r>
          </w:p>
        </w:tc>
        <w:tc>
          <w:tcPr/>
          <w:p>
            <w:pPr>
              <w:pStyle w:val="Compact"/>
            </w:pPr>
            <w:r>
              <w:t xml:space="preserve">All requests from a single</w:t>
            </w:r>
            <w:r>
              <w:t xml:space="preserve"> </w:t>
            </w:r>
            <w:r>
              <w:rPr>
                <w:rStyle w:val="VerbatimChar"/>
              </w:rPr>
              <w:t xml:space="preserve">user_id</w:t>
            </w:r>
          </w:p>
        </w:tc>
        <w:tc>
          <w:tcPr/>
          <w:p>
            <w:pPr>
              <w:pStyle w:val="Compact"/>
            </w:pPr>
            <w:r>
              <w:t xml:space="preserve">300 requests per minute</w:t>
            </w:r>
          </w:p>
        </w:tc>
      </w:tr>
    </w:tbl>
    <w:p>
      <w:pPr>
        <w:pStyle w:val="BodyText"/>
      </w:pPr>
      <w:r>
        <w:t xml:space="preserve">When a limit is exceeded, the system returns HTTP 429 Too Many Requests with a</w:t>
      </w:r>
      <w:r>
        <w:t xml:space="preserve"> </w:t>
      </w:r>
      <w:r>
        <w:rPr>
          <w:rStyle w:val="VerbatimChar"/>
        </w:rPr>
        <w:t xml:space="preserve">Retry-After</w:t>
      </w:r>
      <w:r>
        <w:t xml:space="preserve"> </w:t>
      </w:r>
      <w:r>
        <w:t xml:space="preserve">header. Rate-limit counters are tracked per user and per tenant in the PHP server-side session (</w:t>
      </w:r>
      <w:r>
        <w:rPr>
          <w:rStyle w:val="VerbatimChar"/>
        </w:rPr>
        <w:t xml:space="preserve">RateLimiter</w:t>
      </w:r>
      <w:r>
        <w:t xml:space="preserve"> </w:t>
      </w:r>
      <w:r>
        <w:t xml:space="preserve">service, session key</w:t>
      </w:r>
      <w:r>
        <w:t xml:space="preserve"> </w:t>
      </w:r>
      <w:r>
        <w:rPr>
          <w:rStyle w:val="VerbatimChar"/>
        </w:rPr>
        <w:t xml:space="preserve">api_rate_limit</w:t>
      </w:r>
      <w:r>
        <w:t xml:space="preserve">) and reset on the rolling window boundary; the</w:t>
      </w:r>
      <w:r>
        <w:t xml:space="preserve"> </w:t>
      </w:r>
      <w:r>
        <w:rPr>
          <w:rStyle w:val="VerbatimChar"/>
        </w:rPr>
        <w:t xml:space="preserve">api_rate_limits</w:t>
      </w:r>
      <w:r>
        <w:t xml:space="preserve"> </w:t>
      </w:r>
      <w:r>
        <w:t xml:space="preserve">table provides the persisted per-tenant and per-user limit configuration. The deployment uses no external in-memory cache server (no Redis or Memcached); single-node counting relies on the PHP session store.</w:t>
      </w:r>
    </w:p>
    <w:bookmarkEnd w:id="65"/>
    <w:bookmarkStart w:id="66" w:name="Xee8d6346a83a7ce37baf9530bf1a7fa676fa2c4"/>
    <w:p>
      <w:pPr>
        <w:pStyle w:val="Heading2"/>
      </w:pPr>
      <w:r>
        <w:t xml:space="preserve">6.6 Audit Log Immutability</w:t>
      </w:r>
    </w:p>
    <w:p>
      <w:pPr>
        <w:pStyle w:val="FirstParagraph"/>
      </w:pPr>
      <w:r>
        <w:t xml:space="preserve">The audit log is INSERT-only (NFR-SEC-002).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statement shall be executed against the</w:t>
      </w:r>
      <w:r>
        <w:t xml:space="preserve"> </w:t>
      </w:r>
      <w:r>
        <w:rPr>
          <w:rStyle w:val="VerbatimChar"/>
        </w:rPr>
        <w:t xml:space="preserve">audit_log</w:t>
      </w:r>
      <w:r>
        <w:t xml:space="preserve"> </w:t>
      </w:r>
      <w:r>
        <w:t xml:space="preserve">table by any code path, including super administrator operations. The MySQL 9.1 user account used by the application shall be granted only</w:t>
      </w:r>
      <w:r>
        <w:t xml:space="preserve"> </w:t>
      </w:r>
      <w:r>
        <w:rPr>
          <w:rStyle w:val="VerbatimChar"/>
        </w:rPr>
        <w:t xml:space="preserve">INSERT</w:t>
      </w:r>
      <w:r>
        <w:t xml:space="preserve"> </w:t>
      </w:r>
      <w:r>
        <w:t xml:space="preserve">and</w:t>
      </w:r>
      <w:r>
        <w:t xml:space="preserve"> </w:t>
      </w:r>
      <w:r>
        <w:rPr>
          <w:rStyle w:val="VerbatimChar"/>
        </w:rPr>
        <w:t xml:space="preserve">SELECT</w:t>
      </w:r>
      <w:r>
        <w:t xml:space="preserve"> </w:t>
      </w:r>
      <w:r>
        <w:t xml:space="preserve">privileges on</w:t>
      </w:r>
      <w:r>
        <w:t xml:space="preserve"> </w:t>
      </w:r>
      <w:r>
        <w:rPr>
          <w:rStyle w:val="VerbatimChar"/>
        </w:rPr>
        <w:t xml:space="preserve">audit_log</w:t>
      </w:r>
      <w:r>
        <w:t xml:space="preserve"> </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privileges are withheld at the database level.</w:t>
      </w:r>
    </w:p>
    <w:p>
      <w:pPr>
        <w:pStyle w:val="BodyText"/>
      </w:pPr>
      <w:r>
        <w:t xml:space="preserve">Every Create, Read (sensitive), Update, Delete (CRUD), and approval action shall generate an audit log entry recording:</w:t>
      </w:r>
    </w:p>
    <w:p>
      <w:pPr>
        <w:pStyle w:val="Compact"/>
        <w:numPr>
          <w:ilvl w:val="0"/>
          <w:numId w:val="1014"/>
        </w:numPr>
      </w:pP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user_id</w:t>
      </w:r>
    </w:p>
    <w:p>
      <w:pPr>
        <w:pStyle w:val="Compact"/>
        <w:numPr>
          <w:ilvl w:val="0"/>
          <w:numId w:val="1014"/>
        </w:numPr>
      </w:pPr>
      <w:r>
        <w:t xml:space="preserve">Event type, affected entity type, affected entity identifier</w:t>
      </w:r>
    </w:p>
    <w:p>
      <w:pPr>
        <w:pStyle w:val="Compact"/>
        <w:numPr>
          <w:ilvl w:val="0"/>
          <w:numId w:val="1014"/>
        </w:numPr>
      </w:pPr>
      <w:r>
        <w:t xml:space="preserve">Old values (JSON), new values (JSON)</w:t>
      </w:r>
    </w:p>
    <w:p>
      <w:pPr>
        <w:pStyle w:val="Compact"/>
        <w:numPr>
          <w:ilvl w:val="0"/>
          <w:numId w:val="1014"/>
        </w:numPr>
      </w:pPr>
      <w:r>
        <w:t xml:space="preserve">Client IP address</w:t>
      </w:r>
    </w:p>
    <w:p>
      <w:pPr>
        <w:pStyle w:val="Compact"/>
        <w:numPr>
          <w:ilvl w:val="0"/>
          <w:numId w:val="1014"/>
        </w:numPr>
      </w:pPr>
      <w:r>
        <w:t xml:space="preserve">Timestamp (UTC)</w:t>
      </w:r>
    </w:p>
    <w:p>
      <w:pPr>
        <w:pStyle w:val="FirstParagraph"/>
      </w:pPr>
      <w:r>
        <w:t xml:space="preserve">Audit records shall be retained for a minimum of 7 years per the AUDIT module specification, satisfying Uganda Companies Act requirements.</w:t>
      </w:r>
    </w:p>
    <w:bookmarkEnd w:id="66"/>
    <w:bookmarkStart w:id="67" w:name="X5dff0e5729024260e24acad75f8e0c26b9b9ef8"/>
    <w:p>
      <w:pPr>
        <w:pStyle w:val="Heading2"/>
      </w:pPr>
      <w:r>
        <w:t xml:space="preserve">6.7 Transport and Storage Encryption</w:t>
      </w:r>
    </w:p>
    <w:p>
      <w:pPr>
        <w:pStyle w:val="Compact"/>
        <w:numPr>
          <w:ilvl w:val="0"/>
          <w:numId w:val="1015"/>
        </w:numPr>
      </w:pPr>
      <w:r>
        <w:rPr>
          <w:b/>
          <w:bCs/>
        </w:rPr>
        <w:t xml:space="preserve">In transit:</w:t>
      </w:r>
      <w:r>
        <w:t xml:space="preserve"> </w:t>
      </w:r>
      <w:r>
        <w:t xml:space="preserve">TLS 1.3 for all external connections (browser, mobile app, webhook callbacks).</w:t>
      </w:r>
    </w:p>
    <w:p>
      <w:pPr>
        <w:pStyle w:val="Compact"/>
        <w:numPr>
          <w:ilvl w:val="0"/>
          <w:numId w:val="1015"/>
        </w:numPr>
      </w:pPr>
      <w:r>
        <w:rPr>
          <w:b/>
          <w:bCs/>
        </w:rPr>
        <w:t xml:space="preserve">At rest:</w:t>
      </w:r>
      <w:r>
        <w:t xml:space="preserve"> </w:t>
      </w:r>
      <w:r>
        <w:t xml:space="preserve">AES-256 encryption for sensitive fields. Fields subject to field-level encryption include: user passwords (bcrypt, cost factor ≥ 12), API keys, mobile money gateway credentials, SMTP passwords, and any Personally Identifiable Information (PII) fields flagged in the database schema.</w:t>
      </w:r>
    </w:p>
    <w:p>
      <w:pPr>
        <w:pStyle w:val="Compact"/>
        <w:numPr>
          <w:ilvl w:val="0"/>
          <w:numId w:val="1015"/>
        </w:numPr>
      </w:pPr>
      <w:r>
        <w:rPr>
          <w:b/>
          <w:bCs/>
        </w:rPr>
        <w:t xml:space="preserve">Database backups</w:t>
      </w:r>
      <w:r>
        <w:t xml:space="preserve"> </w:t>
      </w:r>
      <w:r>
        <w:t xml:space="preserve">shall be encrypted using AES-256 before writing to storage.</w:t>
      </w:r>
    </w:p>
    <w:bookmarkEnd w:id="67"/>
    <w:bookmarkStart w:id="68" w:name="X1151bf6ce627d36d3701b79ed3909371a29dfda"/>
    <w:p>
      <w:pPr>
        <w:pStyle w:val="Heading2"/>
      </w:pPr>
      <w:r>
        <w:t xml:space="preserve">6.8 OWASP Top 10 Compliance Requirements</w:t>
      </w:r>
    </w:p>
    <w:p>
      <w:pPr>
        <w:pStyle w:val="FirstParagraph"/>
      </w:pPr>
      <w:r>
        <w:t xml:space="preserve">The following requirements are derived from NFR-SEC-001 through NFR-SEC-003 and the OWASP Top 10 (2021) standard: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OWASP Risk</w:t>
            </w:r>
          </w:p>
        </w:tc>
        <w:tc>
          <w:tcPr/>
          <w:p>
            <w:pPr>
              <w:pStyle w:val="Compact"/>
            </w:pPr>
            <w:r>
              <w:t xml:space="preserve">Mitigation</w:t>
            </w:r>
          </w:p>
        </w:tc>
      </w:tr>
      <w:tr>
        <w:tc>
          <w:tcPr/>
          <w:p>
            <w:pPr>
              <w:pStyle w:val="Compact"/>
            </w:pPr>
            <w:r>
              <w:t xml:space="preserve">A01 — Broken Access Control</w:t>
            </w:r>
          </w:p>
        </w:tc>
        <w:tc>
          <w:tcPr/>
          <w:p>
            <w:pPr>
              <w:pStyle w:val="Compact"/>
            </w:pPr>
            <w:r>
              <w:t xml:space="preserve">Middleware pipeline enforces</w:t>
            </w:r>
            <w:r>
              <w:t xml:space="preserve"> </w:t>
            </w:r>
            <w:r>
              <w:rPr>
                <w:rStyle w:val="VerbatimChar"/>
              </w:rPr>
              <w:t xml:space="preserve">RequirePermission</w:t>
            </w:r>
            <w:r>
              <w:t xml:space="preserve"> </w:t>
            </w:r>
            <w:r>
              <w:t xml:space="preserve">on every request;</w:t>
            </w:r>
            <w:r>
              <w:t xml:space="preserve"> </w:t>
            </w:r>
            <w:r>
              <w:rPr>
                <w:rStyle w:val="VerbatimChar"/>
              </w:rPr>
              <w:t xml:space="preserve">tenant_id</w:t>
            </w:r>
            <w:r>
              <w:t xml:space="preserve"> </w:t>
            </w:r>
            <w:r>
              <w:t xml:space="preserve">from session only; cross-tenant returns 404.</w:t>
            </w:r>
          </w:p>
        </w:tc>
      </w:tr>
      <w:tr>
        <w:tc>
          <w:tcPr/>
          <w:p>
            <w:pPr>
              <w:pStyle w:val="Compact"/>
            </w:pPr>
            <w:r>
              <w:t xml:space="preserve">A02 — Cryptographic Failures</w:t>
            </w:r>
          </w:p>
        </w:tc>
        <w:tc>
          <w:tcPr/>
          <w:p>
            <w:pPr>
              <w:pStyle w:val="Compact"/>
            </w:pPr>
            <w:r>
              <w:t xml:space="preserve">TLS 1.3 in transit; AES-256 at rest; bcrypt (cost ≥ 12) for passwords; no MD5 or SHA-1.</w:t>
            </w:r>
          </w:p>
        </w:tc>
      </w:tr>
      <w:tr>
        <w:tc>
          <w:tcPr/>
          <w:p>
            <w:pPr>
              <w:pStyle w:val="Compact"/>
            </w:pPr>
            <w:r>
              <w:t xml:space="preserve">A03 — Injection</w:t>
            </w:r>
          </w:p>
        </w:tc>
        <w:tc>
          <w:tcPr/>
          <w:p>
            <w:pPr>
              <w:pStyle w:val="Compact"/>
            </w:pPr>
            <w:r>
              <w:t xml:space="preserve">PDO prepared statements only; no raw SQL concatenation; output HTML-escaped via</w:t>
            </w:r>
            <w:r>
              <w:t xml:space="preserve"> </w:t>
            </w:r>
            <w:r>
              <w:rPr>
                <w:rStyle w:val="VerbatimChar"/>
              </w:rPr>
              <w:t xml:space="preserve">htmlspecialchars()</w:t>
            </w:r>
            <w:r>
              <w:t xml:space="preserve">.</w:t>
            </w:r>
          </w:p>
        </w:tc>
      </w:tr>
      <w:tr>
        <w:tc>
          <w:tcPr/>
          <w:p>
            <w:pPr>
              <w:pStyle w:val="Compact"/>
            </w:pPr>
            <w:r>
              <w:t xml:space="preserve">A04 — Insecure Design</w:t>
            </w:r>
          </w:p>
        </w:tc>
        <w:tc>
          <w:tcPr/>
          <w:p>
            <w:pPr>
              <w:pStyle w:val="Compact"/>
            </w:pPr>
            <w:r>
              <w:t xml:space="preserve">Service layer enforces business rule validation via</w:t>
            </w:r>
            <w:r>
              <w:t xml:space="preserve"> </w:t>
            </w:r>
            <w:r>
              <w:rPr>
                <w:rStyle w:val="VerbatimChar"/>
              </w:rPr>
              <w:t xml:space="preserve">respect/validation</w:t>
            </w:r>
            <w:r>
              <w:t xml:space="preserve"> </w:t>
            </w:r>
            <w:r>
              <w:t xml:space="preserve">2.3; no trust of client-supplied data.</w:t>
            </w:r>
          </w:p>
        </w:tc>
      </w:tr>
      <w:tr>
        <w:tc>
          <w:tcPr/>
          <w:p>
            <w:pPr>
              <w:pStyle w:val="Compact"/>
            </w:pPr>
            <w:r>
              <w:t xml:space="preserve">A05 — Security Misconfiguration</w:t>
            </w:r>
          </w:p>
        </w:tc>
        <w:tc>
          <w:tcPr/>
          <w:p>
            <w:pPr>
              <w:pStyle w:val="Compact"/>
            </w:pPr>
            <w:r>
              <w:rPr>
                <w:rStyle w:val="VerbatimChar"/>
              </w:rPr>
              <w:t xml:space="preserve">.env</w:t>
            </w:r>
            <w:r>
              <w:t xml:space="preserve"> </w:t>
            </w:r>
            <w:r>
              <w:t xml:space="preserve">via</w:t>
            </w:r>
            <w:r>
              <w:t xml:space="preserve"> </w:t>
            </w:r>
            <w:r>
              <w:rPr>
                <w:rStyle w:val="VerbatimChar"/>
              </w:rPr>
              <w:t xml:space="preserve">vlucas/phpdotenv</w:t>
            </w:r>
            <w:r>
              <w:t xml:space="preserve"> </w:t>
            </w:r>
            <w:r>
              <w:t xml:space="preserve">5.6; no credentials in source code; error details suppressed in production.</w:t>
            </w:r>
          </w:p>
        </w:tc>
      </w:tr>
      <w:tr>
        <w:tc>
          <w:tcPr/>
          <w:p>
            <w:pPr>
              <w:pStyle w:val="Compact"/>
            </w:pPr>
            <w:r>
              <w:t xml:space="preserve">A06 — Vulnerable Components</w:t>
            </w:r>
          </w:p>
        </w:tc>
        <w:tc>
          <w:tcPr/>
          <w:p>
            <w:pPr>
              <w:pStyle w:val="Compact"/>
            </w:pPr>
            <w:r>
              <w:t xml:space="preserve">Composer dependency audit in CI pipeline; PHPStan 1.11 static analysis enforced.</w:t>
            </w:r>
          </w:p>
        </w:tc>
      </w:tr>
      <w:tr>
        <w:tc>
          <w:tcPr/>
          <w:p>
            <w:pPr>
              <w:pStyle w:val="Compact"/>
            </w:pPr>
            <w:r>
              <w:t xml:space="preserve">A07 — Authentication Failures</w:t>
            </w:r>
          </w:p>
        </w:tc>
        <w:tc>
          <w:tcPr/>
          <w:p>
            <w:pPr>
              <w:pStyle w:val="Compact"/>
            </w:pPr>
            <w:r>
              <w:t xml:space="preserve">NIST SP 800-63B AAL2 for admin roles; 2FA support; session invalidation within 5 seconds of account disable (NFR-SEC-003).</w:t>
            </w:r>
          </w:p>
        </w:tc>
      </w:tr>
      <w:tr>
        <w:tc>
          <w:tcPr/>
          <w:p>
            <w:pPr>
              <w:pStyle w:val="Compact"/>
            </w:pPr>
            <w:r>
              <w:t xml:space="preserve">A08 — Software Integrity Failures</w:t>
            </w:r>
          </w:p>
        </w:tc>
        <w:tc>
          <w:tcPr/>
          <w:p>
            <w:pPr>
              <w:pStyle w:val="Compact"/>
            </w:pPr>
            <w:r>
              <w:t xml:space="preserve">Composer lock file committed; no</w:t>
            </w:r>
            <w:r>
              <w:t xml:space="preserve"> </w:t>
            </w:r>
            <w:r>
              <w:rPr>
                <w:rStyle w:val="VerbatimChar"/>
              </w:rPr>
              <w:t xml:space="preserve">--no-verify</w:t>
            </w:r>
            <w:r>
              <w:t xml:space="preserve"> </w:t>
            </w:r>
            <w:r>
              <w:t xml:space="preserve">bypasses in deployment scripts.</w:t>
            </w:r>
          </w:p>
        </w:tc>
      </w:tr>
      <w:tr>
        <w:tc>
          <w:tcPr/>
          <w:p>
            <w:pPr>
              <w:pStyle w:val="Compact"/>
            </w:pPr>
            <w:r>
              <w:t xml:space="preserve">A09 — Logging Failures</w:t>
            </w:r>
          </w:p>
        </w:tc>
        <w:tc>
          <w:tcPr/>
          <w:p>
            <w:pPr>
              <w:pStyle w:val="Compact"/>
            </w:pPr>
            <w:r>
              <w:t xml:space="preserve">Immutable INSERT-only audit log; all CRUD and approval events logged (NFR-SEC-002).</w:t>
            </w:r>
          </w:p>
        </w:tc>
      </w:tr>
      <w:tr>
        <w:tc>
          <w:tcPr/>
          <w:p>
            <w:pPr>
              <w:pStyle w:val="Compact"/>
            </w:pPr>
            <w:r>
              <w:t xml:space="preserve">A10 — SSRF</w:t>
            </w:r>
          </w:p>
        </w:tc>
        <w:tc>
          <w:tcPr/>
          <w:p>
            <w:pPr>
              <w:pStyle w:val="Compact"/>
            </w:pPr>
            <w:r>
              <w:t xml:space="preserve">Outbound HTTP calls (integrations) use an allowlist of permitted external domains.</w:t>
            </w:r>
          </w:p>
        </w:tc>
      </w:tr>
    </w:tbl>
    <w:bookmarkEnd w:id="68"/>
    <w:bookmarkEnd w:id="69"/>
    <w:bookmarkStart w:id="79" w:name="module-system"/>
    <w:p>
      <w:pPr>
        <w:pStyle w:val="Heading1"/>
      </w:pPr>
      <w:r>
        <w:t xml:space="preserve">Module System</w:t>
      </w:r>
    </w:p>
    <w:bookmarkStart w:id="72" w:name="X2a47caec73e11f80420771298155dd0765aa930"/>
    <w:p>
      <w:pPr>
        <w:pStyle w:val="Heading2"/>
      </w:pPr>
      <w:r>
        <w:t xml:space="preserve">7.1 Module Registry</w:t>
      </w:r>
    </w:p>
    <w:p>
      <w:pPr>
        <w:pStyle w:val="FirstParagraph"/>
      </w:pPr>
      <w:r>
        <w:t xml:space="preserve">The module system uses two database tables to manage the global module catalogue and per-tenant activation:</w:t>
      </w:r>
    </w:p>
    <w:bookmarkStart w:id="70" w:name="module_registry-table"/>
    <w:p>
      <w:pPr>
        <w:pStyle w:val="Heading3"/>
      </w:pPr>
      <w:r>
        <w:rPr>
          <w:rStyle w:val="VerbatimChar"/>
        </w:rPr>
        <w:t xml:space="preserve">module_registry</w:t>
      </w:r>
      <w:r>
        <w:t xml:space="preserve"> </w:t>
      </w:r>
      <w:r>
        <w:t xml:space="preserve">Table</w:t>
      </w:r>
    </w:p>
    <w:p>
      <w:pPr>
        <w:pStyle w:val="FirstParagraph"/>
      </w:pPr>
      <w:r>
        <w:t xml:space="preserve">The</w:t>
      </w:r>
      <w:r>
        <w:t xml:space="preserve"> </w:t>
      </w:r>
      <w:r>
        <w:rPr>
          <w:rStyle w:val="VerbatimChar"/>
        </w:rPr>
        <w:t xml:space="preserve">module_registry</w:t>
      </w:r>
      <w:r>
        <w:t xml:space="preserve"> </w:t>
      </w:r>
      <w:r>
        <w:t xml:space="preserve">table is the global catalogue of all modules available on the platform. It is seeded at deployment time and updated by Chwezi operators when new modules are released. Tenants cannot modify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code</w:t>
            </w:r>
          </w:p>
        </w:tc>
        <w:tc>
          <w:tcPr/>
          <w:p>
            <w:pPr>
              <w:pStyle w:val="Compact"/>
            </w:pPr>
            <w:r>
              <w:rPr>
                <w:rStyle w:val="VerbatimChar"/>
              </w:rPr>
              <w:t xml:space="preserve">VARCHAR(50) PK</w:t>
            </w:r>
          </w:p>
        </w:tc>
        <w:tc>
          <w:tcPr/>
          <w:p>
            <w:pPr>
              <w:pStyle w:val="Compact"/>
            </w:pPr>
            <w:r>
              <w:t xml:space="preserve">Unique module identifier (e.g.,</w:t>
            </w:r>
            <w:r>
              <w:t xml:space="preserve"> </w:t>
            </w:r>
            <w:r>
              <w:rPr>
                <w:rStyle w:val="VerbatimChar"/>
              </w:rPr>
              <w:t xml:space="preserve">HR_PAYROLL</w:t>
            </w:r>
            <w:r>
              <w:t xml:space="preserve">).</w:t>
            </w:r>
          </w:p>
        </w:tc>
      </w:tr>
      <w:tr>
        <w:tc>
          <w:tcPr/>
          <w:p>
            <w:pPr>
              <w:pStyle w:val="Compact"/>
            </w:pPr>
            <w:r>
              <w:rPr>
                <w:rStyle w:val="VerbatimChar"/>
              </w:rPr>
              <w:t xml:space="preserve">name</w:t>
            </w:r>
          </w:p>
        </w:tc>
        <w:tc>
          <w:tcPr/>
          <w:p>
            <w:pPr>
              <w:pStyle w:val="Compact"/>
            </w:pPr>
            <w:r>
              <w:rPr>
                <w:rStyle w:val="VerbatimChar"/>
              </w:rPr>
              <w:t xml:space="preserve">VARCHAR(100)</w:t>
            </w:r>
          </w:p>
        </w:tc>
        <w:tc>
          <w:tcPr/>
          <w:p>
            <w:pPr>
              <w:pStyle w:val="Compact"/>
            </w:pPr>
            <w:r>
              <w:t xml:space="preserve">Human-readable module name.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Brief capability summary.</w:t>
            </w:r>
          </w:p>
        </w:tc>
      </w:tr>
      <w:tr>
        <w:tc>
          <w:tcPr/>
          <w:p>
            <w:pPr>
              <w:pStyle w:val="Compact"/>
            </w:pPr>
            <w:r>
              <w:rPr>
                <w:rStyle w:val="VerbatimChar"/>
              </w:rPr>
              <w:t xml:space="preserve">is_core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the module is always active;</w:t>
            </w:r>
            <w:r>
              <w:t xml:space="preserve"> </w:t>
            </w:r>
            <w:r>
              <w:rPr>
                <w:rStyle w:val="VerbatimChar"/>
              </w:rPr>
              <w:t xml:space="preserve">0</w:t>
            </w:r>
            <w:r>
              <w:t xml:space="preserve"> </w:t>
            </w:r>
            <w:r>
              <w:t xml:space="preserve">if it is an add-on.</w:t>
            </w:r>
          </w:p>
        </w:tc>
      </w:tr>
      <w:tr>
        <w:tc>
          <w:tcPr/>
          <w:p>
            <w:pPr>
              <w:pStyle w:val="Compact"/>
            </w:pPr>
            <w:r>
              <w:rPr>
                <w:rStyle w:val="VerbatimChar"/>
              </w:rPr>
              <w:t xml:space="preserve">dependencies</w:t>
            </w:r>
          </w:p>
        </w:tc>
        <w:tc>
          <w:tcPr/>
          <w:p>
            <w:pPr>
              <w:pStyle w:val="Compact"/>
            </w:pPr>
            <w:r>
              <w:rPr>
                <w:rStyle w:val="VerbatimChar"/>
              </w:rPr>
              <w:t xml:space="preserve">JSON</w:t>
            </w:r>
          </w:p>
        </w:tc>
        <w:tc>
          <w:tcPr/>
          <w:p>
            <w:pPr>
              <w:pStyle w:val="Compact"/>
            </w:pPr>
            <w:r>
              <w:t xml:space="preserve">Array of module codes that must be active before this module can be activated.</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the module is available for activation on the platform.</w:t>
            </w:r>
          </w:p>
        </w:tc>
      </w:tr>
    </w:tbl>
    <w:bookmarkEnd w:id="70"/>
    <w:bookmarkStart w:id="71" w:name="tenant_modules-table"/>
    <w:p>
      <w:pPr>
        <w:pStyle w:val="Heading3"/>
      </w:pPr>
      <w:r>
        <w:rPr>
          <w:rStyle w:val="VerbatimChar"/>
        </w:rPr>
        <w:t xml:space="preserve">tenant_modules</w:t>
      </w:r>
      <w:r>
        <w:t xml:space="preserve"> </w:t>
      </w:r>
      <w:r>
        <w:t xml:space="preserve">Table</w:t>
      </w:r>
    </w:p>
    <w:p>
      <w:pPr>
        <w:pStyle w:val="FirstParagraph"/>
      </w:pPr>
      <w:r>
        <w:t xml:space="preserve">The</w:t>
      </w:r>
      <w:r>
        <w:t xml:space="preserve"> </w:t>
      </w:r>
      <w:r>
        <w:rPr>
          <w:rStyle w:val="VerbatimChar"/>
        </w:rPr>
        <w:t xml:space="preserve">tenant_modules</w:t>
      </w:r>
      <w:r>
        <w:t xml:space="preserve"> </w:t>
      </w:r>
      <w:r>
        <w:t xml:space="preserve">table records which modules are active for each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BIGINT UNSIGNED PK</w:t>
            </w:r>
          </w:p>
        </w:tc>
        <w:tc>
          <w:tcPr/>
          <w:p>
            <w:pPr>
              <w:pStyle w:val="Compact"/>
            </w:pPr>
            <w:r>
              <w:t xml:space="preserve">Auto-increment identifier.</w:t>
            </w:r>
          </w:p>
        </w:tc>
      </w:tr>
      <w:tr>
        <w:tc>
          <w:tcPr/>
          <w:p>
            <w:pPr>
              <w:pStyle w:val="Compact"/>
            </w:pPr>
            <w:r>
              <w:rPr>
                <w:rStyle w:val="VerbatimChar"/>
              </w:rPr>
              <w:t xml:space="preserve">tenant_id</w:t>
            </w:r>
          </w:p>
        </w:tc>
        <w:tc>
          <w:tcPr/>
          <w:p>
            <w:pPr>
              <w:pStyle w:val="Compact"/>
            </w:pPr>
            <w:r>
              <w:rPr>
                <w:rStyle w:val="VerbatimChar"/>
              </w:rPr>
              <w:t xml:space="preserve">INT UNSIGNED FK</w:t>
            </w:r>
          </w:p>
        </w:tc>
        <w:tc>
          <w:tcPr/>
          <w:p>
            <w:pPr>
              <w:pStyle w:val="Compact"/>
            </w:pPr>
            <w:r>
              <w:t xml:space="preserve">References</w:t>
            </w:r>
            <w:r>
              <w:t xml:space="preserve"> </w:t>
            </w:r>
            <w:r>
              <w:rPr>
                <w:rStyle w:val="VerbatimChar"/>
              </w:rPr>
              <w:t xml:space="preserve">tenants(id)</w:t>
            </w:r>
            <w:r>
              <w:t xml:space="preserve">.</w:t>
            </w:r>
          </w:p>
        </w:tc>
      </w:tr>
      <w:tr>
        <w:tc>
          <w:tcPr/>
          <w:p>
            <w:pPr>
              <w:pStyle w:val="Compact"/>
            </w:pPr>
            <w:r>
              <w:rPr>
                <w:rStyle w:val="VerbatimChar"/>
              </w:rPr>
              <w:t xml:space="preserve">module_code</w:t>
            </w:r>
          </w:p>
        </w:tc>
        <w:tc>
          <w:tcPr/>
          <w:p>
            <w:pPr>
              <w:pStyle w:val="Compact"/>
            </w:pPr>
            <w:r>
              <w:rPr>
                <w:rStyle w:val="VerbatimChar"/>
              </w:rPr>
              <w:t xml:space="preserve">VARCHAR(50) FK</w:t>
            </w:r>
          </w:p>
        </w:tc>
        <w:tc>
          <w:tcPr/>
          <w:p>
            <w:pPr>
              <w:pStyle w:val="Compact"/>
            </w:pPr>
            <w:r>
              <w:t xml:space="preserve">References</w:t>
            </w:r>
            <w:r>
              <w:t xml:space="preserve"> </w:t>
            </w:r>
            <w:r>
              <w:rPr>
                <w:rStyle w:val="VerbatimChar"/>
              </w:rPr>
              <w:t xml:space="preserve">module_registry(code)</w:t>
            </w:r>
            <w:r>
              <w:t xml:space="preserve">.</w:t>
            </w:r>
          </w:p>
        </w:tc>
      </w:tr>
      <w:tr>
        <w:tc>
          <w:tcPr/>
          <w:p>
            <w:pPr>
              <w:pStyle w:val="Compact"/>
            </w:pPr>
            <w:r>
              <w:rPr>
                <w:rStyle w:val="VerbatimChar"/>
              </w:rPr>
              <w:t xml:space="preserve">activated_at</w:t>
            </w:r>
          </w:p>
        </w:tc>
        <w:tc>
          <w:tcPr/>
          <w:p>
            <w:pPr>
              <w:pStyle w:val="Compact"/>
            </w:pPr>
            <w:r>
              <w:rPr>
                <w:rStyle w:val="VerbatimChar"/>
              </w:rPr>
              <w:t xml:space="preserve">DATETIME</w:t>
            </w:r>
          </w:p>
        </w:tc>
        <w:tc>
          <w:tcPr/>
          <w:p>
            <w:pPr>
              <w:pStyle w:val="Compact"/>
            </w:pPr>
            <w:r>
              <w:t xml:space="preserve">Timestamp of activation.</w:t>
            </w:r>
          </w:p>
        </w:tc>
      </w:tr>
      <w:tr>
        <w:tc>
          <w:tcPr/>
          <w:p>
            <w:pPr>
              <w:pStyle w:val="Compact"/>
            </w:pPr>
            <w:r>
              <w:rPr>
                <w:rStyle w:val="VerbatimChar"/>
              </w:rPr>
              <w:t xml:space="preserve">activated_by</w:t>
            </w:r>
          </w:p>
        </w:tc>
        <w:tc>
          <w:tcPr/>
          <w:p>
            <w:pPr>
              <w:pStyle w:val="Compact"/>
            </w:pPr>
            <w:r>
              <w:rPr>
                <w:rStyle w:val="VerbatimChar"/>
              </w:rPr>
              <w:t xml:space="preserve">INT UNSIGNED</w:t>
            </w:r>
          </w:p>
        </w:tc>
        <w:tc>
          <w:tcPr/>
          <w:p>
            <w:pPr>
              <w:pStyle w:val="Compact"/>
            </w:pPr>
            <w:r>
              <w:t xml:space="preserve">Super admin user who activated the module.</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currently active;</w:t>
            </w:r>
            <w:r>
              <w:t xml:space="preserve"> </w:t>
            </w:r>
            <w:r>
              <w:rPr>
                <w:rStyle w:val="VerbatimChar"/>
              </w:rPr>
              <w:t xml:space="preserve">0</w:t>
            </w:r>
            <w:r>
              <w:t xml:space="preserve"> </w:t>
            </w:r>
            <w:r>
              <w:t xml:space="preserve">if deactivated.</w:t>
            </w:r>
          </w:p>
        </w:tc>
      </w:tr>
    </w:tbl>
    <w:bookmarkEnd w:id="71"/>
    <w:bookmarkEnd w:id="72"/>
    <w:bookmarkStart w:id="73" w:name="X9223b8532058efee45eb4afa608e52857c7c6c5"/>
    <w:p>
      <w:pPr>
        <w:pStyle w:val="Heading2"/>
      </w:pPr>
      <w:r>
        <w:t xml:space="preserve">7.2 Core Modules</w:t>
      </w:r>
    </w:p>
    <w:p>
      <w:pPr>
        <w:pStyle w:val="FirstParagraph"/>
      </w:pPr>
      <w:r>
        <w:t xml:space="preserve">The following 6 modules are always active for every tenant and cannot be disabled: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Name</w:t>
            </w:r>
          </w:p>
        </w:tc>
        <w:tc>
          <w:tcPr/>
          <w:p>
            <w:pPr>
              <w:pStyle w:val="Compact"/>
            </w:pPr>
            <w:r>
              <w:t xml:space="preserve">Code</w:t>
            </w:r>
          </w:p>
        </w:tc>
      </w:tr>
      <w:tr>
        <w:tc>
          <w:tcPr/>
          <w:p>
            <w:pPr>
              <w:pStyle w:val="Compact"/>
            </w:pPr>
            <w:r>
              <w:t xml:space="preserve">Accounting &amp; General Ledger</w:t>
            </w:r>
          </w:p>
        </w:tc>
        <w:tc>
          <w:tcPr/>
          <w:p>
            <w:pPr>
              <w:pStyle w:val="Compact"/>
            </w:pPr>
            <w:r>
              <w:rPr>
                <w:rStyle w:val="VerbatimChar"/>
              </w:rPr>
              <w:t xml:space="preserve">ACCOUNTING</w:t>
            </w:r>
          </w:p>
        </w:tc>
      </w:tr>
      <w:tr>
        <w:tc>
          <w:tcPr/>
          <w:p>
            <w:pPr>
              <w:pStyle w:val="Compact"/>
            </w:pPr>
            <w:r>
              <w:t xml:space="preserve">Inventory Management</w:t>
            </w:r>
          </w:p>
        </w:tc>
        <w:tc>
          <w:tcPr/>
          <w:p>
            <w:pPr>
              <w:pStyle w:val="Compact"/>
            </w:pPr>
            <w:r>
              <w:rPr>
                <w:rStyle w:val="VerbatimChar"/>
              </w:rPr>
              <w:t xml:space="preserve">INVENTORY</w:t>
            </w:r>
          </w:p>
        </w:tc>
      </w:tr>
      <w:tr>
        <w:tc>
          <w:tcPr/>
          <w:p>
            <w:pPr>
              <w:pStyle w:val="Compact"/>
            </w:pPr>
            <w:r>
              <w:t xml:space="preserve">Sales</w:t>
            </w:r>
          </w:p>
        </w:tc>
        <w:tc>
          <w:tcPr/>
          <w:p>
            <w:pPr>
              <w:pStyle w:val="Compact"/>
            </w:pPr>
            <w:r>
              <w:rPr>
                <w:rStyle w:val="VerbatimChar"/>
              </w:rPr>
              <w:t xml:space="preserve">SALES</w:t>
            </w:r>
          </w:p>
        </w:tc>
      </w:tr>
      <w:tr>
        <w:tc>
          <w:tcPr/>
          <w:p>
            <w:pPr>
              <w:pStyle w:val="Compact"/>
            </w:pPr>
            <w:r>
              <w:t xml:space="preserve">Procurement</w:t>
            </w:r>
          </w:p>
        </w:tc>
        <w:tc>
          <w:tcPr/>
          <w:p>
            <w:pPr>
              <w:pStyle w:val="Compact"/>
            </w:pPr>
            <w:r>
              <w:rPr>
                <w:rStyle w:val="VerbatimChar"/>
              </w:rPr>
              <w:t xml:space="preserve">PROCUREMENT</w:t>
            </w:r>
          </w:p>
        </w:tc>
      </w:tr>
      <w:tr>
        <w:tc>
          <w:tcPr/>
          <w:p>
            <w:pPr>
              <w:pStyle w:val="Compact"/>
            </w:pPr>
            <w:r>
              <w:t xml:space="preserve">User Management &amp; RBAC</w:t>
            </w:r>
          </w:p>
        </w:tc>
        <w:tc>
          <w:tcPr/>
          <w:p>
            <w:pPr>
              <w:pStyle w:val="Compact"/>
            </w:pPr>
            <w:r>
              <w:rPr>
                <w:rStyle w:val="VerbatimChar"/>
              </w:rPr>
              <w:t xml:space="preserve">USER_MGMT</w:t>
            </w:r>
          </w:p>
        </w:tc>
      </w:tr>
      <w:tr>
        <w:tc>
          <w:tcPr/>
          <w:p>
            <w:pPr>
              <w:pStyle w:val="Compact"/>
            </w:pPr>
            <w:r>
              <w:t xml:space="preserve">Audit Log</w:t>
            </w:r>
          </w:p>
        </w:tc>
        <w:tc>
          <w:tcPr/>
          <w:p>
            <w:pPr>
              <w:pStyle w:val="Compact"/>
            </w:pPr>
            <w:r>
              <w:rPr>
                <w:rStyle w:val="VerbatimChar"/>
              </w:rPr>
              <w:t xml:space="preserve">AUDIT</w:t>
            </w:r>
          </w:p>
        </w:tc>
      </w:tr>
    </w:tbl>
    <w:p>
      <w:pPr>
        <w:pStyle w:val="BodyText"/>
      </w:pPr>
      <w:r>
        <w:t xml:space="preserve">Core module status (</w:t>
      </w:r>
      <w:r>
        <w:rPr>
          <w:rStyle w:val="VerbatimChar"/>
        </w:rPr>
        <w:t xml:space="preserve">is_core = 1</w:t>
      </w:r>
      <w:r>
        <w:t xml:space="preserve">) is enforced by the</w:t>
      </w:r>
      <w:r>
        <w:t xml:space="preserve"> </w:t>
      </w:r>
      <w:r>
        <w:rPr>
          <w:rStyle w:val="VerbatimChar"/>
        </w:rPr>
        <w:t xml:space="preserve">requireModuleAccess()</w:t>
      </w:r>
      <w:r>
        <w:t xml:space="preserve"> </w:t>
      </w:r>
      <w:r>
        <w:t xml:space="preserve">function: if called for a core module code, the function always returns without redirecting, regardless of the</w:t>
      </w:r>
      <w:r>
        <w:t xml:space="preserve"> </w:t>
      </w:r>
      <w:r>
        <w:rPr>
          <w:rStyle w:val="VerbatimChar"/>
        </w:rPr>
        <w:t xml:space="preserve">tenant_modules</w:t>
      </w:r>
      <w:r>
        <w:t xml:space="preserve"> </w:t>
      </w:r>
      <w:r>
        <w:t xml:space="preserve">table.</w:t>
      </w:r>
    </w:p>
    <w:bookmarkEnd w:id="73"/>
    <w:bookmarkStart w:id="74" w:name="X3e3c72162d4e14d3351141332046a2cf7b72177"/>
    <w:p>
      <w:pPr>
        <w:pStyle w:val="Heading2"/>
      </w:pPr>
      <w:r>
        <w:t xml:space="preserve">7.3 Add-On Modules</w:t>
      </w:r>
    </w:p>
    <w:p>
      <w:pPr>
        <w:pStyle w:val="FirstParagraph"/>
      </w:pPr>
      <w:r>
        <w:t xml:space="preserve">The following 14 add-on modules are available for per-tenant activation based on the tenant's subscription plan. Add-ons must remain commercially and operationally meaningful; do not expose a module as a separate user-facing product if it is only a report, setting, or small workflow inside an existing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Name</w:t>
            </w:r>
          </w:p>
        </w:tc>
        <w:tc>
          <w:tcPr/>
          <w:p>
            <w:pPr>
              <w:pStyle w:val="Compact"/>
            </w:pPr>
            <w:r>
              <w:t xml:space="preserve">Code</w:t>
            </w:r>
          </w:p>
        </w:tc>
      </w:tr>
      <w:tr>
        <w:tc>
          <w:tcPr/>
          <w:p>
            <w:pPr>
              <w:pStyle w:val="Compact"/>
            </w:pPr>
            <w:r>
              <w:t xml:space="preserve">Advanced Inventory</w:t>
            </w:r>
          </w:p>
        </w:tc>
        <w:tc>
          <w:tcPr/>
          <w:p>
            <w:pPr>
              <w:pStyle w:val="Compact"/>
            </w:pPr>
            <w:r>
              <w:rPr>
                <w:rStyle w:val="VerbatimChar"/>
              </w:rPr>
              <w:t xml:space="preserve">ADV_INVENTORY</w:t>
            </w:r>
          </w:p>
        </w:tc>
      </w:tr>
      <w:tr>
        <w:tc>
          <w:tcPr/>
          <w:p>
            <w:pPr>
              <w:pStyle w:val="Compact"/>
            </w:pPr>
            <w:r>
              <w:t xml:space="preserve">Manufacturing</w:t>
            </w:r>
          </w:p>
        </w:tc>
        <w:tc>
          <w:tcPr/>
          <w:p>
            <w:pPr>
              <w:pStyle w:val="Compact"/>
            </w:pPr>
            <w:r>
              <w:rPr>
                <w:rStyle w:val="VerbatimChar"/>
              </w:rPr>
              <w:t xml:space="preserve">MANUFACTURING</w:t>
            </w:r>
          </w:p>
        </w:tc>
      </w:tr>
      <w:tr>
        <w:tc>
          <w:tcPr/>
          <w:p>
            <w:pPr>
              <w:pStyle w:val="Compact"/>
            </w:pPr>
            <w:r>
              <w:t xml:space="preserve">HR &amp; Payroll</w:t>
            </w:r>
          </w:p>
        </w:tc>
        <w:tc>
          <w:tcPr/>
          <w:p>
            <w:pPr>
              <w:pStyle w:val="Compact"/>
            </w:pPr>
            <w:r>
              <w:rPr>
                <w:rStyle w:val="VerbatimChar"/>
              </w:rPr>
              <w:t xml:space="preserve">HR_PAYROLL</w:t>
            </w:r>
          </w:p>
        </w:tc>
      </w:tr>
      <w:tr>
        <w:tc>
          <w:tcPr/>
          <w:p>
            <w:pPr>
              <w:pStyle w:val="Compact"/>
            </w:pPr>
            <w:r>
              <w:t xml:space="preserve">Point of Sale</w:t>
            </w:r>
          </w:p>
        </w:tc>
        <w:tc>
          <w:tcPr/>
          <w:p>
            <w:pPr>
              <w:pStyle w:val="Compact"/>
            </w:pPr>
            <w:r>
              <w:rPr>
                <w:rStyle w:val="VerbatimChar"/>
              </w:rPr>
              <w:t xml:space="preserve">POS</w:t>
            </w:r>
          </w:p>
        </w:tc>
      </w:tr>
      <w:tr>
        <w:tc>
          <w:tcPr/>
          <w:p>
            <w:pPr>
              <w:pStyle w:val="Compact"/>
            </w:pPr>
            <w:r>
              <w:t xml:space="preserve">Sales &amp; CRM</w:t>
            </w:r>
          </w:p>
        </w:tc>
        <w:tc>
          <w:tcPr/>
          <w:p>
            <w:pPr>
              <w:pStyle w:val="Compact"/>
            </w:pPr>
            <w:r>
              <w:rPr>
                <w:rStyle w:val="VerbatimChar"/>
              </w:rPr>
              <w:t xml:space="preserve">SALES_CRM</w:t>
            </w:r>
          </w:p>
        </w:tc>
      </w:tr>
      <w:tr>
        <w:tc>
          <w:tcPr/>
          <w:p>
            <w:pPr>
              <w:pStyle w:val="Compact"/>
            </w:pPr>
            <w:r>
              <w:t xml:space="preserve">Sales Agents &amp; Commissions</w:t>
            </w:r>
          </w:p>
        </w:tc>
        <w:tc>
          <w:tcPr/>
          <w:p>
            <w:pPr>
              <w:pStyle w:val="Compact"/>
            </w:pPr>
            <w:r>
              <w:rPr>
                <w:rStyle w:val="VerbatimChar"/>
              </w:rPr>
              <w:t xml:space="preserve">SALES_AGENTS</w:t>
            </w:r>
          </w:p>
        </w:tc>
      </w:tr>
      <w:tr>
        <w:tc>
          <w:tcPr/>
          <w:p>
            <w:pPr>
              <w:pStyle w:val="Compact"/>
            </w:pPr>
            <w:r>
              <w:t xml:space="preserve">Outgrower &amp; Farmer Operations</w:t>
            </w:r>
          </w:p>
        </w:tc>
        <w:tc>
          <w:tcPr/>
          <w:p>
            <w:pPr>
              <w:pStyle w:val="Compact"/>
            </w:pPr>
            <w:r>
              <w:rPr>
                <w:rStyle w:val="VerbatimChar"/>
              </w:rPr>
              <w:t xml:space="preserve">COOP_PROCUREMENT</w:t>
            </w:r>
          </w:p>
        </w:tc>
      </w:tr>
      <w:tr>
        <w:tc>
          <w:tcPr/>
          <w:p>
            <w:pPr>
              <w:pStyle w:val="Compact"/>
            </w:pPr>
            <w:r>
              <w:t xml:space="preserve">Project Management</w:t>
            </w:r>
          </w:p>
        </w:tc>
        <w:tc>
          <w:tcPr/>
          <w:p>
            <w:pPr>
              <w:pStyle w:val="Compact"/>
            </w:pPr>
            <w:r>
              <w:rPr>
                <w:rStyle w:val="VerbatimChar"/>
              </w:rPr>
              <w:t xml:space="preserve">PROJECTS</w:t>
            </w:r>
          </w:p>
        </w:tc>
      </w:tr>
      <w:tr>
        <w:tc>
          <w:tcPr/>
          <w:p>
            <w:pPr>
              <w:pStyle w:val="Compact"/>
            </w:pPr>
            <w:r>
              <w:t xml:space="preserve">Strategy &amp; Balanced Scorecard</w:t>
            </w:r>
          </w:p>
        </w:tc>
        <w:tc>
          <w:tcPr/>
          <w:p>
            <w:pPr>
              <w:pStyle w:val="Compact"/>
            </w:pPr>
            <w:r>
              <w:rPr>
                <w:rStyle w:val="VerbatimChar"/>
              </w:rPr>
              <w:t xml:space="preserve">STRATEGY_BSC</w:t>
            </w:r>
          </w:p>
        </w:tc>
      </w:tr>
      <w:tr>
        <w:tc>
          <w:tcPr/>
          <w:p>
            <w:pPr>
              <w:pStyle w:val="Compact"/>
            </w:pPr>
            <w:r>
              <w:t xml:space="preserve">Asset Management</w:t>
            </w:r>
          </w:p>
        </w:tc>
        <w:tc>
          <w:tcPr/>
          <w:p>
            <w:pPr>
              <w:pStyle w:val="Compact"/>
            </w:pPr>
            <w:r>
              <w:rPr>
                <w:rStyle w:val="VerbatimChar"/>
              </w:rPr>
              <w:t xml:space="preserve">ASSETS</w:t>
            </w:r>
          </w:p>
        </w:tc>
      </w:tr>
      <w:tr>
        <w:tc>
          <w:tcPr/>
          <w:p>
            <w:pPr>
              <w:pStyle w:val="Compact"/>
            </w:pPr>
            <w:r>
              <w:t xml:space="preserve">AI Intelligence</w:t>
            </w:r>
          </w:p>
        </w:tc>
        <w:tc>
          <w:tcPr/>
          <w:p>
            <w:pPr>
              <w:pStyle w:val="Compact"/>
            </w:pPr>
            <w:r>
              <w:rPr>
                <w:rStyle w:val="VerbatimChar"/>
              </w:rPr>
              <w:t xml:space="preserve">AI_INTELLIGENCE</w:t>
            </w:r>
          </w:p>
        </w:tc>
      </w:tr>
      <w:tr>
        <w:tc>
          <w:tcPr/>
          <w:p>
            <w:pPr>
              <w:pStyle w:val="Compact"/>
            </w:pPr>
            <w:r>
              <w:t xml:space="preserve">Product Lifecycle Management</w:t>
            </w:r>
          </w:p>
        </w:tc>
        <w:tc>
          <w:tcPr/>
          <w:p>
            <w:pPr>
              <w:pStyle w:val="Compact"/>
            </w:pPr>
            <w:r>
              <w:rPr>
                <w:rStyle w:val="VerbatimChar"/>
              </w:rPr>
              <w:t xml:space="preserve">PLM</w:t>
            </w:r>
          </w:p>
        </w:tc>
      </w:tr>
      <w:tr>
        <w:tc>
          <w:tcPr/>
          <w:p>
            <w:pPr>
              <w:pStyle w:val="Compact"/>
            </w:pPr>
            <w:r>
              <w:t xml:space="preserve">Transportation &amp; Fleet Operations</w:t>
            </w:r>
          </w:p>
        </w:tc>
        <w:tc>
          <w:tcPr/>
          <w:p>
            <w:pPr>
              <w:pStyle w:val="Compact"/>
            </w:pPr>
            <w:r>
              <w:rPr>
                <w:rStyle w:val="VerbatimChar"/>
              </w:rPr>
              <w:t xml:space="preserve">TRANSPORTATION</w:t>
            </w:r>
          </w:p>
        </w:tc>
      </w:tr>
      <w:tr>
        <w:tc>
          <w:tcPr/>
          <w:p>
            <w:pPr>
              <w:pStyle w:val="Compact"/>
            </w:pPr>
            <w:r>
              <w:t xml:space="preserve">Supply Chain Planning</w:t>
            </w:r>
          </w:p>
        </w:tc>
        <w:tc>
          <w:tcPr/>
          <w:p>
            <w:pPr>
              <w:pStyle w:val="Compact"/>
            </w:pPr>
            <w:r>
              <w:rPr>
                <w:rStyle w:val="VerbatimChar"/>
              </w:rPr>
              <w:t xml:space="preserve">SUPPLY_CHAIN_PLANNING</w:t>
            </w:r>
          </w:p>
        </w:tc>
      </w:tr>
    </w:tbl>
    <w:bookmarkEnd w:id="74"/>
    <w:bookmarkStart w:id="75" w:name="Xbb10c3c742b13dfcd3db94daf952f20de919e34"/>
    <w:p>
      <w:pPr>
        <w:pStyle w:val="Heading2"/>
      </w:pPr>
      <w:r>
        <w:t xml:space="preserve">7.4 Module Activation Gate</w:t>
      </w:r>
    </w:p>
    <w:p>
      <w:pPr>
        <w:pStyle w:val="FirstParagraph"/>
      </w:pPr>
      <w:r>
        <w:t xml:space="preserve">Every page belonging to an add-on module shall include the following call as the first operation after the middleware pipeline:</w:t>
      </w:r>
    </w:p>
    <w:p>
      <w:pPr>
        <w:pStyle w:val="SourceCode"/>
      </w:pPr>
      <w:r>
        <w:rPr>
          <w:rStyle w:val="NormalTok"/>
        </w:rPr>
        <w:t xml:space="preserve">requireModuleAccess(</w:t>
      </w:r>
      <w:r>
        <w:rPr>
          <w:rStyle w:val="StringTok"/>
        </w:rPr>
        <w:t xml:space="preserve">'MODULE_CODE'</w:t>
      </w:r>
      <w:r>
        <w:rPr>
          <w:rStyle w:val="NormalTok"/>
        </w:rPr>
        <w:t xml:space="preserve">)</w:t>
      </w:r>
      <w:r>
        <w:rPr>
          <w:rStyle w:val="OtherTok"/>
        </w:rPr>
        <w:t xml:space="preserve">;</w:t>
      </w:r>
    </w:p>
    <w:p>
      <w:pPr>
        <w:pStyle w:val="FirstParagraph"/>
      </w:pPr>
      <w:r>
        <w:t xml:space="preserve">The</w:t>
      </w:r>
      <w:r>
        <w:t xml:space="preserve"> </w:t>
      </w:r>
      <w:r>
        <w:rPr>
          <w:rStyle w:val="VerbatimChar"/>
        </w:rPr>
        <w:t xml:space="preserve">requireModuleAccess()</w:t>
      </w:r>
      <w:r>
        <w:t xml:space="preserve"> </w:t>
      </w:r>
      <w:r>
        <w:t xml:space="preserve">function performs two checks in sequence:</w:t>
      </w:r>
    </w:p>
    <w:p>
      <w:pPr>
        <w:pStyle w:val="Compact"/>
        <w:numPr>
          <w:ilvl w:val="0"/>
          <w:numId w:val="1016"/>
        </w:numPr>
      </w:pPr>
      <w:r>
        <w:t xml:space="preserve">Calls</w:t>
      </w:r>
      <w:r>
        <w:t xml:space="preserve"> </w:t>
      </w:r>
      <w:r>
        <w:rPr>
          <w:rStyle w:val="VerbatimChar"/>
        </w:rPr>
        <w:t xml:space="preserve">TenantContext::isModuleActive($moduleCode)</w:t>
      </w:r>
      <w:r>
        <w:t xml:space="preserve"> </w:t>
      </w:r>
      <w:r>
        <w:t xml:space="preserve">- checks the</w:t>
      </w:r>
      <w:r>
        <w:t xml:space="preserve"> </w:t>
      </w:r>
      <w:r>
        <w:rPr>
          <w:rStyle w:val="VerbatimChar"/>
        </w:rPr>
        <w:t xml:space="preserve">tenant_modules</w:t>
      </w:r>
      <w:r>
        <w:t xml:space="preserve"> </w:t>
      </w:r>
      <w:r>
        <w:t xml:space="preserve">table for an active record.</w:t>
      </w:r>
    </w:p>
    <w:p>
      <w:pPr>
        <w:pStyle w:val="Compact"/>
        <w:numPr>
          <w:ilvl w:val="0"/>
          <w:numId w:val="1016"/>
        </w:numPr>
      </w:pPr>
      <w:r>
        <w:t xml:space="preserve">If no active record exists, redirects the user to the module upgrade page (</w:t>
      </w:r>
      <w:r>
        <w:rPr>
          <w:rStyle w:val="VerbatimChar"/>
        </w:rPr>
        <w:t xml:space="preserve">/public/billing/upgrade.php?module=MODULE_CODE</w:t>
      </w:r>
      <w:r>
        <w:t xml:space="preserve">) and terminates execution.</w:t>
      </w:r>
    </w:p>
    <w:p>
      <w:pPr>
        <w:pStyle w:val="FirstParagraph"/>
      </w:pPr>
      <w:r>
        <w:t xml:space="preserve">The function shall be implemented as a standalone helper in</w:t>
      </w:r>
      <w:r>
        <w:t xml:space="preserve"> </w:t>
      </w:r>
      <w:r>
        <w:rPr>
          <w:rStyle w:val="VerbatimChar"/>
        </w:rPr>
        <w:t xml:space="preserve">src/Platform/ModuleGate.php</w:t>
      </w:r>
      <w:r>
        <w:t xml:space="preserve"> </w:t>
      </w:r>
      <w:r>
        <w:t xml:space="preserve">and shall be available throughout the tenant workspace without additional imports.</w:t>
      </w:r>
    </w:p>
    <w:bookmarkEnd w:id="75"/>
    <w:bookmarkStart w:id="76" w:name="X37a6120fccaee6ddac36cd68d3c797b0be8811b"/>
    <w:p>
      <w:pPr>
        <w:pStyle w:val="Heading2"/>
      </w:pPr>
      <w:r>
        <w:t xml:space="preserve">7.5 Module Dependency Rules</w:t>
      </w:r>
    </w:p>
    <w:p>
      <w:pPr>
        <w:pStyle w:val="FirstParagraph"/>
      </w:pPr>
      <w:r>
        <w:t xml:space="preserve">Certain add-on modules depend on other modules being active before they can be activated. The dependency rules enforced at activation time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Dependency</w:t>
            </w:r>
          </w:p>
        </w:tc>
      </w:tr>
      <w:tr>
        <w:tc>
          <w:tcPr/>
          <w:p>
            <w:pPr>
              <w:pStyle w:val="Compact"/>
            </w:pPr>
            <w:r>
              <w:rPr>
                <w:rStyle w:val="VerbatimChar"/>
              </w:rPr>
              <w:t xml:space="preserve">MANUFACTURING</w:t>
            </w:r>
          </w:p>
        </w:tc>
        <w:tc>
          <w:tcPr/>
          <w:p>
            <w:pPr>
              <w:pStyle w:val="Compact"/>
            </w:pPr>
            <w:r>
              <w:t xml:space="preserve">Requires</w:t>
            </w:r>
            <w:r>
              <w:t xml:space="preserve"> </w:t>
            </w:r>
            <w:r>
              <w:rPr>
                <w:rStyle w:val="VerbatimChar"/>
              </w:rPr>
              <w:t xml:space="preserve">ADV_INVENTORY</w:t>
            </w:r>
            <w:r>
              <w:t xml:space="preserve"> </w:t>
            </w:r>
            <w:r>
              <w:t xml:space="preserve">to be active.</w:t>
            </w:r>
          </w:p>
        </w:tc>
      </w:tr>
      <w:tr>
        <w:tc>
          <w:tcPr/>
          <w:p>
            <w:pPr>
              <w:pStyle w:val="Compact"/>
            </w:pPr>
            <w:r>
              <w:rPr>
                <w:rStyle w:val="VerbatimChar"/>
              </w:rPr>
              <w:t xml:space="preserve">COOP_PROCUREMENT</w:t>
            </w:r>
          </w:p>
        </w:tc>
        <w:tc>
          <w:tcPr/>
          <w:p>
            <w:pPr>
              <w:pStyle w:val="Compact"/>
            </w:pPr>
            <w:r>
              <w:t xml:space="preserve">Requires</w:t>
            </w:r>
            <w:r>
              <w:t xml:space="preserve"> </w:t>
            </w:r>
            <w:r>
              <w:rPr>
                <w:rStyle w:val="VerbatimChar"/>
              </w:rPr>
              <w:t xml:space="preserve">INVENTORY</w:t>
            </w:r>
            <w:r>
              <w:t xml:space="preserve"> </w:t>
            </w:r>
            <w:r>
              <w:t xml:space="preserve">to be active (core - always satisfied).</w:t>
            </w:r>
          </w:p>
        </w:tc>
      </w:tr>
      <w:tr>
        <w:tc>
          <w:tcPr/>
          <w:p>
            <w:pPr>
              <w:pStyle w:val="Compact"/>
            </w:pPr>
            <w:r>
              <w:rPr>
                <w:rStyle w:val="VerbatimChar"/>
              </w:rPr>
              <w:t xml:space="preserve">PLM</w:t>
            </w:r>
          </w:p>
        </w:tc>
        <w:tc>
          <w:tcPr/>
          <w:p>
            <w:pPr>
              <w:pStyle w:val="Compact"/>
            </w:pPr>
            <w:r>
              <w:t xml:space="preserve">No hard activation dependency; downstream publication targets depend on whichever operational modules the tenant has enabled.</w:t>
            </w:r>
          </w:p>
        </w:tc>
      </w:tr>
      <w:tr>
        <w:tc>
          <w:tcPr/>
          <w:p>
            <w:pPr>
              <w:pStyle w:val="Compact"/>
            </w:pPr>
            <w:r>
              <w:rPr>
                <w:rStyle w:val="VerbatimChar"/>
              </w:rPr>
              <w:t xml:space="preserve">TRANSPORTATION</w:t>
            </w:r>
          </w:p>
        </w:tc>
        <w:tc>
          <w:tcPr/>
          <w:p>
            <w:pPr>
              <w:pStyle w:val="Compact"/>
            </w:pPr>
            <w:r>
              <w:t xml:space="preserve">Requires</w:t>
            </w:r>
            <w:r>
              <w:t xml:space="preserve"> </w:t>
            </w:r>
            <w:r>
              <w:rPr>
                <w:rStyle w:val="VerbatimChar"/>
              </w:rPr>
              <w:t xml:space="preserve">SALES</w:t>
            </w:r>
            <w:r>
              <w:t xml:space="preserve"> </w:t>
            </w:r>
            <w:r>
              <w:t xml:space="preserve">and</w:t>
            </w:r>
            <w:r>
              <w:t xml:space="preserve"> </w:t>
            </w:r>
            <w:r>
              <w:rPr>
                <w:rStyle w:val="VerbatimChar"/>
              </w:rPr>
              <w:t xml:space="preserve">INVENTORY</w:t>
            </w:r>
            <w:r>
              <w:t xml:space="preserve"> </w:t>
            </w:r>
            <w:r>
              <w:t xml:space="preserve">to be active (both core - always satisfied). Internal-fleet mode additionally requires</w:t>
            </w:r>
            <w:r>
              <w:t xml:space="preserve"> </w:t>
            </w:r>
            <w:r>
              <w:rPr>
                <w:rStyle w:val="VerbatimChar"/>
              </w:rPr>
              <w:t xml:space="preserve">ASSETS</w:t>
            </w:r>
            <w:r>
              <w:t xml:space="preserve"> </w:t>
            </w:r>
            <w:r>
              <w:t xml:space="preserve">for vehicle reference data.</w:t>
            </w:r>
          </w:p>
        </w:tc>
      </w:tr>
      <w:tr>
        <w:tc>
          <w:tcPr/>
          <w:p>
            <w:pPr>
              <w:pStyle w:val="Compact"/>
            </w:pPr>
            <w:r>
              <w:rPr>
                <w:rStyle w:val="VerbatimChar"/>
              </w:rPr>
              <w:t xml:space="preserve">SUPPLY_CHAIN_PLANNING</w:t>
            </w:r>
          </w:p>
        </w:tc>
        <w:tc>
          <w:tcPr/>
          <w:p>
            <w:pPr>
              <w:pStyle w:val="Compact"/>
            </w:pPr>
            <w:r>
              <w:t xml:space="preserve">Requires</w:t>
            </w:r>
            <w:r>
              <w:t xml:space="preserve"> </w:t>
            </w:r>
            <w:r>
              <w:rPr>
                <w:rStyle w:val="VerbatimChar"/>
              </w:rPr>
              <w:t xml:space="preserve">INVENTORY</w:t>
            </w:r>
            <w:r>
              <w:t xml:space="preserve"> </w:t>
            </w:r>
            <w:r>
              <w:t xml:space="preserve">and</w:t>
            </w:r>
            <w:r>
              <w:t xml:space="preserve"> </w:t>
            </w:r>
            <w:r>
              <w:rPr>
                <w:rStyle w:val="VerbatimChar"/>
              </w:rPr>
              <w:t xml:space="preserve">PROCUREMENT</w:t>
            </w:r>
            <w:r>
              <w:t xml:space="preserve"> </w:t>
            </w:r>
            <w:r>
              <w:t xml:space="preserve">to be active (both core - always satisfied).</w:t>
            </w:r>
            <w:r>
              <w:t xml:space="preserve"> </w:t>
            </w:r>
            <w:r>
              <w:rPr>
                <w:rStyle w:val="VerbatimChar"/>
              </w:rPr>
              <w:t xml:space="preserve">ADV_INVENTORY</w:t>
            </w:r>
            <w:r>
              <w:t xml:space="preserve">,</w:t>
            </w:r>
            <w:r>
              <w:t xml:space="preserve"> </w:t>
            </w:r>
            <w:r>
              <w:rPr>
                <w:rStyle w:val="VerbatimChar"/>
              </w:rPr>
              <w:t xml:space="preserve">MANUFACTURING</w:t>
            </w:r>
            <w:r>
              <w:t xml:space="preserve">, and</w:t>
            </w:r>
            <w:r>
              <w:t xml:space="preserve"> </w:t>
            </w:r>
            <w:r>
              <w:rPr>
                <w:rStyle w:val="VerbatimChar"/>
              </w:rPr>
              <w:t xml:space="preserve">TRANSPORTATION</w:t>
            </w:r>
            <w:r>
              <w:t xml:space="preserve"> </w:t>
            </w:r>
            <w:r>
              <w:t xml:space="preserve">enrich planning fidelity where enabled but are not hard activation prerequisites.</w:t>
            </w:r>
          </w:p>
        </w:tc>
      </w:tr>
    </w:tbl>
    <w:p>
      <w:pPr>
        <w:pStyle w:val="BodyText"/>
      </w:pPr>
      <w:r>
        <w:t xml:space="preserve">The following dependency enrichments apply to planning fidelity: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Enabled Module</w:t>
            </w:r>
          </w:p>
        </w:tc>
        <w:tc>
          <w:tcPr/>
          <w:p>
            <w:pPr>
              <w:pStyle w:val="Compact"/>
            </w:pPr>
            <w:r>
              <w:t xml:space="preserve">Effect on</w:t>
            </w:r>
            <w:r>
              <w:t xml:space="preserve"> </w:t>
            </w:r>
            <w:r>
              <w:rPr>
                <w:rStyle w:val="VerbatimChar"/>
              </w:rPr>
              <w:t xml:space="preserve">SUPPLY_CHAIN_PLANNING</w:t>
            </w:r>
          </w:p>
        </w:tc>
      </w:tr>
      <w:tr>
        <w:tc>
          <w:tcPr/>
          <w:p>
            <w:pPr>
              <w:pStyle w:val="Compact"/>
            </w:pPr>
            <w:r>
              <w:rPr>
                <w:rStyle w:val="VerbatimChar"/>
              </w:rPr>
              <w:t xml:space="preserve">ADV_INVENTORY</w:t>
            </w:r>
          </w:p>
        </w:tc>
        <w:tc>
          <w:tcPr/>
          <w:p>
            <w:pPr>
              <w:pStyle w:val="Compact"/>
            </w:pPr>
            <w:r>
              <w:t xml:space="preserve">Enables batch, expiry, FEFO, multi-location, reservation, and multi-echelon policy signals.</w:t>
            </w:r>
          </w:p>
        </w:tc>
      </w:tr>
      <w:tr>
        <w:tc>
          <w:tcPr/>
          <w:p>
            <w:pPr>
              <w:pStyle w:val="Compact"/>
            </w:pPr>
            <w:r>
              <w:rPr>
                <w:rStyle w:val="VerbatimChar"/>
              </w:rPr>
              <w:t xml:space="preserve">MANUFACTURING</w:t>
            </w:r>
          </w:p>
        </w:tc>
        <w:tc>
          <w:tcPr/>
          <w:p>
            <w:pPr>
              <w:pStyle w:val="Compact"/>
            </w:pPr>
            <w:r>
              <w:t xml:space="preserve">Enables make recommendations, capacity constraints, BOM demand explosion, WIP visibility, and production-plan financial impact.</w:t>
            </w:r>
          </w:p>
        </w:tc>
      </w:tr>
      <w:tr>
        <w:tc>
          <w:tcPr/>
          <w:p>
            <w:pPr>
              <w:pStyle w:val="Compact"/>
            </w:pPr>
            <w:r>
              <w:rPr>
                <w:rStyle w:val="VerbatimChar"/>
              </w:rPr>
              <w:t xml:space="preserve">TRANSPORTATION</w:t>
            </w:r>
          </w:p>
        </w:tc>
        <w:tc>
          <w:tcPr/>
          <w:p>
            <w:pPr>
              <w:pStyle w:val="Compact"/>
            </w:pPr>
            <w:r>
              <w:t xml:space="preserve">Enables transfer lead-time, route capacity, freight cost, ETA, and logistics exception signals.</w:t>
            </w:r>
          </w:p>
        </w:tc>
      </w:tr>
      <w:tr>
        <w:tc>
          <w:tcPr/>
          <w:p>
            <w:pPr>
              <w:pStyle w:val="Compact"/>
            </w:pPr>
            <w:r>
              <w:rPr>
                <w:rStyle w:val="VerbatimChar"/>
              </w:rPr>
              <w:t xml:space="preserve">AI_INTELLIGENCE</w:t>
            </w:r>
          </w:p>
        </w:tc>
        <w:tc>
          <w:tcPr/>
          <w:p>
            <w:pPr>
              <w:pStyle w:val="Compact"/>
            </w:pPr>
            <w:r>
              <w:t xml:space="preserve">Enables narrative explanations, recommendation summarisation, anomaly detection, and confidence-labelled decision support.</w:t>
            </w:r>
          </w:p>
        </w:tc>
      </w:tr>
    </w:tbl>
    <w:p>
      <w:pPr>
        <w:pStyle w:val="BodyText"/>
      </w:pPr>
      <w:r>
        <w:rPr>
          <w:i/>
          <w:iCs/>
        </w:rPr>
        <w:t xml:space="preserve">Note:</w:t>
      </w:r>
      <w:r>
        <w:t xml:space="preserve"> </w:t>
      </w:r>
      <w:r>
        <w:t xml:space="preserve">A formal dependency map covering all add-on modules shall still be maintained in the Super Admin Panel configuration. The rules above represent the confirmed dependencies that must be enforced at activation time.</w:t>
      </w:r>
    </w:p>
    <w:bookmarkEnd w:id="76"/>
    <w:bookmarkStart w:id="77" w:name="X94f068a728ff654578fcb83ec5b038c7576e7f9"/>
    <w:p>
      <w:pPr>
        <w:pStyle w:val="Heading2"/>
      </w:pPr>
      <w:r>
        <w:t xml:space="preserve">7.6 Starter Plan Module Lock</w:t>
      </w:r>
    </w:p>
    <w:p>
      <w:pPr>
        <w:pStyle w:val="FirstParagraph"/>
      </w:pPr>
      <w:r>
        <w:t xml:space="preserve">Tenants on the Starter subscription plan (UGX 250,000/month) have access to the 6 core modules only. The</w:t>
      </w:r>
      <w:r>
        <w:t xml:space="preserve"> </w:t>
      </w:r>
      <w:r>
        <w:rPr>
          <w:rStyle w:val="VerbatimChar"/>
        </w:rPr>
        <w:t xml:space="preserve">requireModuleAccess()</w:t>
      </w:r>
      <w:r>
        <w:t xml:space="preserve"> </w:t>
      </w:r>
      <w:r>
        <w:t xml:space="preserve">function will redirect Starter tenants to the upgrade page regardless of whether a</w:t>
      </w:r>
      <w:r>
        <w:t xml:space="preserve"> </w:t>
      </w:r>
      <w:r>
        <w:rPr>
          <w:rStyle w:val="VerbatimChar"/>
        </w:rPr>
        <w:t xml:space="preserve">tenant_modules</w:t>
      </w:r>
      <w:r>
        <w:t xml:space="preserve"> </w:t>
      </w:r>
      <w:r>
        <w:t xml:space="preserve">record exists. The Starter plan restriction is enforced by the subscription plan evaluation logic within</w:t>
      </w:r>
      <w:r>
        <w:t xml:space="preserve"> </w:t>
      </w:r>
      <w:r>
        <w:rPr>
          <w:rStyle w:val="VerbatimChar"/>
        </w:rPr>
        <w:t xml:space="preserve">TenantContext</w:t>
      </w:r>
      <w:r>
        <w:t xml:space="preserve">, not by the absence of</w:t>
      </w:r>
      <w:r>
        <w:t xml:space="preserve"> </w:t>
      </w:r>
      <w:r>
        <w:rPr>
          <w:rStyle w:val="VerbatimChar"/>
        </w:rPr>
        <w:t xml:space="preserve">tenant_modules</w:t>
      </w:r>
      <w:r>
        <w:t xml:space="preserve"> </w:t>
      </w:r>
      <w:r>
        <w:t xml:space="preserve">records.</w:t>
      </w:r>
    </w:p>
    <w:bookmarkEnd w:id="77"/>
    <w:bookmarkStart w:id="78" w:name="X54ca973211177fc2880cd1c870c9497bedf3be2"/>
    <w:p>
      <w:pPr>
        <w:pStyle w:val="Heading2"/>
      </w:pPr>
      <w:r>
        <w:t xml:space="preserve">7.7 Platform Services</w:t>
      </w:r>
    </w:p>
    <w:p>
      <w:pPr>
        <w:pStyle w:val="FirstParagraph"/>
      </w:pPr>
      <w:r>
        <w:t xml:space="preserve">In addition to the user-facing modules, the following platform services are always active and are not subject to the</w:t>
      </w:r>
      <w:r>
        <w:t xml:space="preserve"> </w:t>
      </w:r>
      <w:r>
        <w:rPr>
          <w:rStyle w:val="VerbatimChar"/>
        </w:rPr>
        <w:t xml:space="preserve">requireModuleAccess()</w:t>
      </w:r>
      <w:r>
        <w:t xml:space="preserve"> </w:t>
      </w:r>
      <w:r>
        <w:t xml:space="preserve">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Code</w:t>
            </w:r>
          </w:p>
        </w:tc>
        <w:tc>
          <w:tcPr/>
          <w:p>
            <w:pPr>
              <w:pStyle w:val="Compact"/>
            </w:pPr>
            <w:r>
              <w:t xml:space="preserve">Description</w:t>
            </w:r>
          </w:p>
        </w:tc>
      </w:tr>
      <w:tr>
        <w:tc>
          <w:tcPr/>
          <w:p>
            <w:pPr>
              <w:pStyle w:val="Compact"/>
            </w:pPr>
            <w:r>
              <w:t xml:space="preserve">Localisation Engine</w:t>
            </w:r>
          </w:p>
        </w:tc>
        <w:tc>
          <w:tcPr/>
          <w:p>
            <w:pPr>
              <w:pStyle w:val="Compact"/>
            </w:pPr>
            <w:r>
              <w:rPr>
                <w:rStyle w:val="VerbatimChar"/>
              </w:rPr>
              <w:t xml:space="preserve">LOCALISATION</w:t>
            </w:r>
          </w:p>
        </w:tc>
        <w:tc>
          <w:tcPr/>
          <w:p>
            <w:pPr>
              <w:pStyle w:val="Compact"/>
            </w:pPr>
            <w:r>
              <w:t xml:space="preserve">Per-tenant configuration-driven localisation.</w:t>
            </w:r>
          </w:p>
        </w:tc>
      </w:tr>
      <w:tr>
        <w:tc>
          <w:tcPr/>
          <w:p>
            <w:pPr>
              <w:pStyle w:val="Compact"/>
            </w:pPr>
            <w:r>
              <w:t xml:space="preserve">Mobile API</w:t>
            </w:r>
          </w:p>
        </w:tc>
        <w:tc>
          <w:tcPr/>
          <w:p>
            <w:pPr>
              <w:pStyle w:val="Compact"/>
            </w:pPr>
            <w:r>
              <w:rPr>
                <w:rStyle w:val="VerbatimChar"/>
              </w:rPr>
              <w:t xml:space="preserve">MOBILE_API</w:t>
            </w:r>
          </w:p>
        </w:tc>
        <w:tc>
          <w:tcPr/>
          <w:p>
            <w:pPr>
              <w:pStyle w:val="Compact"/>
            </w:pPr>
            <w:r>
              <w:t xml:space="preserve">JWT-secured REST API for Android and iOS clients.</w:t>
            </w:r>
          </w:p>
        </w:tc>
      </w:tr>
      <w:tr>
        <w:tc>
          <w:tcPr/>
          <w:p>
            <w:pPr>
              <w:pStyle w:val="Compact"/>
            </w:pPr>
            <w:r>
              <w:t xml:space="preserve">Integration Layer</w:t>
            </w:r>
          </w:p>
        </w:tc>
        <w:tc>
          <w:tcPr/>
          <w:p>
            <w:pPr>
              <w:pStyle w:val="Compact"/>
            </w:pPr>
            <w:r>
              <w:rPr>
                <w:rStyle w:val="VerbatimChar"/>
              </w:rPr>
              <w:t xml:space="preserve">INTEGRATIONS</w:t>
            </w:r>
          </w:p>
        </w:tc>
        <w:tc>
          <w:tcPr/>
          <w:p>
            <w:pPr>
              <w:pStyle w:val="Compact"/>
            </w:pPr>
            <w:r>
              <w:t xml:space="preserve">Mobile money, government fiscal, and SMS gateway integrations.</w:t>
            </w:r>
          </w:p>
        </w:tc>
      </w:tr>
      <w:tr>
        <w:tc>
          <w:tcPr/>
          <w:p>
            <w:pPr>
              <w:pStyle w:val="Compact"/>
            </w:pPr>
            <w:r>
              <w:t xml:space="preserve">Billing &amp; Subscriptions</w:t>
            </w:r>
          </w:p>
        </w:tc>
        <w:tc>
          <w:tcPr/>
          <w:p>
            <w:pPr>
              <w:pStyle w:val="Compact"/>
            </w:pPr>
            <w:r>
              <w:rPr>
                <w:rStyle w:val="VerbatimChar"/>
              </w:rPr>
              <w:t xml:space="preserve">BILLING</w:t>
            </w:r>
          </w:p>
        </w:tc>
        <w:tc>
          <w:tcPr/>
          <w:p>
            <w:pPr>
              <w:pStyle w:val="Compact"/>
            </w:pPr>
            <w:r>
              <w:t xml:space="preserve">Subscription plan management and tenant lifecycle.</w:t>
            </w:r>
          </w:p>
        </w:tc>
      </w:tr>
    </w:tbl>
    <w:bookmarkEnd w:id="78"/>
    <w:bookmarkEnd w:id="79"/>
    <w:bookmarkStart w:id="100" w:name="api-architecture"/>
    <w:p>
      <w:pPr>
        <w:pStyle w:val="Heading1"/>
      </w:pPr>
      <w:r>
        <w:t xml:space="preserve">API Architecture</w:t>
      </w:r>
    </w:p>
    <w:bookmarkStart w:id="80" w:name="Xade4321dad749554cf9ff4cdb2ad29b92c6fa7d"/>
    <w:p>
      <w:pPr>
        <w:pStyle w:val="Heading2"/>
      </w:pPr>
      <w:r>
        <w:t xml:space="preserve">8.1 API Surface Overview</w:t>
      </w:r>
    </w:p>
    <w:p>
      <w:pPr>
        <w:pStyle w:val="FirstParagraph"/>
      </w:pPr>
      <w:r>
        <w:t xml:space="preserve">Kraal Code exposes three distinct API surfaces, each with its own authentication mechanism, path prefix, and client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Surface</w:t>
            </w:r>
          </w:p>
        </w:tc>
        <w:tc>
          <w:tcPr/>
          <w:p>
            <w:pPr>
              <w:pStyle w:val="Compact"/>
            </w:pPr>
            <w:r>
              <w:t xml:space="preserve">Base Path</w:t>
            </w:r>
          </w:p>
        </w:tc>
        <w:tc>
          <w:tcPr/>
          <w:p>
            <w:pPr>
              <w:pStyle w:val="Compact"/>
            </w:pPr>
            <w:r>
              <w:t xml:space="preserve">Authentication</w:t>
            </w:r>
          </w:p>
        </w:tc>
        <w:tc>
          <w:tcPr/>
          <w:p>
            <w:pPr>
              <w:pStyle w:val="Compact"/>
            </w:pPr>
            <w:r>
              <w:t xml:space="preserve">Client</w:t>
            </w:r>
          </w:p>
        </w:tc>
      </w:tr>
      <w:tr>
        <w:tc>
          <w:tcPr/>
          <w:p>
            <w:pPr>
              <w:pStyle w:val="Compact"/>
            </w:pPr>
            <w:r>
              <w:t xml:space="preserve">Web UI API</w:t>
            </w:r>
          </w:p>
        </w:tc>
        <w:tc>
          <w:tcPr/>
          <w:p>
            <w:pPr>
              <w:pStyle w:val="Compact"/>
            </w:pPr>
            <w:r>
              <w:rPr>
                <w:rStyle w:val="VerbatimChar"/>
              </w:rPr>
              <w:t xml:space="preserve">/public/api/</w:t>
            </w:r>
          </w:p>
        </w:tc>
        <w:tc>
          <w:tcPr/>
          <w:p>
            <w:pPr>
              <w:pStyle w:val="Compact"/>
            </w:pPr>
            <w:r>
              <w:t xml:space="preserve">Session-based + CSRF token</w:t>
            </w:r>
          </w:p>
        </w:tc>
        <w:tc>
          <w:tcPr/>
          <w:p>
            <w:pPr>
              <w:pStyle w:val="Compact"/>
            </w:pPr>
            <w:r>
              <w:t xml:space="preserve">Browser (tenant workspace pages)</w:t>
            </w:r>
          </w:p>
        </w:tc>
      </w:tr>
      <w:tr>
        <w:tc>
          <w:tcPr/>
          <w:p>
            <w:pPr>
              <w:pStyle w:val="Compact"/>
            </w:pPr>
            <w:r>
              <w:t xml:space="preserve">Mobile API v1</w:t>
            </w:r>
          </w:p>
        </w:tc>
        <w:tc>
          <w:tcPr/>
          <w:p>
            <w:pPr>
              <w:pStyle w:val="Compact"/>
            </w:pPr>
            <w:r>
              <w:rPr>
                <w:rStyle w:val="VerbatimChar"/>
              </w:rPr>
              <w:t xml:space="preserve">/public/api/mobile/v1/</w:t>
            </w:r>
          </w:p>
        </w:tc>
        <w:tc>
          <w:tcPr/>
          <w:p>
            <w:pPr>
              <w:pStyle w:val="Compact"/>
            </w:pPr>
            <w:r>
              <w:t xml:space="preserve">JWT Bearer token</w:t>
            </w:r>
          </w:p>
        </w:tc>
        <w:tc>
          <w:tcPr/>
          <w:p>
            <w:pPr>
              <w:pStyle w:val="Compact"/>
            </w:pPr>
            <w:r>
              <w:t xml:space="preserve">Android and iOS native apps</w:t>
            </w:r>
          </w:p>
        </w:tc>
      </w:tr>
      <w:tr>
        <w:tc>
          <w:tcPr/>
          <w:p>
            <w:pPr>
              <w:pStyle w:val="Compact"/>
            </w:pPr>
            <w:r>
              <w:t xml:space="preserve">Super Admin API</w:t>
            </w:r>
          </w:p>
        </w:tc>
        <w:tc>
          <w:tcPr/>
          <w:p>
            <w:pPr>
              <w:pStyle w:val="Compact"/>
            </w:pPr>
            <w:r>
              <w:rPr>
                <w:rStyle w:val="VerbatimChar"/>
              </w:rPr>
              <w:t xml:space="preserve">/public/superadmin/api/</w:t>
            </w:r>
          </w:p>
        </w:tc>
        <w:tc>
          <w:tcPr/>
          <w:p>
            <w:pPr>
              <w:pStyle w:val="Compact"/>
            </w:pPr>
            <w:r>
              <w:t xml:space="preserve">Super admin session</w:t>
            </w:r>
          </w:p>
        </w:tc>
        <w:tc>
          <w:tcPr/>
          <w:p>
            <w:pPr>
              <w:pStyle w:val="Compact"/>
            </w:pPr>
            <w:r>
              <w:t xml:space="preserve">Super Admin Panel browser pages</w:t>
            </w:r>
          </w:p>
        </w:tc>
      </w:tr>
    </w:tbl>
    <w:bookmarkEnd w:id="80"/>
    <w:bookmarkStart w:id="86" w:name="X97da0b12338891bf8e527ced8f5cd8cb108ab0f"/>
    <w:p>
      <w:pPr>
        <w:pStyle w:val="Heading2"/>
      </w:pPr>
      <w:r>
        <w:t xml:space="preserve">8.2 Web UI API (</w:t>
      </w:r>
      <w:r>
        <w:rPr>
          <w:rStyle w:val="VerbatimChar"/>
        </w:rPr>
        <w:t xml:space="preserve">/public/api/</w:t>
      </w:r>
      <w:r>
        <w:t xml:space="preserve">)</w:t>
      </w:r>
    </w:p>
    <w:bookmarkStart w:id="81" w:name="purpose"/>
    <w:p>
      <w:pPr>
        <w:pStyle w:val="Heading3"/>
      </w:pPr>
      <w:r>
        <w:t xml:space="preserve">Purpose</w:t>
      </w:r>
    </w:p>
    <w:p>
      <w:pPr>
        <w:pStyle w:val="FirstParagraph"/>
      </w:pPr>
      <w:r>
        <w:t xml:space="preserve">The Web UI API serves AJAX requests from the tenant workspace browser pages. It is not a general-purpose API and is not documented for third-party consumption.</w:t>
      </w:r>
    </w:p>
    <w:bookmarkEnd w:id="81"/>
    <w:bookmarkStart w:id="82" w:name="authentication"/>
    <w:p>
      <w:pPr>
        <w:pStyle w:val="Heading3"/>
      </w:pPr>
      <w:r>
        <w:t xml:space="preserve">Authentication</w:t>
      </w:r>
    </w:p>
    <w:p>
      <w:pPr>
        <w:pStyle w:val="FirstParagraph"/>
      </w:pPr>
      <w:r>
        <w:t xml:space="preserve">Session-based. Every request to</w:t>
      </w:r>
      <w:r>
        <w:t xml:space="preserve"> </w:t>
      </w:r>
      <w:r>
        <w:rPr>
          <w:rStyle w:val="VerbatimChar"/>
        </w:rPr>
        <w:t xml:space="preserve">/public/api/</w:t>
      </w:r>
      <w:r>
        <w:t xml:space="preserve"> </w:t>
      </w:r>
      <w:r>
        <w:t xml:space="preserve">passes through the same</w:t>
      </w:r>
      <w:r>
        <w:t xml:space="preserve"> </w:t>
      </w:r>
      <w:r>
        <w:rPr>
          <w:rStyle w:val="VerbatimChar"/>
        </w:rPr>
        <w:t xml:space="preserve">EnsureAuthenticated → EnsureTenantSelected → EnsureTenantActive → EnsureBranchSelected → RequirePermission</w:t>
      </w:r>
      <w:r>
        <w:t xml:space="preserve"> </w:t>
      </w:r>
      <w:r>
        <w:t xml:space="preserve">middleware pipeline as page requests. Requests without a valid session are rejected with HTTP 401.</w:t>
      </w:r>
    </w:p>
    <w:bookmarkEnd w:id="82"/>
    <w:bookmarkStart w:id="83" w:name="csrf-protection"/>
    <w:p>
      <w:pPr>
        <w:pStyle w:val="Heading3"/>
      </w:pPr>
      <w:r>
        <w:t xml:space="preserve">CSRF Protection</w:t>
      </w:r>
    </w:p>
    <w:p>
      <w:pPr>
        <w:pStyle w:val="FirstParagraph"/>
      </w:pPr>
      <w:r>
        <w:t xml:space="preserve">All state-changing requests (POST, PUT, DELETE, PATCH) must include the</w:t>
      </w:r>
      <w:r>
        <w:t xml:space="preserve"> </w:t>
      </w:r>
      <w:r>
        <w:rPr>
          <w:rStyle w:val="VerbatimChar"/>
        </w:rPr>
        <w:t xml:space="preserve">X-CSRF-Token</w:t>
      </w:r>
      <w:r>
        <w:t xml:space="preserve"> </w:t>
      </w:r>
      <w:r>
        <w:t xml:space="preserve">header populated from the session token. Requests missing this header are rejected with HTTP 403.</w:t>
      </w:r>
    </w:p>
    <w:bookmarkEnd w:id="83"/>
    <w:bookmarkStart w:id="84" w:name="directory-organisation"/>
    <w:p>
      <w:pPr>
        <w:pStyle w:val="Heading3"/>
      </w:pPr>
      <w:r>
        <w:t xml:space="preserve">Directory Organisation</w:t>
      </w:r>
    </w:p>
    <w:p>
      <w:pPr>
        <w:pStyle w:val="FirstParagraph"/>
      </w:pPr>
      <w:r>
        <w:t xml:space="preserve">API endpoint files are organised by domain under</w:t>
      </w:r>
      <w:r>
        <w:t xml:space="preserve"> </w:t>
      </w:r>
      <w:r>
        <w:rPr>
          <w:rStyle w:val="VerbatimChar"/>
        </w:rPr>
        <w:t xml:space="preserve">/public/api/</w:t>
      </w:r>
      <w:r>
        <w:t xml:space="preserve">:</w:t>
      </w:r>
    </w:p>
    <w:p>
      <w:pPr>
        <w:pStyle w:val="SourceCode"/>
      </w:pPr>
      <w:r>
        <w:rPr>
          <w:rStyle w:val="VerbatimChar"/>
        </w:rPr>
        <w:t xml:space="preserve">public/api/</w:t>
      </w:r>
      <w:r>
        <w:br/>
      </w:r>
      <w:r>
        <w:rPr>
          <w:rStyle w:val="VerbatimChar"/>
        </w:rPr>
        <w:t xml:space="preserve">├── accounting/</w:t>
      </w:r>
      <w:r>
        <w:br/>
      </w:r>
      <w:r>
        <w:rPr>
          <w:rStyle w:val="VerbatimChar"/>
        </w:rPr>
        <w:t xml:space="preserve">│   ├── invoices/</w:t>
      </w:r>
      <w:r>
        <w:br/>
      </w:r>
      <w:r>
        <w:rPr>
          <w:rStyle w:val="VerbatimChar"/>
        </w:rPr>
        <w:t xml:space="preserve">│   │   ├── create.php</w:t>
      </w:r>
      <w:r>
        <w:br/>
      </w:r>
      <w:r>
        <w:rPr>
          <w:rStyle w:val="VerbatimChar"/>
        </w:rPr>
        <w:t xml:space="preserve">│   │   ├── list.php</w:t>
      </w:r>
      <w:r>
        <w:br/>
      </w:r>
      <w:r>
        <w:rPr>
          <w:rStyle w:val="VerbatimChar"/>
        </w:rPr>
        <w:t xml:space="preserve">│   │   └── ...</w:t>
      </w:r>
      <w:r>
        <w:br/>
      </w:r>
      <w:r>
        <w:rPr>
          <w:rStyle w:val="VerbatimChar"/>
        </w:rPr>
        <w:t xml:space="preserve">│   └── ...</w:t>
      </w:r>
      <w:r>
        <w:br/>
      </w:r>
      <w:r>
        <w:rPr>
          <w:rStyle w:val="VerbatimChar"/>
        </w:rPr>
        <w:t xml:space="preserve">├── inventory/</w:t>
      </w:r>
      <w:r>
        <w:br/>
      </w:r>
      <w:r>
        <w:rPr>
          <w:rStyle w:val="VerbatimChar"/>
        </w:rPr>
        <w:t xml:space="preserve">├── sales/</w:t>
      </w:r>
      <w:r>
        <w:br/>
      </w:r>
      <w:r>
        <w:rPr>
          <w:rStyle w:val="VerbatimChar"/>
        </w:rPr>
        <w:t xml:space="preserve">├── procurement/</w:t>
      </w:r>
      <w:r>
        <w:br/>
      </w:r>
      <w:r>
        <w:rPr>
          <w:rStyle w:val="VerbatimChar"/>
        </w:rPr>
        <w:t xml:space="preserve">├── hr/</w:t>
      </w:r>
      <w:r>
        <w:br/>
      </w:r>
      <w:r>
        <w:rPr>
          <w:rStyle w:val="VerbatimChar"/>
        </w:rPr>
        <w:t xml:space="preserve">└── ...</w:t>
      </w:r>
    </w:p>
    <w:bookmarkEnd w:id="84"/>
    <w:bookmarkStart w:id="85" w:name="response-format"/>
    <w:p>
      <w:pPr>
        <w:pStyle w:val="Heading3"/>
      </w:pPr>
      <w:r>
        <w:t xml:space="preserve">Response Format</w:t>
      </w:r>
    </w:p>
    <w:p>
      <w:pPr>
        <w:pStyle w:val="FirstParagraph"/>
      </w:pPr>
      <w:r>
        <w:t xml:space="preserve">All endpoints return the standardised</w:t>
      </w:r>
      <w:r>
        <w:t xml:space="preserve"> </w:t>
      </w:r>
      <w:r>
        <w:rPr>
          <w:rStyle w:val="VerbatimChar"/>
        </w:rPr>
        <w:t xml:space="preserve">ApiResponse</w:t>
      </w:r>
      <w:r>
        <w:t xml:space="preserve"> </w:t>
      </w:r>
      <w:r>
        <w:t xml:space="preserve">JSON envelope. See Section 8.5.</w:t>
      </w:r>
    </w:p>
    <w:bookmarkEnd w:id="85"/>
    <w:bookmarkEnd w:id="86"/>
    <w:bookmarkStart w:id="93" w:name="Xecab99db5e79d99789e9bd7419c2ce1d1c8a4f0"/>
    <w:p>
      <w:pPr>
        <w:pStyle w:val="Heading2"/>
      </w:pPr>
      <w:r>
        <w:t xml:space="preserve">8.3 Mobile API v1 (</w:t>
      </w:r>
      <w:r>
        <w:rPr>
          <w:rStyle w:val="VerbatimChar"/>
        </w:rPr>
        <w:t xml:space="preserve">/public/api/mobile/v1/</w:t>
      </w:r>
      <w:r>
        <w:t xml:space="preserve">)</w:t>
      </w:r>
    </w:p>
    <w:bookmarkStart w:id="87" w:name="purpose-1"/>
    <w:p>
      <w:pPr>
        <w:pStyle w:val="Heading3"/>
      </w:pPr>
      <w:r>
        <w:t xml:space="preserve">Purpose</w:t>
      </w:r>
    </w:p>
    <w:p>
      <w:pPr>
        <w:pStyle w:val="FirstParagraph"/>
      </w:pPr>
      <w:r>
        <w:t xml:space="preserve">The Mobile API v1 is the public REST API consumed by the Kraal Code Android (Kotlin + Jetpack Compose) and iOS (Swift + SwiftUI) native applications. It is versioned so that breaking changes can be introduced in v2 without affecting v1 clients.</w:t>
      </w:r>
    </w:p>
    <w:bookmarkEnd w:id="87"/>
    <w:bookmarkStart w:id="88" w:name="authentication-1"/>
    <w:p>
      <w:pPr>
        <w:pStyle w:val="Heading3"/>
      </w:pPr>
      <w:r>
        <w:t xml:space="preserve">Authentication</w:t>
      </w:r>
    </w:p>
    <w:p>
      <w:pPr>
        <w:pStyle w:val="FirstParagraph"/>
      </w:pPr>
      <w:r>
        <w:t xml:space="preserve">JWT Bearer token. The mobile client includes the token in the</w:t>
      </w:r>
      <w:r>
        <w:t xml:space="preserve"> </w:t>
      </w:r>
      <w:r>
        <w:rPr>
          <w:rStyle w:val="VerbatimChar"/>
        </w:rPr>
        <w:t xml:space="preserve">Authorization: Bearer &lt;token&gt;</w:t>
      </w:r>
      <w:r>
        <w:t xml:space="preserve"> </w:t>
      </w:r>
      <w:r>
        <w:t xml:space="preserve">HTTP header on every request. The server validates the token signature, expiry, and revocation status on each request. The JWT claims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 are used to populate a</w:t>
      </w:r>
      <w:r>
        <w:t xml:space="preserve"> </w:t>
      </w:r>
      <w:r>
        <w:rPr>
          <w:rStyle w:val="VerbatimChar"/>
        </w:rPr>
        <w:t xml:space="preserve">TenantContext</w:t>
      </w:r>
      <w:r>
        <w:t xml:space="preserve"> </w:t>
      </w:r>
      <w:r>
        <w:t xml:space="preserve">equivalent for mobile requests — the</w:t>
      </w:r>
      <w:r>
        <w:t xml:space="preserve"> </w:t>
      </w:r>
      <w:r>
        <w:rPr>
          <w:rStyle w:val="VerbatimChar"/>
        </w:rPr>
        <w:t xml:space="preserve">tid</w:t>
      </w:r>
      <w:r>
        <w:t xml:space="preserve"> </w:t>
      </w:r>
      <w:r>
        <w:t xml:space="preserve">claim provides the</w:t>
      </w:r>
      <w:r>
        <w:t xml:space="preserve"> </w:t>
      </w:r>
      <w:r>
        <w:rPr>
          <w:rStyle w:val="VerbatimChar"/>
        </w:rPr>
        <w:t xml:space="preserve">tenant_id</w:t>
      </w:r>
      <w:r>
        <w:t xml:space="preserve"> </w:t>
      </w:r>
      <w:r>
        <w:t xml:space="preserve">used for all SQL queries, not any request body parameter.</w:t>
      </w:r>
    </w:p>
    <w:bookmarkEnd w:id="88"/>
    <w:bookmarkStart w:id="89" w:name="versioning"/>
    <w:p>
      <w:pPr>
        <w:pStyle w:val="Heading3"/>
      </w:pPr>
      <w:r>
        <w:t xml:space="preserve">Versioning</w:t>
      </w:r>
    </w:p>
    <w:p>
      <w:pPr>
        <w:pStyle w:val="FirstParagraph"/>
      </w:pPr>
      <w:r>
        <w:t xml:space="preserve">The</w:t>
      </w:r>
      <w:r>
        <w:t xml:space="preserve"> </w:t>
      </w:r>
      <w:r>
        <w:rPr>
          <w:rStyle w:val="VerbatimChar"/>
        </w:rPr>
        <w:t xml:space="preserve">/v1/</w:t>
      </w:r>
      <w:r>
        <w:t xml:space="preserve"> </w:t>
      </w:r>
      <w:r>
        <w:t xml:space="preserve">path segment is the API version identifier. When a new API version is required,</w:t>
      </w:r>
      <w:r>
        <w:t xml:space="preserve"> </w:t>
      </w:r>
      <w:r>
        <w:rPr>
          <w:rStyle w:val="VerbatimChar"/>
        </w:rPr>
        <w:t xml:space="preserve">/public/api/mobile/v2/</w:t>
      </w:r>
      <w:r>
        <w:t xml:space="preserve"> </w:t>
      </w:r>
      <w:r>
        <w:t xml:space="preserve">shall be created with the updated endpoint implementations. Both versions shall operate concurrently during a migration window.</w:t>
      </w:r>
    </w:p>
    <w:bookmarkEnd w:id="89"/>
    <w:bookmarkStart w:id="90" w:name="rate-limiting"/>
    <w:p>
      <w:pPr>
        <w:pStyle w:val="Heading3"/>
      </w:pPr>
      <w:r>
        <w:t xml:space="preserve">Rate Limiting</w:t>
      </w:r>
    </w:p>
    <w:p>
      <w:pPr>
        <w:pStyle w:val="FirstParagraph"/>
      </w:pPr>
      <w:r>
        <w:t xml:space="preserve">Per-tenant and per-user rate limiting applies (see Section 6.5). Mobile API clients receive a</w:t>
      </w:r>
      <w:r>
        <w:t xml:space="preserve"> </w:t>
      </w:r>
      <w:r>
        <w:rPr>
          <w:rStyle w:val="VerbatimChar"/>
        </w:rPr>
        <w:t xml:space="preserve">Retry-After</w:t>
      </w:r>
      <w:r>
        <w:t xml:space="preserve"> </w:t>
      </w:r>
      <w:r>
        <w:t xml:space="preserve">header on HTTP 429 responses.</w:t>
      </w:r>
    </w:p>
    <w:bookmarkEnd w:id="90"/>
    <w:bookmarkStart w:id="91" w:name="cors"/>
    <w:p>
      <w:pPr>
        <w:pStyle w:val="Heading3"/>
      </w:pPr>
      <w:r>
        <w:t xml:space="preserve">CORS</w:t>
      </w:r>
    </w:p>
    <w:p>
      <w:pPr>
        <w:pStyle w:val="FirstParagraph"/>
      </w:pPr>
      <w:r>
        <w:t xml:space="preserve">Cross-Origin Resource Sharing (CORS) headers are enabled for the Mobile API path to permit requests from native app WebView components and any hybrid client contexts. Allowed origins are restricted to the Kraal Code app bundle identifiers.</w:t>
      </w:r>
    </w:p>
    <w:bookmarkEnd w:id="91"/>
    <w:bookmarkStart w:id="92" w:name="offline-sync-endpoints"/>
    <w:p>
      <w:pPr>
        <w:pStyle w:val="Heading3"/>
      </w:pPr>
      <w:r>
        <w:t xml:space="preserve">Offline Sync Endpoints</w:t>
      </w:r>
    </w:p>
    <w:p>
      <w:pPr>
        <w:pStyle w:val="FirstParagraph"/>
      </w:pPr>
      <w:r>
        <w:t xml:space="preserve">The Mobile API includes sync endpoints that accept a</w:t>
      </w:r>
      <w:r>
        <w:t xml:space="preserve"> </w:t>
      </w:r>
      <w:r>
        <w:rPr>
          <w:rStyle w:val="VerbatimChar"/>
        </w:rPr>
        <w:t xml:space="preserve">last_modified</w:t>
      </w:r>
      <w:r>
        <w:t xml:space="preserve"> </w:t>
      </w:r>
      <w:r>
        <w:t xml:space="preserve">timestamp parameter. The server returns only records modified after that timestamp (delta sync). This supports the offline resilience requirement: the Outgrower &amp; Farmer Operations module shall allow offline intake for up to 72 hours and sync all pending transactions within 60 seconds of connectivity restoration (NFR-MOBILE-001).</w:t>
      </w:r>
    </w:p>
    <w:bookmarkEnd w:id="92"/>
    <w:bookmarkEnd w:id="93"/>
    <w:bookmarkStart w:id="97" w:name="Xd4eae279e5ce6cb32382e873389c21344766ff8"/>
    <w:p>
      <w:pPr>
        <w:pStyle w:val="Heading2"/>
      </w:pPr>
      <w:r>
        <w:t xml:space="preserve">8.4 Super Admin API (</w:t>
      </w:r>
      <w:r>
        <w:rPr>
          <w:rStyle w:val="VerbatimChar"/>
        </w:rPr>
        <w:t xml:space="preserve">/public/superadmin/api/</w:t>
      </w:r>
      <w:r>
        <w:t xml:space="preserve">)</w:t>
      </w:r>
    </w:p>
    <w:bookmarkStart w:id="94" w:name="purpose-2"/>
    <w:p>
      <w:pPr>
        <w:pStyle w:val="Heading3"/>
      </w:pPr>
      <w:r>
        <w:t xml:space="preserve">Purpose</w:t>
      </w:r>
    </w:p>
    <w:p>
      <w:pPr>
        <w:pStyle w:val="FirstParagraph"/>
      </w:pPr>
      <w:r>
        <w:t xml:space="preserve">The Super Admin API serves AJAX requests from the Super Admin Panel browser pages. It handles tenant provisioning, subscription management, billing, and platform monitoring operations.</w:t>
      </w:r>
    </w:p>
    <w:bookmarkEnd w:id="94"/>
    <w:bookmarkStart w:id="95" w:name="authentication-2"/>
    <w:p>
      <w:pPr>
        <w:pStyle w:val="Heading3"/>
      </w:pPr>
      <w:r>
        <w:t xml:space="preserve">Authentication</w:t>
      </w:r>
    </w:p>
    <w:p>
      <w:pPr>
        <w:pStyle w:val="FirstParagraph"/>
      </w:pPr>
      <w:r>
        <w:t xml:space="preserve">Super admin session. Requests are validated against the super admin session scope. No tenant context is injected — super admin API endpoints operate outside tenant isolation boundaries.</w:t>
      </w:r>
    </w:p>
    <w:bookmarkEnd w:id="95"/>
    <w:bookmarkStart w:id="96" w:name="csrf-protection-1"/>
    <w:p>
      <w:pPr>
        <w:pStyle w:val="Heading3"/>
      </w:pPr>
      <w:r>
        <w:t xml:space="preserve">CSRF Protection</w:t>
      </w:r>
    </w:p>
    <w:p>
      <w:pPr>
        <w:pStyle w:val="FirstParagraph"/>
      </w:pPr>
      <w:r>
        <w:t xml:space="preserve">The same</w:t>
      </w:r>
      <w:r>
        <w:t xml:space="preserve"> </w:t>
      </w:r>
      <w:r>
        <w:rPr>
          <w:rStyle w:val="VerbatimChar"/>
        </w:rPr>
        <w:t xml:space="preserve">X-CSRF-Token</w:t>
      </w:r>
      <w:r>
        <w:t xml:space="preserve"> </w:t>
      </w:r>
      <w:r>
        <w:t xml:space="preserve">header requirement applies to all state-changing Super Admin API requests.</w:t>
      </w:r>
    </w:p>
    <w:bookmarkEnd w:id="96"/>
    <w:bookmarkEnd w:id="97"/>
    <w:bookmarkStart w:id="98" w:name="X7c175075feab088e782325c5b97f1085600cebd"/>
    <w:p>
      <w:pPr>
        <w:pStyle w:val="Heading2"/>
      </w:pPr>
      <w:r>
        <w:t xml:space="preserve">8.5 Standardised Response Format</w:t>
      </w:r>
    </w:p>
    <w:p>
      <w:pPr>
        <w:pStyle w:val="FirstParagraph"/>
      </w:pPr>
      <w:r>
        <w:t xml:space="preserve">Every API endpoint, across all three surfaces, shall return responses using the</w:t>
      </w:r>
      <w:r>
        <w:t xml:space="preserve"> </w:t>
      </w:r>
      <w:r>
        <w:rPr>
          <w:rStyle w:val="VerbatimChar"/>
        </w:rPr>
        <w:t xml:space="preserve">ApiResponse</w:t>
      </w:r>
      <w:r>
        <w:t xml:space="preserve"> </w:t>
      </w:r>
      <w:r>
        <w:t xml:space="preserve">class in the following JSON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success</w:t>
            </w:r>
          </w:p>
        </w:tc>
        <w:tc>
          <w:tcPr/>
          <w:p>
            <w:pPr>
              <w:pStyle w:val="Compact"/>
            </w:pPr>
            <w:r>
              <w:rPr>
                <w:rStyle w:val="VerbatimChar"/>
              </w:rPr>
              <w:t xml:space="preserve">bool</w:t>
            </w:r>
          </w:p>
        </w:tc>
        <w:tc>
          <w:tcPr/>
          <w:p>
            <w:pPr>
              <w:pStyle w:val="Compact"/>
            </w:pPr>
            <w:r>
              <w:rPr>
                <w:rStyle w:val="VerbatimChar"/>
              </w:rPr>
              <w:t xml:space="preserve">true</w:t>
            </w:r>
            <w:r>
              <w:t xml:space="preserve"> </w:t>
            </w:r>
            <w:r>
              <w:t xml:space="preserve">if the operation succeeded;</w:t>
            </w:r>
            <w:r>
              <w:t xml:space="preserve"> </w:t>
            </w:r>
            <w:r>
              <w:rPr>
                <w:rStyle w:val="VerbatimChar"/>
              </w:rPr>
              <w:t xml:space="preserve">false</w:t>
            </w:r>
            <w:r>
              <w:t xml:space="preserve"> </w:t>
            </w:r>
            <w:r>
              <w:t xml:space="preserve">if it failed.</w:t>
            </w:r>
          </w:p>
        </w:tc>
      </w:tr>
      <w:tr>
        <w:tc>
          <w:tcPr/>
          <w:p>
            <w:pPr>
              <w:pStyle w:val="Compact"/>
            </w:pPr>
            <w:r>
              <w:rPr>
                <w:rStyle w:val="VerbatimChar"/>
              </w:rPr>
              <w:t xml:space="preserve">data</w:t>
            </w:r>
          </w:p>
        </w:tc>
        <w:tc>
          <w:tcPr/>
          <w:p>
            <w:pPr>
              <w:pStyle w:val="Compact"/>
            </w:pPr>
            <w:r>
              <w:rPr>
                <w:rStyle w:val="VerbatimChar"/>
              </w:rPr>
              <w:t xml:space="preserve">object</w:t>
            </w:r>
            <w:r>
              <w:t xml:space="preserve"> </w:t>
            </w:r>
            <w:r>
              <w:t xml:space="preserve">or</w:t>
            </w:r>
            <w:r>
              <w:t xml:space="preserve"> </w:t>
            </w:r>
            <w:r>
              <w:rPr>
                <w:rStyle w:val="VerbatimChar"/>
              </w:rPr>
              <w:t xml:space="preserve">array</w:t>
            </w:r>
          </w:p>
        </w:tc>
        <w:tc>
          <w:tcPr/>
          <w:p>
            <w:pPr>
              <w:pStyle w:val="Compact"/>
            </w:pPr>
            <w:r>
              <w:t xml:space="preserve">The response payload on success;</w:t>
            </w:r>
            <w:r>
              <w:t xml:space="preserve"> </w:t>
            </w:r>
            <w:r>
              <w:rPr>
                <w:rStyle w:val="VerbatimChar"/>
              </w:rPr>
              <w:t xml:space="preserve">{}</w:t>
            </w:r>
            <w:r>
              <w:t xml:space="preserve"> </w:t>
            </w:r>
            <w:r>
              <w:t xml:space="preserve">on failure.</w:t>
            </w:r>
          </w:p>
        </w:tc>
      </w:tr>
      <w:tr>
        <w:tc>
          <w:tcPr/>
          <w:p>
            <w:pPr>
              <w:pStyle w:val="Compact"/>
            </w:pPr>
            <w:r>
              <w:rPr>
                <w:rStyle w:val="VerbatimChar"/>
              </w:rPr>
              <w:t xml:space="preserve">error</w:t>
            </w:r>
          </w:p>
        </w:tc>
        <w:tc>
          <w:tcPr/>
          <w:p>
            <w:pPr>
              <w:pStyle w:val="Compact"/>
            </w:pPr>
            <w:r>
              <w:rPr>
                <w:rStyle w:val="VerbatimChar"/>
              </w:rPr>
              <w:t xml:space="preserve">object</w:t>
            </w:r>
          </w:p>
        </w:tc>
        <w:tc>
          <w:tcPr/>
          <w:p>
            <w:pPr>
              <w:pStyle w:val="Compact"/>
            </w:pPr>
            <w:r>
              <w:t xml:space="preserve">Error details on failure:</w:t>
            </w:r>
            <w:r>
              <w:t xml:space="preserve"> </w:t>
            </w:r>
            <w:r>
              <w:rPr>
                <w:rStyle w:val="VerbatimChar"/>
              </w:rPr>
              <w:t xml:space="preserve">{ "code": "...", "message": "..." }</w:t>
            </w:r>
            <w:r>
              <w:t xml:space="preserve">;</w:t>
            </w:r>
            <w:r>
              <w:t xml:space="preserve"> </w:t>
            </w:r>
            <w:r>
              <w:rPr>
                <w:rStyle w:val="VerbatimChar"/>
              </w:rPr>
              <w:t xml:space="preserve">{}</w:t>
            </w:r>
            <w:r>
              <w:t xml:space="preserve"> </w:t>
            </w:r>
            <w:r>
              <w:t xml:space="preserve">on success.</w:t>
            </w:r>
          </w:p>
        </w:tc>
      </w:tr>
    </w:tbl>
    <w:p>
      <w:pPr>
        <w:pStyle w:val="BodyText"/>
      </w:pPr>
      <w:r>
        <w:t xml:space="preserve">HTTP status codes are always set correctly: 200 for success, 201 for created, 400 for validation errors, 401 for unauthenticated, 403 for unauthorised, 404 for not found (including cross-tenant attempts), 422 for business rule violations, 429 for rate limit exceeded, 500 for server errors.</w:t>
      </w:r>
    </w:p>
    <w:bookmarkEnd w:id="98"/>
    <w:bookmarkStart w:id="99" w:name="X71f607fef1251ef86954cc641a41038db209f0e"/>
    <w:p>
      <w:pPr>
        <w:pStyle w:val="Heading2"/>
      </w:pPr>
      <w:r>
        <w:t xml:space="preserve">8.6 Output Encoding</w:t>
      </w:r>
    </w:p>
    <w:p>
      <w:pPr>
        <w:pStyle w:val="FirstParagraph"/>
      </w:pPr>
      <w:r>
        <w:t xml:space="preserve">All string values in API responses shall be HTML-escaped using</w:t>
      </w:r>
      <w:r>
        <w:t xml:space="preserve"> </w:t>
      </w:r>
      <w:r>
        <w:rPr>
          <w:rStyle w:val="VerbatimChar"/>
        </w:rPr>
        <w:t xml:space="preserve">htmlspecialchars()</w:t>
      </w:r>
      <w:r>
        <w:t xml:space="preserve"> </w:t>
      </w:r>
      <w:r>
        <w:t xml:space="preserve">with</w:t>
      </w:r>
      <w:r>
        <w:t xml:space="preserve"> </w:t>
      </w:r>
      <w:r>
        <w:rPr>
          <w:rStyle w:val="VerbatimChar"/>
        </w:rPr>
        <w:t xml:space="preserve">ENT_QUOTES | ENT_SUBSTITUTE</w:t>
      </w:r>
      <w:r>
        <w:t xml:space="preserve"> </w:t>
      </w:r>
      <w:r>
        <w:t xml:space="preserve">before being passed to</w:t>
      </w:r>
      <w:r>
        <w:t xml:space="preserve"> </w:t>
      </w:r>
      <w:r>
        <w:rPr>
          <w:rStyle w:val="VerbatimChar"/>
        </w:rPr>
        <w:t xml:space="preserve">ApiResponse</w:t>
      </w:r>
      <w:r>
        <w:t xml:space="preserve">. This prevents Cross-Site Scripting (XSS) vulnerabilities in any client that renders API response values as HTML without additional escaping.</w:t>
      </w:r>
    </w:p>
    <w:p>
      <w:pPr>
        <w:pStyle w:val="BodyText"/>
      </w:pPr>
      <w:r>
        <w:t xml:space="preserve">All SQL inputs are handled via PDO prepared statements (see Section 4.7). API endpoints do not construct SQL queries directly — all data operations are delegated to service layer methods.</w:t>
      </w:r>
    </w:p>
    <w:bookmarkEnd w:id="99"/>
    <w:bookmarkEnd w:id="100"/>
    <w:bookmarkStart w:id="108" w:name="localisation-engine"/>
    <w:p>
      <w:pPr>
        <w:pStyle w:val="Heading1"/>
      </w:pPr>
      <w:r>
        <w:t xml:space="preserve">Localisation Engine</w:t>
      </w:r>
    </w:p>
    <w:bookmarkStart w:id="101" w:name="X90dfa4fe70fe89648bcaf07162f417f37cde9cf"/>
    <w:p>
      <w:pPr>
        <w:pStyle w:val="Heading2"/>
      </w:pPr>
      <w:r>
        <w:t xml:space="preserve">9.1 Design Principle: One Codebase, All Markets</w:t>
      </w:r>
    </w:p>
    <w:p>
      <w:pPr>
        <w:pStyle w:val="FirstParagraph"/>
      </w:pPr>
      <w:r>
        <w:t xml:space="preserve">The Kraal Code Localisation Engine is a configuration-driven mechanism that enables the platform to operate correctly in any supported market without modifying source code, database schema, or deployment artefacts. Entering a new country requires only:</w:t>
      </w:r>
    </w:p>
    <w:p>
      <w:pPr>
        <w:pStyle w:val="Compact"/>
        <w:numPr>
          <w:ilvl w:val="0"/>
          <w:numId w:val="1017"/>
        </w:numPr>
      </w:pPr>
      <w:r>
        <w:t xml:space="preserve">Creating a localisation profile record for the target jurisdiction.</w:t>
      </w:r>
    </w:p>
    <w:p>
      <w:pPr>
        <w:pStyle w:val="Compact"/>
        <w:numPr>
          <w:ilvl w:val="0"/>
          <w:numId w:val="1017"/>
        </w:numPr>
      </w:pPr>
      <w:r>
        <w:t xml:space="preserve">Assigning the profile to a tenant.</w:t>
      </w:r>
    </w:p>
    <w:p>
      <w:pPr>
        <w:pStyle w:val="Compact"/>
        <w:numPr>
          <w:ilvl w:val="0"/>
          <w:numId w:val="1017"/>
        </w:numPr>
      </w:pPr>
      <w:r>
        <w:t xml:space="preserve">Verifying that any required external integrations (tax authority APIs, mobile money gateways) are available.</w:t>
      </w:r>
    </w:p>
    <w:p>
      <w:pPr>
        <w:pStyle w:val="FirstParagraph"/>
      </w:pPr>
      <w:r>
        <w:t xml:space="preserve">No code branches, no country-specific forks, and no per-country deployment pipelines.</w:t>
      </w:r>
    </w:p>
    <w:bookmarkEnd w:id="101"/>
    <w:bookmarkStart w:id="102" w:name="X8ad629401d8e192e44f471a319229f49e31982a"/>
    <w:p>
      <w:pPr>
        <w:pStyle w:val="Heading2"/>
      </w:pPr>
      <w:r>
        <w:t xml:space="preserve">9.2 Localisation Profile Structure</w:t>
      </w:r>
    </w:p>
    <w:p>
      <w:pPr>
        <w:pStyle w:val="FirstParagraph"/>
      </w:pPr>
      <w:r>
        <w:t xml:space="preserve">Each tenant is assigned exactly 1 localisation profile. The profile is stored as a structured record in the</w:t>
      </w:r>
      <w:r>
        <w:t xml:space="preserve"> </w:t>
      </w:r>
      <w:r>
        <w:rPr>
          <w:rStyle w:val="VerbatimChar"/>
        </w:rPr>
        <w:t xml:space="preserve">localisation_profiles</w:t>
      </w:r>
      <w:r>
        <w:t xml:space="preserve"> </w:t>
      </w:r>
      <w:r>
        <w:t xml:space="preserve">table and linked to the tenant via</w:t>
      </w:r>
      <w:r>
        <w:t xml:space="preserve"> </w:t>
      </w:r>
      <w:r>
        <w:rPr>
          <w:rStyle w:val="VerbatimChar"/>
        </w:rPr>
        <w:t xml:space="preserve">tenants.localisation_profile_id</w:t>
      </w:r>
      <w:r>
        <w:t xml:space="preserve">. The profile governs the following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Description</w:t>
            </w:r>
          </w:p>
        </w:tc>
      </w:tr>
      <w:tr>
        <w:tc>
          <w:tcPr/>
          <w:p>
            <w:pPr>
              <w:pStyle w:val="Compact"/>
            </w:pPr>
            <w:r>
              <w:t xml:space="preserve">Currency</w:t>
            </w:r>
          </w:p>
        </w:tc>
        <w:tc>
          <w:tcPr/>
          <w:p>
            <w:pPr>
              <w:pStyle w:val="Compact"/>
            </w:pPr>
            <w:r>
              <w:t xml:space="preserve">ISO 4217 currency code and display format (symbol, decimal separator, thousands separator).</w:t>
            </w:r>
          </w:p>
        </w:tc>
      </w:tr>
      <w:tr>
        <w:tc>
          <w:tcPr/>
          <w:p>
            <w:pPr>
              <w:pStyle w:val="Compact"/>
            </w:pPr>
            <w:r>
              <w:t xml:space="preserve">Language</w:t>
            </w:r>
          </w:p>
        </w:tc>
        <w:tc>
          <w:tcPr/>
          <w:p>
            <w:pPr>
              <w:pStyle w:val="Compact"/>
            </w:pPr>
            <w:r>
              <w:t xml:space="preserve">ISO 639-1 language code for UI labels and system-generated documents.</w:t>
            </w:r>
          </w:p>
        </w:tc>
      </w:tr>
      <w:tr>
        <w:tc>
          <w:tcPr/>
          <w:p>
            <w:pPr>
              <w:pStyle w:val="Compact"/>
            </w:pPr>
            <w:r>
              <w:t xml:space="preserve">Date format</w:t>
            </w:r>
          </w:p>
        </w:tc>
        <w:tc>
          <w:tcPr/>
          <w:p>
            <w:pPr>
              <w:pStyle w:val="Compact"/>
            </w:pPr>
            <w:r>
              <w:t xml:space="preserve">Display format string (e.g.,</w:t>
            </w:r>
            <w:r>
              <w:t xml:space="preserve"> </w:t>
            </w:r>
            <w:r>
              <w:rPr>
                <w:rStyle w:val="VerbatimChar"/>
              </w:rPr>
              <w:t xml:space="preserve">DD/MM/YYYY</w:t>
            </w:r>
            <w:r>
              <w:t xml:space="preserve"> </w:t>
            </w:r>
            <w:r>
              <w:t xml:space="preserve">for Uganda,</w:t>
            </w:r>
            <w:r>
              <w:t xml:space="preserve"> </w:t>
            </w:r>
            <w:r>
              <w:rPr>
                <w:rStyle w:val="VerbatimChar"/>
              </w:rPr>
              <w:t xml:space="preserve">MM/DD/YYYY</w:t>
            </w:r>
            <w:r>
              <w:t xml:space="preserve"> </w:t>
            </w:r>
            <w:r>
              <w:t xml:space="preserve">for US).</w:t>
            </w:r>
          </w:p>
        </w:tc>
      </w:tr>
      <w:tr>
        <w:tc>
          <w:tcPr/>
          <w:p>
            <w:pPr>
              <w:pStyle w:val="Compact"/>
            </w:pPr>
            <w:r>
              <w:t xml:space="preserve">Financial year</w:t>
            </w:r>
          </w:p>
        </w:tc>
        <w:tc>
          <w:tcPr/>
          <w:p>
            <w:pPr>
              <w:pStyle w:val="Compact"/>
            </w:pPr>
            <w:r>
              <w:t xml:space="preserve">Start month of the financial year (e.g., July for Uganda government entities, January for calendar-year businesses).</w:t>
            </w:r>
          </w:p>
        </w:tc>
      </w:tr>
      <w:tr>
        <w:tc>
          <w:tcPr/>
          <w:p>
            <w:pPr>
              <w:pStyle w:val="Compact"/>
            </w:pPr>
            <w:r>
              <w:t xml:space="preserve">VAT configuration</w:t>
            </w:r>
          </w:p>
        </w:tc>
        <w:tc>
          <w:tcPr/>
          <w:p>
            <w:pPr>
              <w:pStyle w:val="Compact"/>
            </w:pPr>
            <w:r>
              <w:t xml:space="preserve">VAT registration threshold, standard VAT rate, exempt categories, VAT return format.</w:t>
            </w:r>
          </w:p>
        </w:tc>
      </w:tr>
      <w:tr>
        <w:tc>
          <w:tcPr/>
          <w:p>
            <w:pPr>
              <w:pStyle w:val="Compact"/>
            </w:pPr>
            <w:r>
              <w:t xml:space="preserve">Statutory deductions</w:t>
            </w:r>
          </w:p>
        </w:tc>
        <w:tc>
          <w:tcPr/>
          <w:p>
            <w:pPr>
              <w:pStyle w:val="Compact"/>
            </w:pPr>
            <w:r>
              <w:t xml:space="preserve">Ordered list of statutory deduction rules (e.g., PAYE bands, NSSF employer/employee rates for Uganda; NHIF, NSSF for Kenya). Each rule references a formula or rate table resolved at payroll run time.</w:t>
            </w:r>
          </w:p>
        </w:tc>
      </w:tr>
      <w:tr>
        <w:tc>
          <w:tcPr/>
          <w:p>
            <w:pPr>
              <w:pStyle w:val="Compact"/>
            </w:pPr>
            <w:r>
              <w:t xml:space="preserve">Chart of Accounts starter</w:t>
            </w:r>
          </w:p>
        </w:tc>
        <w:tc>
          <w:tcPr/>
          <w:p>
            <w:pPr>
              <w:pStyle w:val="Compact"/>
            </w:pPr>
            <w:r>
              <w:t xml:space="preserve">The COA template applied when the tenant is provisioned. After provisioning, the tenant may customise their COA.</w:t>
            </w:r>
          </w:p>
        </w:tc>
      </w:tr>
      <w:tr>
        <w:tc>
          <w:tcPr/>
          <w:p>
            <w:pPr>
              <w:pStyle w:val="Compact"/>
            </w:pPr>
            <w:r>
              <w:t xml:space="preserve">Invoice legal text</w:t>
            </w:r>
          </w:p>
        </w:tc>
        <w:tc>
          <w:tcPr/>
          <w:p>
            <w:pPr>
              <w:pStyle w:val="Compact"/>
            </w:pPr>
            <w:r>
              <w:t xml:space="preserve">Jurisdiction-required text printed on invoices (e.g., tax registration number format, payment terms mandated by regulation).</w:t>
            </w:r>
          </w:p>
        </w:tc>
      </w:tr>
      <w:tr>
        <w:tc>
          <w:tcPr/>
          <w:p>
            <w:pPr>
              <w:pStyle w:val="Compact"/>
            </w:pPr>
            <w:r>
              <w:t xml:space="preserve">Payment gateways</w:t>
            </w:r>
          </w:p>
        </w:tc>
        <w:tc>
          <w:tcPr/>
          <w:p>
            <w:pPr>
              <w:pStyle w:val="Compact"/>
            </w:pPr>
            <w:r>
              <w:t xml:space="preserve">Ordered list of enabled mobile money and payment gateway codes (e.g.,</w:t>
            </w:r>
            <w:r>
              <w:t xml:space="preserve"> </w:t>
            </w:r>
            <w:r>
              <w:rPr>
                <w:rStyle w:val="VerbatimChar"/>
              </w:rPr>
              <w:t xml:space="preserve">MTN_MOMO_UG</w:t>
            </w:r>
            <w:r>
              <w:t xml:space="preserve">,</w:t>
            </w:r>
            <w:r>
              <w:t xml:space="preserve"> </w:t>
            </w:r>
            <w:r>
              <w:rPr>
                <w:rStyle w:val="VerbatimChar"/>
              </w:rPr>
              <w:t xml:space="preserve">AIRTEL_MONEY_UG</w:t>
            </w:r>
            <w:r>
              <w:t xml:space="preserve">,</w:t>
            </w:r>
            <w:r>
              <w:t xml:space="preserve"> </w:t>
            </w:r>
            <w:r>
              <w:rPr>
                <w:rStyle w:val="VerbatimChar"/>
              </w:rPr>
              <w:t xml:space="preserve">MPESA_KE</w:t>
            </w:r>
            <w:r>
              <w:t xml:space="preserve">).</w:t>
            </w:r>
          </w:p>
        </w:tc>
      </w:tr>
      <w:tr>
        <w:tc>
          <w:tcPr/>
          <w:p>
            <w:pPr>
              <w:pStyle w:val="Compact"/>
            </w:pPr>
            <w:r>
              <w:t xml:space="preserve">Fiscal receipt integration</w:t>
            </w:r>
          </w:p>
        </w:tc>
        <w:tc>
          <w:tcPr/>
          <w:p>
            <w:pPr>
              <w:pStyle w:val="Compact"/>
            </w:pPr>
            <w:r>
              <w:t xml:space="preserve">Whether the tenant is subject to electronic fiscal receipt requirements (e.g., URA EFRIS for Uganda) and the gateway code to use.</w:t>
            </w:r>
          </w:p>
        </w:tc>
      </w:tr>
      <w:tr>
        <w:tc>
          <w:tcPr/>
          <w:p>
            <w:pPr>
              <w:pStyle w:val="Compact"/>
            </w:pPr>
            <w:r>
              <w:t xml:space="preserve">Address format</w:t>
            </w:r>
          </w:p>
        </w:tc>
        <w:tc>
          <w:tcPr/>
          <w:p>
            <w:pPr>
              <w:pStyle w:val="Compact"/>
            </w:pPr>
            <w:r>
              <w:t xml:space="preserve">Field order and label set for postal addresses (varies by country).</w:t>
            </w:r>
          </w:p>
        </w:tc>
      </w:tr>
      <w:tr>
        <w:tc>
          <w:tcPr/>
          <w:p>
            <w:pPr>
              <w:pStyle w:val="Compact"/>
            </w:pPr>
            <w:r>
              <w:t xml:space="preserve">Phone format</w:t>
            </w:r>
          </w:p>
        </w:tc>
        <w:tc>
          <w:tcPr/>
          <w:p>
            <w:pPr>
              <w:pStyle w:val="Compact"/>
            </w:pPr>
            <w:r>
              <w:t xml:space="preserve">Country dial code and local number format validation rules.</w:t>
            </w:r>
          </w:p>
        </w:tc>
      </w:tr>
    </w:tbl>
    <w:bookmarkEnd w:id="102"/>
    <w:bookmarkStart w:id="103" w:name="X655eb1ae63e12a61c93063a19494e4cfed2af18"/>
    <w:p>
      <w:pPr>
        <w:pStyle w:val="Heading2"/>
      </w:pPr>
      <w:r>
        <w:t xml:space="preserve">9.3 How Services Consume the Localisation Profile</w:t>
      </w:r>
    </w:p>
    <w:p>
      <w:pPr>
        <w:pStyle w:val="FirstParagraph"/>
      </w:pPr>
      <w:r>
        <w:t xml:space="preserve">Services access the localisation profile exclusively through</w:t>
      </w:r>
      <w:r>
        <w:t xml:space="preserve"> </w:t>
      </w:r>
      <w:r>
        <w:rPr>
          <w:rStyle w:val="VerbatimChar"/>
        </w:rPr>
        <w:t xml:space="preserve">TenantContext::getLocalisationProfile()</w:t>
      </w:r>
      <w:r>
        <w:t xml:space="preserve">. The profile object exposes typed accessors — no service reads raw profile fields from the database directly.</w:t>
      </w:r>
    </w:p>
    <w:p>
      <w:pPr>
        <w:pStyle w:val="BodyText"/>
      </w:pPr>
      <w:r>
        <w:t xml:space="preserve">The design rule for localisation in functional requirements is:</w:t>
      </w:r>
      <w:r>
        <w:t xml:space="preserve"> </w:t>
      </w:r>
      <w:r>
        <w:rPr>
          <w:i/>
          <w:iCs/>
        </w:rPr>
        <w:t xml:space="preserve">"The system shall apply [rate/format/rule] from the tenant's active localisation profile."</w:t>
      </w:r>
      <w:r>
        <w:t xml:space="preserve"> </w:t>
      </w:r>
      <w:r>
        <w:t xml:space="preserve">The profile is the variable; the code is the constant.</w:t>
      </w:r>
    </w:p>
    <w:p>
      <w:pPr>
        <w:pStyle w:val="BodyText"/>
      </w:pPr>
      <w:r>
        <w:t xml:space="preserve">Example application in the HR &amp; Payroll module: "The system shall calculate PAYE by applying the income tax band table from the tenant's active localisation profile to the employee's gross taxable pay for the period." The same code path executes for a Uganda tenant (Uganda Income Tax Act bands) and a Kenya tenant (KRA iTax bands) because the band table is in the profile, not in the code.</w:t>
      </w:r>
    </w:p>
    <w:bookmarkEnd w:id="103"/>
    <w:bookmarkStart w:id="105" w:name="Xd02b650940204995aa26b2e8e1785acc4400acb"/>
    <w:p>
      <w:pPr>
        <w:pStyle w:val="Heading2"/>
      </w:pPr>
      <w:r>
        <w:t xml:space="preserve">9.4 Uganda Phase 1 Reference Implementation</w:t>
      </w:r>
    </w:p>
    <w:p>
      <w:pPr>
        <w:pStyle w:val="FirstParagraph"/>
      </w:pPr>
      <w:r>
        <w:t xml:space="preserve">Uganda is the Phase 1 reference implementation. The Uganda localisation profile is the first fully defined profile and serves as the template and validation baseline for all subsequent profiles.</w:t>
      </w:r>
    </w:p>
    <w:bookmarkStart w:id="104" w:name="uganda-profile-summary"/>
    <w:p>
      <w:pPr>
        <w:pStyle w:val="Heading3"/>
      </w:pPr>
      <w:r>
        <w:t xml:space="preserve">Uganda Profile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Uganda Phase 1 Value</w:t>
            </w:r>
          </w:p>
        </w:tc>
      </w:tr>
      <w:tr>
        <w:tc>
          <w:tcPr/>
          <w:p>
            <w:pPr>
              <w:pStyle w:val="Compact"/>
            </w:pPr>
            <w:r>
              <w:t xml:space="preserve">Currency</w:t>
            </w:r>
          </w:p>
        </w:tc>
        <w:tc>
          <w:tcPr/>
          <w:p>
            <w:pPr>
              <w:pStyle w:val="Compact"/>
            </w:pPr>
            <w:r>
              <w:rPr>
                <w:rStyle w:val="VerbatimChar"/>
              </w:rPr>
              <w:t xml:space="preserve">UGX</w:t>
            </w:r>
            <w:r>
              <w:t xml:space="preserve"> </w:t>
            </w:r>
            <w:r>
              <w:t xml:space="preserve">— Ugandan Shilling</w:t>
            </w:r>
          </w:p>
        </w:tc>
      </w:tr>
      <w:tr>
        <w:tc>
          <w:tcPr/>
          <w:p>
            <w:pPr>
              <w:pStyle w:val="Compact"/>
            </w:pPr>
            <w:r>
              <w:t xml:space="preserve">Language</w:t>
            </w:r>
          </w:p>
        </w:tc>
        <w:tc>
          <w:tcPr/>
          <w:p>
            <w:pPr>
              <w:pStyle w:val="Compact"/>
            </w:pPr>
            <w:r>
              <w:rPr>
                <w:rStyle w:val="VerbatimChar"/>
              </w:rPr>
              <w:t xml:space="preserve">en</w:t>
            </w:r>
            <w:r>
              <w:t xml:space="preserve"> </w:t>
            </w:r>
            <w:r>
              <w:t xml:space="preserve">— English</w:t>
            </w:r>
          </w:p>
        </w:tc>
      </w:tr>
      <w:tr>
        <w:tc>
          <w:tcPr/>
          <w:p>
            <w:pPr>
              <w:pStyle w:val="Compact"/>
            </w:pPr>
            <w:r>
              <w:t xml:space="preserve">Date format</w:t>
            </w:r>
          </w:p>
        </w:tc>
        <w:tc>
          <w:tcPr/>
          <w:p>
            <w:pPr>
              <w:pStyle w:val="Compact"/>
            </w:pPr>
            <w:r>
              <w:rPr>
                <w:rStyle w:val="VerbatimChar"/>
              </w:rPr>
              <w:t xml:space="preserve">DD/MM/YYYY</w:t>
            </w:r>
          </w:p>
        </w:tc>
      </w:tr>
      <w:tr>
        <w:tc>
          <w:tcPr/>
          <w:p>
            <w:pPr>
              <w:pStyle w:val="Compact"/>
            </w:pPr>
            <w:r>
              <w:t xml:space="preserve">Financial year start</w:t>
            </w:r>
          </w:p>
        </w:tc>
        <w:tc>
          <w:tcPr/>
          <w:p>
            <w:pPr>
              <w:pStyle w:val="Compact"/>
            </w:pPr>
            <w:r>
              <w:t xml:space="preserve">July (month 7)</w:t>
            </w:r>
          </w:p>
        </w:tc>
      </w:tr>
      <w:tr>
        <w:tc>
          <w:tcPr/>
          <w:p>
            <w:pPr>
              <w:pStyle w:val="Compact"/>
            </w:pPr>
            <w:r>
              <w:t xml:space="preserve">VAT standard rate</w:t>
            </w:r>
          </w:p>
        </w:tc>
        <w:tc>
          <w:tcPr/>
          <w:p>
            <w:pPr>
              <w:pStyle w:val="Compact"/>
            </w:pPr>
            <w:r>
              <w:t xml:space="preserve">18%</w:t>
            </w:r>
          </w:p>
        </w:tc>
      </w:tr>
      <w:tr>
        <w:tc>
          <w:tcPr/>
          <w:p>
            <w:pPr>
              <w:pStyle w:val="Compact"/>
            </w:pPr>
            <w:r>
              <w:t xml:space="preserve">PAYE bands</w:t>
            </w:r>
          </w:p>
        </w:tc>
        <w:tc>
          <w:tcPr/>
          <w:p>
            <w:pPr>
              <w:pStyle w:val="Compact"/>
            </w:pPr>
            <w:r>
              <w:t xml:space="preserve">Uganda Revenue Authority (URA) graduated scale</w:t>
            </w:r>
          </w:p>
        </w:tc>
      </w:tr>
      <w:tr>
        <w:tc>
          <w:tcPr/>
          <w:p>
            <w:pPr>
              <w:pStyle w:val="Compact"/>
            </w:pPr>
            <w:r>
              <w:t xml:space="preserve">NSSF contribution</w:t>
            </w:r>
          </w:p>
        </w:tc>
        <w:tc>
          <w:tcPr/>
          <w:p>
            <w:pPr>
              <w:pStyle w:val="Compact"/>
            </w:pPr>
            <w:r>
              <w:t xml:space="preserve">Employer 10%, Employee 5% of gross salary</w:t>
            </w:r>
          </w:p>
        </w:tc>
      </w:tr>
      <w:tr>
        <w:tc>
          <w:tcPr/>
          <w:p>
            <w:pPr>
              <w:pStyle w:val="Compact"/>
            </w:pPr>
            <w:r>
              <w:t xml:space="preserve">COA starter</w:t>
            </w:r>
          </w:p>
        </w:tc>
        <w:tc>
          <w:tcPr/>
          <w:p>
            <w:pPr>
              <w:pStyle w:val="Compact"/>
            </w:pPr>
            <w:r>
              <w:t xml:space="preserve">Uganda IFRS-aligned COA with URA chart references</w:t>
            </w:r>
          </w:p>
        </w:tc>
      </w:tr>
      <w:tr>
        <w:tc>
          <w:tcPr/>
          <w:p>
            <w:pPr>
              <w:pStyle w:val="Compact"/>
            </w:pPr>
            <w:r>
              <w:t xml:space="preserve">Invoice legal text</w:t>
            </w:r>
          </w:p>
        </w:tc>
        <w:tc>
          <w:tcPr/>
          <w:p>
            <w:pPr>
              <w:pStyle w:val="Compact"/>
            </w:pPr>
            <w:r>
              <w:t xml:space="preserve">TIN required; VAT registration number if VAT-registered</w:t>
            </w:r>
          </w:p>
        </w:tc>
      </w:tr>
      <w:tr>
        <w:tc>
          <w:tcPr/>
          <w:p>
            <w:pPr>
              <w:pStyle w:val="Compact"/>
            </w:pPr>
            <w:r>
              <w:t xml:space="preserve">Mobile money gateways</w:t>
            </w:r>
          </w:p>
        </w:tc>
        <w:tc>
          <w:tcPr/>
          <w:p>
            <w:pPr>
              <w:pStyle w:val="Compact"/>
            </w:pPr>
            <w:r>
              <w:t xml:space="preserve">MTN Mobile Money Uganda (</w:t>
            </w:r>
            <w:r>
              <w:rPr>
                <w:rStyle w:val="VerbatimChar"/>
              </w:rPr>
              <w:t xml:space="preserve">MTN_MOMO_UG</w:t>
            </w:r>
            <w:r>
              <w:t xml:space="preserve">), Airtel Money Uganda (</w:t>
            </w:r>
            <w:r>
              <w:rPr>
                <w:rStyle w:val="VerbatimChar"/>
              </w:rPr>
              <w:t xml:space="preserve">AIRTEL_MONEY_UG</w:t>
            </w:r>
            <w:r>
              <w:t xml:space="preserve">)</w:t>
            </w:r>
          </w:p>
        </w:tc>
      </w:tr>
      <w:tr>
        <w:tc>
          <w:tcPr/>
          <w:p>
            <w:pPr>
              <w:pStyle w:val="Compact"/>
            </w:pPr>
            <w:r>
              <w:t xml:space="preserve">Fiscal receipt</w:t>
            </w:r>
          </w:p>
        </w:tc>
        <w:tc>
          <w:tcPr/>
          <w:p>
            <w:pPr>
              <w:pStyle w:val="Compact"/>
            </w:pPr>
            <w:r>
              <w:t xml:space="preserve">URA EFRIS (</w:t>
            </w:r>
            <w:r>
              <w:rPr>
                <w:rStyle w:val="VerbatimChar"/>
              </w:rPr>
              <w:t xml:space="preserve">URA_EFRIS</w:t>
            </w:r>
            <w:r>
              <w:t xml:space="preserve">) — required for VAT-registered tenants</w:t>
            </w:r>
          </w:p>
        </w:tc>
      </w:tr>
      <w:tr>
        <w:tc>
          <w:tcPr/>
          <w:p>
            <w:pPr>
              <w:pStyle w:val="Compact"/>
            </w:pPr>
            <w:r>
              <w:t xml:space="preserve">NITA-U compliance</w:t>
            </w:r>
          </w:p>
        </w:tc>
        <w:tc>
          <w:tcPr/>
          <w:p>
            <w:pPr>
              <w:pStyle w:val="Compact"/>
            </w:pPr>
            <w:r>
              <w:t xml:space="preserve">Cloud SaaS provider obligations per NITA-U SaaS Guidelines</w:t>
            </w:r>
          </w:p>
        </w:tc>
      </w:tr>
    </w:tbl>
    <w:bookmarkEnd w:id="104"/>
    <w:bookmarkEnd w:id="105"/>
    <w:bookmarkStart w:id="106" w:name="X319d4d560a6690abe673c9014691b5686d90062"/>
    <w:p>
      <w:pPr>
        <w:pStyle w:val="Heading2"/>
      </w:pPr>
      <w:r>
        <w:t xml:space="preserve">9.5 Localisation Profile Versioning</w:t>
      </w:r>
    </w:p>
    <w:p>
      <w:pPr>
        <w:pStyle w:val="FirstParagraph"/>
      </w:pPr>
      <w:r>
        <w:t xml:space="preserve">Statutory rates (PAYE bands, NSSF rates, VAT rates) change when governments enact new legislation. The</w:t>
      </w:r>
      <w:r>
        <w:t xml:space="preserve"> </w:t>
      </w:r>
      <w:r>
        <w:rPr>
          <w:rStyle w:val="VerbatimChar"/>
        </w:rPr>
        <w:t xml:space="preserve">localisation_profiles</w:t>
      </w:r>
      <w:r>
        <w:t xml:space="preserve"> </w:t>
      </w:r>
      <w:r>
        <w:t xml:space="preserve">table supports versioned rate tables linked by effective date. When a new financial year begins or new rates are gazetted, Chwezi operators publish a new rate table version. The system applies the rate table version whose effective date is ≤ the transaction date, ensuring that historical payroll runs and financial reports remain accurate without retroactive data corruption.</w:t>
      </w:r>
    </w:p>
    <w:bookmarkEnd w:id="106"/>
    <w:bookmarkStart w:id="107" w:name="Xf5132e356c7b8983610c3d6350bb82ebec7d3b4"/>
    <w:p>
      <w:pPr>
        <w:pStyle w:val="Heading2"/>
      </w:pPr>
      <w:r>
        <w:t xml:space="preserve">9.6 Adding a New Market</w:t>
      </w:r>
    </w:p>
    <w:p>
      <w:pPr>
        <w:pStyle w:val="FirstParagraph"/>
      </w:pPr>
      <w:r>
        <w:t xml:space="preserve">The process for extending Kraal Code to a new country is:</w:t>
      </w:r>
    </w:p>
    <w:p>
      <w:pPr>
        <w:pStyle w:val="Compact"/>
        <w:numPr>
          <w:ilvl w:val="0"/>
          <w:numId w:val="1018"/>
        </w:numPr>
      </w:pPr>
      <w:r>
        <w:t xml:space="preserve">Create a localisation profile record for the new jurisdiction, populating all dimensions listed in Section 9.2.</w:t>
      </w:r>
    </w:p>
    <w:p>
      <w:pPr>
        <w:pStyle w:val="Compact"/>
        <w:numPr>
          <w:ilvl w:val="0"/>
          <w:numId w:val="1018"/>
        </w:numPr>
      </w:pPr>
      <w:r>
        <w:t xml:space="preserve">Define the statutory deduction rules and rate tables for the jurisdiction.</w:t>
      </w:r>
    </w:p>
    <w:p>
      <w:pPr>
        <w:pStyle w:val="Compact"/>
        <w:numPr>
          <w:ilvl w:val="0"/>
          <w:numId w:val="1018"/>
        </w:numPr>
      </w:pPr>
      <w:r>
        <w:t xml:space="preserve">Configure the applicable payment gateway integrations (if not already available in the Integration Layer).</w:t>
      </w:r>
    </w:p>
    <w:p>
      <w:pPr>
        <w:pStyle w:val="Compact"/>
        <w:numPr>
          <w:ilvl w:val="0"/>
          <w:numId w:val="1018"/>
        </w:numPr>
      </w:pPr>
      <w:r>
        <w:t xml:space="preserve">If a fiscal receipt integration is required, implement the gateway adapter in the Integration Layer service.</w:t>
      </w:r>
    </w:p>
    <w:p>
      <w:pPr>
        <w:pStyle w:val="Compact"/>
        <w:numPr>
          <w:ilvl w:val="0"/>
          <w:numId w:val="1018"/>
        </w:numPr>
      </w:pPr>
      <w:r>
        <w:t xml:space="preserve">Assign the profile to a test tenant, run the full functional test suite scoped to the new profile, and verify output documents against the jurisdiction's regulatory requirements.</w:t>
      </w:r>
    </w:p>
    <w:p>
      <w:pPr>
        <w:pStyle w:val="Compact"/>
        <w:numPr>
          <w:ilvl w:val="0"/>
          <w:numId w:val="1018"/>
        </w:numPr>
      </w:pPr>
      <w:r>
        <w:t xml:space="preserve">Make the profile available for selection during tenant provisioning in the Super Admin Panel.</w:t>
      </w:r>
    </w:p>
    <w:p>
      <w:pPr>
        <w:pStyle w:val="FirstParagraph"/>
      </w:pPr>
      <w:r>
        <w:t xml:space="preserve">No application code is modified, no deployment is required, and existing tenants are unaffected.</w:t>
      </w:r>
    </w:p>
    <w:bookmarkEnd w:id="107"/>
    <w:bookmarkEnd w:id="108"/>
    <w:bookmarkStart w:id="119" w:name="mobile-architecture"/>
    <w:p>
      <w:pPr>
        <w:pStyle w:val="Heading1"/>
      </w:pPr>
      <w:r>
        <w:t xml:space="preserve">Mobile Architecture</w:t>
      </w:r>
    </w:p>
    <w:bookmarkStart w:id="109" w:name="Xf1286945ed726676dbb9ba9a7e00aca9f57558a"/>
    <w:p>
      <w:pPr>
        <w:pStyle w:val="Heading2"/>
      </w:pPr>
      <w:r>
        <w:t xml:space="preserve">10.1 Overview</w:t>
      </w:r>
    </w:p>
    <w:p>
      <w:pPr>
        <w:pStyle w:val="FirstParagraph"/>
      </w:pPr>
      <w:r>
        <w:t xml:space="preserve">Kraal Code shall deliver a native mobile experience for both Android and iOS platforms. The mobile applications are companion clients to the web platform: they consume the same tenant data through the JWT-secured Mobile API v1 and enforce the same multi-tenancy, RBAC, and localisation rules.</w:t>
      </w:r>
    </w:p>
    <w:bookmarkEnd w:id="109"/>
    <w:bookmarkStart w:id="110" w:name="X32b11c8c6795756e579eb09750c5c14ab3f1419"/>
    <w:p>
      <w:pPr>
        <w:pStyle w:val="Heading2"/>
      </w:pPr>
      <w:r>
        <w:t xml:space="preserve">10.2 Platform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Language</w:t>
            </w:r>
          </w:p>
        </w:tc>
        <w:tc>
          <w:tcPr/>
          <w:p>
            <w:pPr>
              <w:pStyle w:val="Compact"/>
            </w:pPr>
            <w:r>
              <w:t xml:space="preserve">UI Framework</w:t>
            </w:r>
          </w:p>
        </w:tc>
      </w:tr>
      <w:tr>
        <w:tc>
          <w:tcPr/>
          <w:p>
            <w:pPr>
              <w:pStyle w:val="Compact"/>
            </w:pPr>
            <w:r>
              <w:t xml:space="preserve">Android</w:t>
            </w:r>
          </w:p>
        </w:tc>
        <w:tc>
          <w:tcPr/>
          <w:p>
            <w:pPr>
              <w:pStyle w:val="Compact"/>
            </w:pPr>
            <w:r>
              <w:t xml:space="preserve">Kotlin</w:t>
            </w:r>
          </w:p>
        </w:tc>
        <w:tc>
          <w:tcPr/>
          <w:p>
            <w:pPr>
              <w:pStyle w:val="Compact"/>
            </w:pPr>
            <w:r>
              <w:t xml:space="preserve">Jetpack Compose</w:t>
            </w:r>
          </w:p>
        </w:tc>
      </w:tr>
      <w:tr>
        <w:tc>
          <w:tcPr/>
          <w:p>
            <w:pPr>
              <w:pStyle w:val="Compact"/>
            </w:pPr>
            <w:r>
              <w:t xml:space="preserve">iOS</w:t>
            </w:r>
          </w:p>
        </w:tc>
        <w:tc>
          <w:tcPr/>
          <w:p>
            <w:pPr>
              <w:pStyle w:val="Compact"/>
            </w:pPr>
            <w:r>
              <w:t xml:space="preserve">Swift</w:t>
            </w:r>
          </w:p>
        </w:tc>
        <w:tc>
          <w:tcPr/>
          <w:p>
            <w:pPr>
              <w:pStyle w:val="Compact"/>
            </w:pPr>
            <w:r>
              <w:t xml:space="preserve">SwiftUI</w:t>
            </w:r>
          </w:p>
        </w:tc>
      </w:tr>
    </w:tbl>
    <w:p>
      <w:pPr>
        <w:pStyle w:val="BodyText"/>
      </w:pPr>
      <w:r>
        <w:t xml:space="preserve">Both applications are built as native clients — no cross-platform bridge framework is used. Native development is chosen to maximise integration with device capabilities (biometric authentication, offline storage, push notifications, background sync).</w:t>
      </w:r>
    </w:p>
    <w:bookmarkEnd w:id="110"/>
    <w:bookmarkStart w:id="111" w:name="Xaab88ada69ef0d45c091f52506d3b48c7d13ba9"/>
    <w:p>
      <w:pPr>
        <w:pStyle w:val="Heading2"/>
      </w:pPr>
      <w:r>
        <w:t xml:space="preserve">10.3 API Integration</w:t>
      </w:r>
    </w:p>
    <w:p>
      <w:pPr>
        <w:pStyle w:val="FirstParagraph"/>
      </w:pPr>
      <w:r>
        <w:t xml:space="preserve">Both Android and iOS clients consume the Mobile API v1 at</w:t>
      </w:r>
      <w:r>
        <w:t xml:space="preserve"> </w:t>
      </w:r>
      <w:r>
        <w:rPr>
          <w:rStyle w:val="VerbatimChar"/>
        </w:rPr>
        <w:t xml:space="preserve">/public/api/mobile/v1/</w:t>
      </w:r>
      <w:r>
        <w:t xml:space="preserve">. All API communication uses:</w:t>
      </w:r>
    </w:p>
    <w:p>
      <w:pPr>
        <w:pStyle w:val="Compact"/>
        <w:numPr>
          <w:ilvl w:val="0"/>
          <w:numId w:val="1019"/>
        </w:numPr>
      </w:pPr>
      <w:r>
        <w:rPr>
          <w:b/>
          <w:bCs/>
        </w:rPr>
        <w:t xml:space="preserve">Protocol:</w:t>
      </w:r>
      <w:r>
        <w:t xml:space="preserve"> </w:t>
      </w:r>
      <w:r>
        <w:t xml:space="preserve">REST over HTTPS (TLS 1.3).</w:t>
      </w:r>
    </w:p>
    <w:p>
      <w:pPr>
        <w:pStyle w:val="Compact"/>
        <w:numPr>
          <w:ilvl w:val="0"/>
          <w:numId w:val="1019"/>
        </w:numPr>
      </w:pPr>
      <w:r>
        <w:rPr>
          <w:b/>
          <w:bCs/>
        </w:rPr>
        <w:t xml:space="preserve">Data format:</w:t>
      </w:r>
      <w:r>
        <w:t xml:space="preserve"> </w:t>
      </w:r>
      <w:r>
        <w:t xml:space="preserve">JSON.</w:t>
      </w:r>
    </w:p>
    <w:p>
      <w:pPr>
        <w:pStyle w:val="Compact"/>
        <w:numPr>
          <w:ilvl w:val="0"/>
          <w:numId w:val="1019"/>
        </w:numPr>
      </w:pPr>
      <w:r>
        <w:rPr>
          <w:b/>
          <w:bCs/>
        </w:rPr>
        <w:t xml:space="preserve">Authentication:</w:t>
      </w:r>
      <w:r>
        <w:t xml:space="preserve"> </w:t>
      </w:r>
      <w:r>
        <w:t xml:space="preserve">JWT Bearer token (see Section 6.3 for token structure and refresh rotation).</w:t>
      </w:r>
    </w:p>
    <w:p>
      <w:pPr>
        <w:pStyle w:val="Compact"/>
        <w:numPr>
          <w:ilvl w:val="0"/>
          <w:numId w:val="1019"/>
        </w:numPr>
      </w:pPr>
      <w:r>
        <w:rPr>
          <w:b/>
          <w:bCs/>
        </w:rPr>
        <w:t xml:space="preserve">Tenant isolation:</w:t>
      </w:r>
      <w:r>
        <w:t xml:space="preserve"> </w:t>
      </w:r>
      <w:r>
        <w:t xml:space="preserve">The</w:t>
      </w:r>
      <w:r>
        <w:t xml:space="preserve"> </w:t>
      </w:r>
      <w:r>
        <w:rPr>
          <w:rStyle w:val="VerbatimChar"/>
        </w:rPr>
        <w:t xml:space="preserve">tid</w:t>
      </w:r>
      <w:r>
        <w:t xml:space="preserve"> </w:t>
      </w:r>
      <w:r>
        <w:t xml:space="preserve">JWT claim carries the</w:t>
      </w:r>
      <w:r>
        <w:t xml:space="preserve"> </w:t>
      </w:r>
      <w:r>
        <w:rPr>
          <w:rStyle w:val="VerbatimChar"/>
        </w:rPr>
        <w:t xml:space="preserve">tenant_id</w:t>
      </w:r>
      <w:r>
        <w:t xml:space="preserve">. The mobile client never sends</w:t>
      </w:r>
      <w:r>
        <w:t xml:space="preserve"> </w:t>
      </w:r>
      <w:r>
        <w:rPr>
          <w:rStyle w:val="VerbatimChar"/>
        </w:rPr>
        <w:t xml:space="preserve">tenant_id</w:t>
      </w:r>
      <w:r>
        <w:t xml:space="preserve"> </w:t>
      </w:r>
      <w:r>
        <w:t xml:space="preserve">as a request body parameter — the server always derives it from the validated token.</w:t>
      </w:r>
    </w:p>
    <w:bookmarkEnd w:id="111"/>
    <w:bookmarkStart w:id="114" w:name="X45409f37852be2dba487af26fe22c4ecca0a117"/>
    <w:p>
      <w:pPr>
        <w:pStyle w:val="Heading2"/>
      </w:pPr>
      <w:r>
        <w:t xml:space="preserve">10.4 Offline Sync Architecture</w:t>
      </w:r>
    </w:p>
    <w:p>
      <w:pPr>
        <w:pStyle w:val="FirstParagraph"/>
      </w:pPr>
      <w:r>
        <w:t xml:space="preserve">Network conditions in Uganda and East Africa range from fibre broadband (≥ 10 Mbps) to intermittent 2G/EDGE (&lt; 200 kbps). The mobile architecture shall maintain core functionality at ≤ 200 kbps connection throughput.</w:t>
      </w:r>
    </w:p>
    <w:bookmarkStart w:id="112" w:name="sync-protocol"/>
    <w:p>
      <w:pPr>
        <w:pStyle w:val="Heading3"/>
      </w:pPr>
      <w:r>
        <w:t xml:space="preserve">Sync Protocol</w:t>
      </w:r>
    </w:p>
    <w:p>
      <w:pPr>
        <w:pStyle w:val="FirstParagraph"/>
      </w:pPr>
      <w:r>
        <w:t xml:space="preserve">The system uses a last-modified timestamp synchronisation protocol:</w:t>
      </w:r>
    </w:p>
    <w:p>
      <w:pPr>
        <w:pStyle w:val="Compact"/>
        <w:numPr>
          <w:ilvl w:val="0"/>
          <w:numId w:val="1020"/>
        </w:numPr>
      </w:pPr>
      <w:r>
        <w:t xml:space="preserve">The mobile client stores a</w:t>
      </w:r>
      <w:r>
        <w:t xml:space="preserve"> </w:t>
      </w:r>
      <w:r>
        <w:rPr>
          <w:rStyle w:val="VerbatimChar"/>
        </w:rPr>
        <w:t xml:space="preserve">last_sync_timestamp</w:t>
      </w:r>
      <w:r>
        <w:t xml:space="preserve"> </w:t>
      </w:r>
      <w:r>
        <w:t xml:space="preserve">per entity type (e.g., customers, items, invoices).</w:t>
      </w:r>
    </w:p>
    <w:p>
      <w:pPr>
        <w:pStyle w:val="Compact"/>
        <w:numPr>
          <w:ilvl w:val="0"/>
          <w:numId w:val="1020"/>
        </w:numPr>
      </w:pPr>
      <w:r>
        <w:t xml:space="preserve">On sync, the client sends a request to the relevant sync endpoint with the</w:t>
      </w:r>
      <w:r>
        <w:t xml:space="preserve"> </w:t>
      </w:r>
      <w:r>
        <w:rPr>
          <w:rStyle w:val="VerbatimChar"/>
        </w:rPr>
        <w:t xml:space="preserve">last_modified</w:t>
      </w:r>
      <w:r>
        <w:t xml:space="preserve"> </w:t>
      </w:r>
      <w:r>
        <w:t xml:space="preserve">query parameter set to the stored timestamp.</w:t>
      </w:r>
    </w:p>
    <w:p>
      <w:pPr>
        <w:pStyle w:val="Compact"/>
        <w:numPr>
          <w:ilvl w:val="0"/>
          <w:numId w:val="1020"/>
        </w:numPr>
      </w:pPr>
      <w:r>
        <w:t xml:space="preserve">The server returns only records modified after that timestamp (delta sync).</w:t>
      </w:r>
    </w:p>
    <w:p>
      <w:pPr>
        <w:pStyle w:val="Compact"/>
        <w:numPr>
          <w:ilvl w:val="0"/>
          <w:numId w:val="1020"/>
        </w:numPr>
      </w:pPr>
      <w:r>
        <w:t xml:space="preserve">The client applies the delta to its local store and updates</w:t>
      </w:r>
      <w:r>
        <w:t xml:space="preserve"> </w:t>
      </w:r>
      <w:r>
        <w:rPr>
          <w:rStyle w:val="VerbatimChar"/>
        </w:rPr>
        <w:t xml:space="preserve">last_sync_timestamp</w:t>
      </w:r>
      <w:r>
        <w:t xml:space="preserve">.</w:t>
      </w:r>
    </w:p>
    <w:bookmarkEnd w:id="112"/>
    <w:bookmarkStart w:id="113" w:name="Xd2544c0572e14a3e0340143e02312d3283f7c30"/>
    <w:p>
      <w:pPr>
        <w:pStyle w:val="Heading3"/>
      </w:pPr>
      <w:r>
        <w:t xml:space="preserve">Outgrower &amp; Farmer Operations Offline Mode (Add-on, Target State)</w:t>
      </w:r>
    </w:p>
    <w:p>
      <w:pPr>
        <w:pStyle w:val="FirstParagraph"/>
      </w:pPr>
      <w:r>
        <w:t xml:space="preserve">When the</w:t>
      </w:r>
      <w:r>
        <w:t xml:space="preserve"> </w:t>
      </w:r>
      <w:r>
        <w:rPr>
          <w:rStyle w:val="VerbatimChar"/>
        </w:rPr>
        <w:t xml:space="preserve">COOP_PROCUREMENT</w:t>
      </w:r>
      <w:r>
        <w:t xml:space="preserve"> </w:t>
      </w:r>
      <w:r>
        <w:t xml:space="preserve">add-on is enabled and its mobile intake contract is delivered, it shall support offline intake for up to 72 hours. This is a target-state requirement, not a claim that the current Kraal Code mobile API and client fully implement the workflow. Field agents operating at farmer collection points without connectivity shall be able to:</w:t>
      </w:r>
    </w:p>
    <w:p>
      <w:pPr>
        <w:pStyle w:val="Compact"/>
        <w:numPr>
          <w:ilvl w:val="0"/>
          <w:numId w:val="1021"/>
        </w:numPr>
      </w:pPr>
      <w:r>
        <w:t xml:space="preserve">Record commodity intake transactions (commodity type, weight, grading, farmer identity).</w:t>
      </w:r>
    </w:p>
    <w:p>
      <w:pPr>
        <w:pStyle w:val="Compact"/>
        <w:numPr>
          <w:ilvl w:val="0"/>
          <w:numId w:val="1021"/>
        </w:numPr>
      </w:pPr>
      <w:r>
        <w:t xml:space="preserve">View the farmer's running balance and previous intake records (last synced).</w:t>
      </w:r>
    </w:p>
    <w:p>
      <w:pPr>
        <w:pStyle w:val="Compact"/>
        <w:numPr>
          <w:ilvl w:val="0"/>
          <w:numId w:val="1021"/>
        </w:numPr>
      </w:pPr>
      <w:r>
        <w:t xml:space="preserve">Issue printed or on-screen acknowledgement receipts.</w:t>
      </w:r>
    </w:p>
    <w:p>
      <w:pPr>
        <w:pStyle w:val="FirstParagraph"/>
      </w:pPr>
      <w:r>
        <w:t xml:space="preserve">On reconnection, the system shall sync all pending offline transactions to the server within 60 seconds (NFR-MOBILE-001). The delivered design must use server-authoritative validation and explicit conflict classification; last-write-wins is not acceptable for financial or inventory-affecting intake without supervisor approval. Conflicts must remain visible in the audit and reconciliation workbench.</w:t>
      </w:r>
    </w:p>
    <w:bookmarkEnd w:id="113"/>
    <w:bookmarkEnd w:id="114"/>
    <w:bookmarkStart w:id="115" w:name="X61686e855512c9ff182be053af0888895edc02a"/>
    <w:p>
      <w:pPr>
        <w:pStyle w:val="Heading2"/>
      </w:pPr>
      <w:r>
        <w:t xml:space="preserve">10.5 Push Notifications</w:t>
      </w:r>
    </w:p>
    <w:p>
      <w:pPr>
        <w:pStyle w:val="FirstParagraph"/>
      </w:pPr>
      <w:r>
        <w:t xml:space="preserve">The mobile applications shall receive push notifications for the following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w:t>
            </w:r>
          </w:p>
        </w:tc>
        <w:tc>
          <w:tcPr/>
          <w:p>
            <w:pPr>
              <w:pStyle w:val="Compact"/>
            </w:pPr>
            <w:r>
              <w:t xml:space="preserve">Trigger</w:t>
            </w:r>
          </w:p>
        </w:tc>
      </w:tr>
      <w:tr>
        <w:tc>
          <w:tcPr/>
          <w:p>
            <w:pPr>
              <w:pStyle w:val="Compact"/>
            </w:pPr>
            <w:r>
              <w:t xml:space="preserve">Approval required</w:t>
            </w:r>
          </w:p>
        </w:tc>
        <w:tc>
          <w:tcPr/>
          <w:p>
            <w:pPr>
              <w:pStyle w:val="Compact"/>
            </w:pPr>
            <w:r>
              <w:t xml:space="preserve">A document (purchase order, leave request, payment) is routed to the user for approval.</w:t>
            </w:r>
          </w:p>
        </w:tc>
      </w:tr>
      <w:tr>
        <w:tc>
          <w:tcPr/>
          <w:p>
            <w:pPr>
              <w:pStyle w:val="Compact"/>
            </w:pPr>
            <w:r>
              <w:t xml:space="preserve">Payment confirmation</w:t>
            </w:r>
          </w:p>
        </w:tc>
        <w:tc>
          <w:tcPr/>
          <w:p>
            <w:pPr>
              <w:pStyle w:val="Compact"/>
            </w:pPr>
            <w:r>
              <w:t xml:space="preserve">A mobile money payment initiated from the app is confirmed by the gateway.</w:t>
            </w:r>
          </w:p>
        </w:tc>
      </w:tr>
      <w:tr>
        <w:tc>
          <w:tcPr/>
          <w:p>
            <w:pPr>
              <w:pStyle w:val="Compact"/>
            </w:pPr>
            <w:r>
              <w:t xml:space="preserve">Stock alert</w:t>
            </w:r>
          </w:p>
        </w:tc>
        <w:tc>
          <w:tcPr/>
          <w:p>
            <w:pPr>
              <w:pStyle w:val="Compact"/>
            </w:pPr>
            <w:r>
              <w:t xml:space="preserve">A stock item falls below its reorder level (where the user has inventory management access).</w:t>
            </w:r>
          </w:p>
        </w:tc>
      </w:tr>
      <w:tr>
        <w:tc>
          <w:tcPr/>
          <w:p>
            <w:pPr>
              <w:pStyle w:val="Compact"/>
            </w:pPr>
            <w:r>
              <w:t xml:space="preserve">Payslip published</w:t>
            </w:r>
          </w:p>
        </w:tc>
        <w:tc>
          <w:tcPr/>
          <w:p>
            <w:pPr>
              <w:pStyle w:val="Compact"/>
            </w:pPr>
            <w:r>
              <w:t xml:space="preserve">HR publishes payslips for the current period (employee self-service).</w:t>
            </w:r>
          </w:p>
        </w:tc>
      </w:tr>
    </w:tbl>
    <w:p>
      <w:pPr>
        <w:pStyle w:val="BodyText"/>
      </w:pPr>
      <w:r>
        <w:t xml:space="preserve">Push notification delivery uses the platform notification service. The mobile app registers a device token on login; the server routes notifications to the device token associated with the authenticated user.</w:t>
      </w:r>
    </w:p>
    <w:bookmarkEnd w:id="115"/>
    <w:bookmarkStart w:id="116" w:name="X5dcef970392873e8868e2ac85edd8d0167ca091"/>
    <w:p>
      <w:pPr>
        <w:pStyle w:val="Heading2"/>
      </w:pPr>
      <w:r>
        <w:t xml:space="preserve">10.6 Data-Lite Mode</w:t>
      </w:r>
    </w:p>
    <w:p>
      <w:pPr>
        <w:pStyle w:val="FirstParagraph"/>
      </w:pPr>
      <w:r>
        <w:t xml:space="preserve">For users on 3G or low-bandwidth connections, the mobile app shall support a data-lite mode that:</w:t>
      </w:r>
    </w:p>
    <w:p>
      <w:pPr>
        <w:pStyle w:val="Compact"/>
        <w:numPr>
          <w:ilvl w:val="0"/>
          <w:numId w:val="1022"/>
        </w:numPr>
      </w:pPr>
      <w:r>
        <w:t xml:space="preserve">Compresses API responses (gzip/deflate, HTTP</w:t>
      </w:r>
      <w:r>
        <w:t xml:space="preserve"> </w:t>
      </w:r>
      <w:r>
        <w:rPr>
          <w:rStyle w:val="VerbatimChar"/>
        </w:rPr>
        <w:t xml:space="preserve">Accept-Encoding</w:t>
      </w:r>
      <w:r>
        <w:t xml:space="preserve">).</w:t>
      </w:r>
    </w:p>
    <w:p>
      <w:pPr>
        <w:pStyle w:val="Compact"/>
        <w:numPr>
          <w:ilvl w:val="0"/>
          <w:numId w:val="1022"/>
        </w:numPr>
      </w:pPr>
      <w:r>
        <w:t xml:space="preserve">Defers loading of non-critical images and charts until explicitly requested.</w:t>
      </w:r>
    </w:p>
    <w:p>
      <w:pPr>
        <w:pStyle w:val="Compact"/>
        <w:numPr>
          <w:ilvl w:val="0"/>
          <w:numId w:val="1022"/>
        </w:numPr>
      </w:pPr>
      <w:r>
        <w:t xml:space="preserve">Reduces pagination batch sizes to 20 records per request (compared to the standard 50).</w:t>
      </w:r>
    </w:p>
    <w:p>
      <w:pPr>
        <w:pStyle w:val="Compact"/>
        <w:numPr>
          <w:ilvl w:val="0"/>
          <w:numId w:val="1022"/>
        </w:numPr>
      </w:pPr>
      <w:r>
        <w:t xml:space="preserve">Disables auto-refresh polling; updates require a manual pull-to-refresh action.</w:t>
      </w:r>
    </w:p>
    <w:p>
      <w:pPr>
        <w:pStyle w:val="FirstParagraph"/>
      </w:pPr>
      <w:r>
        <w:t xml:space="preserve">Data-lite mode is activated manually by the user or automatically when the device reports a metered connection.</w:t>
      </w:r>
    </w:p>
    <w:bookmarkEnd w:id="116"/>
    <w:bookmarkStart w:id="117" w:name="Xee26173358858d4fbad25f1a3d07d29016393ed"/>
    <w:p>
      <w:pPr>
        <w:pStyle w:val="Heading2"/>
      </w:pPr>
      <w:r>
        <w:t xml:space="preserve">10.7 Biometric Authentication</w:t>
      </w:r>
    </w:p>
    <w:p>
      <w:pPr>
        <w:pStyle w:val="FirstParagraph"/>
      </w:pPr>
      <w:r>
        <w:t xml:space="preserve">The mobile app shall support biometric login (fingerprint and face recognition) on devices that provide the platform biometric API (Android BiometricPrompt; iOS LocalAuthentication). Biometric authentication unlocks a securely stored refresh token; the server is not involved in the biometric verification itself. The biometric-gated token must still pass server-side JWT validation on every API request.</w:t>
      </w:r>
    </w:p>
    <w:bookmarkEnd w:id="117"/>
    <w:bookmarkStart w:id="118" w:name="X441d8ee4c8b4891b4a33ceb823e45013905c373"/>
    <w:p>
      <w:pPr>
        <w:pStyle w:val="Heading2"/>
      </w:pPr>
      <w:r>
        <w:t xml:space="preserve">10.8 Mobile-Specific NFR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NFR ID</w:t>
            </w:r>
          </w:p>
        </w:tc>
        <w:tc>
          <w:tcPr/>
          <w:p>
            <w:pPr>
              <w:pStyle w:val="Compact"/>
            </w:pPr>
            <w:r>
              <w:t xml:space="preserve">Requirement</w:t>
            </w:r>
          </w:p>
        </w:tc>
      </w:tr>
      <w:tr>
        <w:tc>
          <w:tcPr/>
          <w:p>
            <w:pPr>
              <w:pStyle w:val="Compact"/>
            </w:pPr>
            <w:r>
              <w:t xml:space="preserve">NFR-MOBILE-001</w:t>
            </w:r>
          </w:p>
        </w:tc>
        <w:tc>
          <w:tcPr/>
          <w:p>
            <w:pPr>
              <w:pStyle w:val="Compact"/>
            </w:pPr>
            <w:r>
              <w:t xml:space="preserve">When the add-on is enabled, Outgrower &amp; Farmer Operations shall support offline intake for up to 72 hours and sync within 60 seconds of reconnection; acceptance evidence is pending implementation.</w:t>
            </w:r>
          </w:p>
        </w:tc>
      </w:tr>
      <w:tr>
        <w:tc>
          <w:tcPr/>
          <w:p>
            <w:pPr>
              <w:pStyle w:val="Compact"/>
            </w:pPr>
            <w:r>
              <w:t xml:space="preserve">NFR-PERF-003</w:t>
            </w:r>
          </w:p>
        </w:tc>
        <w:tc>
          <w:tcPr/>
          <w:p>
            <w:pPr>
              <w:pStyle w:val="Compact"/>
            </w:pPr>
            <w:r>
              <w:t xml:space="preserve">The Mobile API shall return any REST response in ≤ 500 ms at P95 under 50 concurrent mobile clients per tenant.</w:t>
            </w:r>
          </w:p>
        </w:tc>
      </w:tr>
      <w:tr>
        <w:tc>
          <w:tcPr/>
          <w:p>
            <w:pPr>
              <w:pStyle w:val="Compact"/>
            </w:pPr>
            <w:r>
              <w:t xml:space="preserve">NFR-SEC-001</w:t>
            </w:r>
          </w:p>
        </w:tc>
        <w:tc>
          <w:tcPr/>
          <w:p>
            <w:pPr>
              <w:pStyle w:val="Compact"/>
            </w:pPr>
            <w:r>
              <w:t xml:space="preserve">The</w:t>
            </w:r>
            <w:r>
              <w:t xml:space="preserve"> </w:t>
            </w:r>
            <w:r>
              <w:rPr>
                <w:rStyle w:val="VerbatimChar"/>
              </w:rPr>
              <w:t xml:space="preserve">tenant_id</w:t>
            </w:r>
            <w:r>
              <w:t xml:space="preserve"> </w:t>
            </w:r>
            <w:r>
              <w:t xml:space="preserve">shall always be derived from the validated JWT</w:t>
            </w:r>
            <w:r>
              <w:t xml:space="preserve"> </w:t>
            </w:r>
            <w:r>
              <w:rPr>
                <w:rStyle w:val="VerbatimChar"/>
              </w:rPr>
              <w:t xml:space="preserve">tid</w:t>
            </w:r>
            <w:r>
              <w:t xml:space="preserve"> </w:t>
            </w:r>
            <w:r>
              <w:t xml:space="preserve">claim — never from a request body parameter.</w:t>
            </w:r>
          </w:p>
        </w:tc>
      </w:tr>
    </w:tbl>
    <w:bookmarkEnd w:id="118"/>
    <w:bookmarkEnd w:id="119"/>
    <w:bookmarkStart w:id="126" w:name="architecture-decision-records"/>
    <w:p>
      <w:pPr>
        <w:pStyle w:val="Heading1"/>
      </w:pPr>
      <w:r>
        <w:t xml:space="preserve">Architecture Decision Records</w:t>
      </w:r>
    </w:p>
    <w:p>
      <w:pPr>
        <w:pStyle w:val="FirstParagraph"/>
      </w:pPr>
      <w:r>
        <w:t xml:space="preserve">Architecture Decision Records (ADRs) document significant architectural choices, the options considered, and the rationale for the decision taken. They provide the historical context needed to re-evaluate a decision when circumstances change.</w:t>
      </w:r>
    </w:p>
    <w:p>
      <w:r>
        <w:pict>
          <v:rect style="width:0;height:1.5pt" o:hralign="center" o:hrstd="t" o:hr="t"/>
        </w:pict>
      </w:r>
    </w:p>
    <w:bookmarkStart w:id="120" w:name="Xbf8b86b0d7cd60bda0185b3958a50427e76cc72"/>
    <w:p>
      <w:pPr>
        <w:pStyle w:val="Heading2"/>
      </w:pPr>
      <w:r>
        <w:t xml:space="preserve">ADR-001: Shared Database vs. Separate Database Per Tenant</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Multi-tenant SaaS platforms may isolate tenant data using (a) a separate database per tenant, (b) a separate schema per tenant within a shared database server, or (c) a shared database with row-level tenant isolation via a</w:t>
      </w:r>
      <w:r>
        <w:t xml:space="preserve"> </w:t>
      </w:r>
      <w:r>
        <w:rPr>
          <w:rStyle w:val="VerbatimChar"/>
        </w:rPr>
        <w:t xml:space="preserve">tenant_id</w:t>
      </w:r>
      <w:r>
        <w:t xml:space="preserve"> </w:t>
      </w:r>
      <w:r>
        <w:t xml:space="preserve">column on every operational table.</w:t>
      </w:r>
    </w:p>
    <w:p>
      <w:pPr>
        <w:pStyle w:val="BodyText"/>
      </w:pPr>
      <w:r>
        <w:rPr>
          <w:b/>
          <w:bCs/>
        </w:rPr>
        <w:t xml:space="preserve">Decision:</w:t>
      </w:r>
    </w:p>
    <w:p>
      <w:pPr>
        <w:pStyle w:val="BodyText"/>
      </w:pPr>
      <w:r>
        <w:t xml:space="preserve">The system adopts option (c): shared database with row-level tenant isolation.</w:t>
      </w:r>
    </w:p>
    <w:p>
      <w:pPr>
        <w:pStyle w:val="BodyText"/>
      </w:pPr>
      <w:r>
        <w:rPr>
          <w:b/>
          <w:bCs/>
        </w:rPr>
        <w:t xml:space="preserve">Rationale:</w:t>
      </w:r>
    </w:p>
    <w:p>
      <w:pPr>
        <w:pStyle w:val="Compact"/>
        <w:numPr>
          <w:ilvl w:val="0"/>
          <w:numId w:val="1023"/>
        </w:numPr>
      </w:pPr>
      <w:r>
        <w:t xml:space="preserve">A separate database per tenant requires dynamic database connection management, complicates migrations (each tenant database must be migrated independently), and increases operational cost linearly with tenant count.</w:t>
      </w:r>
    </w:p>
    <w:p>
      <w:pPr>
        <w:pStyle w:val="Compact"/>
        <w:numPr>
          <w:ilvl w:val="0"/>
          <w:numId w:val="1023"/>
        </w:numPr>
      </w:pPr>
      <w:r>
        <w:t xml:space="preserve">A separate schema per tenant has similar migration complexity and limited support in MySQL 9.1 connection pooling.</w:t>
      </w:r>
    </w:p>
    <w:p>
      <w:pPr>
        <w:pStyle w:val="Compact"/>
        <w:numPr>
          <w:ilvl w:val="0"/>
          <w:numId w:val="1023"/>
        </w:numPr>
      </w:pPr>
      <w:r>
        <w:t xml:space="preserve">A shared database with row-level isolation allows a single migration script to update all tenants simultaneously, simplifies the connection pool configuration, and reduces infrastructure cost at the SME price points targeted by Kraal Code.</w:t>
      </w:r>
    </w:p>
    <w:p>
      <w:pPr>
        <w:pStyle w:val="FirstParagraph"/>
      </w:pPr>
      <w:r>
        <w:rPr>
          <w:b/>
          <w:bCs/>
        </w:rPr>
        <w:t xml:space="preserve">Mitigation:</w:t>
      </w:r>
    </w:p>
    <w:p>
      <w:pPr>
        <w:pStyle w:val="BodyText"/>
      </w:pPr>
      <w:r>
        <w:t xml:space="preserve">Row-level isolation is enforced by strict application-layer controls:</w:t>
      </w:r>
      <w:r>
        <w:t xml:space="preserve"> </w:t>
      </w:r>
      <w:r>
        <w:rPr>
          <w:rStyle w:val="VerbatimChar"/>
        </w:rPr>
        <w:t xml:space="preserve">tenant_id</w:t>
      </w:r>
      <w:r>
        <w:t xml:space="preserve"> </w:t>
      </w:r>
      <w:r>
        <w:t xml:space="preserve">is always sourced from the authenticated session (never from request parameters); the middleware pipeline validates tenant context on every request; cross-tenant access returns HTTP 404 to prevent tenant enumeration; and all SQL queries are parameterised (no raw string concatenation). NFR-SEC-001 defines the compliance requirement.</w:t>
      </w:r>
    </w:p>
    <w:p>
      <w:pPr>
        <w:pStyle w:val="BodyText"/>
      </w:pPr>
      <w:r>
        <w:rPr>
          <w:b/>
          <w:bCs/>
        </w:rPr>
        <w:t xml:space="preserve">Trade-off Accepted:</w:t>
      </w:r>
    </w:p>
    <w:p>
      <w:pPr>
        <w:pStyle w:val="BodyText"/>
      </w:pPr>
      <w:r>
        <w:t xml:space="preserve">A misconfigured query that omits a</w:t>
      </w:r>
      <w:r>
        <w:t xml:space="preserve"> </w:t>
      </w:r>
      <w:r>
        <w:rPr>
          <w:rStyle w:val="VerbatimChar"/>
        </w:rPr>
        <w:t xml:space="preserve">WHERE tenant_id = ?</w:t>
      </w:r>
      <w:r>
        <w:t xml:space="preserve"> </w:t>
      </w:r>
      <w:r>
        <w:t xml:space="preserve">clause could expose cross-tenant data. This risk is mitigated by code review standards, PHPStan 1.11 static analysis, and the PHPUnit integration test suite which verifies tenant isolation on every data-access method.</w:t>
      </w:r>
    </w:p>
    <w:p>
      <w:r>
        <w:pict>
          <v:rect style="width:0;height:1.5pt" o:hralign="center" o:hrstd="t" o:hr="t"/>
        </w:pict>
      </w:r>
    </w:p>
    <w:bookmarkEnd w:id="120"/>
    <w:bookmarkStart w:id="121" w:name="Xd37e825f076155f4095a92338c11e67aadaa851"/>
    <w:p>
      <w:pPr>
        <w:pStyle w:val="Heading2"/>
      </w:pPr>
      <w:r>
        <w:t xml:space="preserve">ADR-002: PHP 8.3 + MySQL 9.1 vs. Node.js / PostgreSQL</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The backend technology stack must be chosen to support: a service-oriented architecture with dependency injection, a complex relational data model, a WAMP (Windows Apache MySQL PHP) development environment, and a solo developer with deep PHP expertise.</w:t>
      </w:r>
    </w:p>
    <w:p>
      <w:pPr>
        <w:pStyle w:val="BodyText"/>
      </w:pPr>
      <w:r>
        <w:rPr>
          <w:b/>
          <w:bCs/>
        </w:rPr>
        <w:t xml:space="preserve">Decision:</w:t>
      </w:r>
    </w:p>
    <w:p>
      <w:pPr>
        <w:pStyle w:val="BodyText"/>
      </w:pPr>
      <w:r>
        <w:t xml:space="preserve">The system adopts PHP 8.3 (strict types, PSR-4) with MySQL 9.1 (InnoDB, UTF8MB4).</w:t>
      </w:r>
    </w:p>
    <w:p>
      <w:pPr>
        <w:pStyle w:val="BodyText"/>
      </w:pPr>
      <w:r>
        <w:rPr>
          <w:b/>
          <w:bCs/>
        </w:rPr>
        <w:t xml:space="preserve">Rationale:</w:t>
      </w:r>
    </w:p>
    <w:p>
      <w:pPr>
        <w:pStyle w:val="Compact"/>
        <w:numPr>
          <w:ilvl w:val="0"/>
          <w:numId w:val="1024"/>
        </w:numPr>
      </w:pPr>
      <w:r>
        <w:t xml:space="preserve">The lead developer's primary expertise is PHP. A technology switch would introduce learning-curve risk without a clear technical benefit for this use case.</w:t>
      </w:r>
    </w:p>
    <w:p>
      <w:pPr>
        <w:pStyle w:val="Compact"/>
        <w:numPr>
          <w:ilvl w:val="0"/>
          <w:numId w:val="1024"/>
        </w:numPr>
      </w:pPr>
      <w:r>
        <w:t xml:space="preserve">PHP 8.3 offers strong type safety (strict types declaration), modern object-oriented features, named arguments, and fibers. PHP-DI 7.0 provides a production-grade dependency injection container.</w:t>
      </w:r>
    </w:p>
    <w:p>
      <w:pPr>
        <w:pStyle w:val="Compact"/>
        <w:numPr>
          <w:ilvl w:val="0"/>
          <w:numId w:val="1024"/>
        </w:numPr>
      </w:pPr>
      <w:r>
        <w:t xml:space="preserve">MySQL 9.1 InnoDB is the default engine in the WAMP development environment, ensuring parity between development and production. MySQL's stored procedure support is used for complex transactional operations (General Ledger posting, sequential numbering).</w:t>
      </w:r>
    </w:p>
    <w:p>
      <w:pPr>
        <w:pStyle w:val="Compact"/>
        <w:numPr>
          <w:ilvl w:val="0"/>
          <w:numId w:val="1024"/>
        </w:numPr>
      </w:pPr>
      <w:r>
        <w:t xml:space="preserve">The PHP ecosystem provides mature, well-maintained libraries for every integration requirement:</w:t>
      </w:r>
      <w:r>
        <w:t xml:space="preserve"> </w:t>
      </w:r>
      <w:r>
        <w:rPr>
          <w:rStyle w:val="VerbatimChar"/>
        </w:rPr>
        <w:t xml:space="preserve">firebase/php-jwt</w:t>
      </w:r>
      <w:r>
        <w:t xml:space="preserve">,</w:t>
      </w:r>
      <w:r>
        <w:t xml:space="preserve"> </w:t>
      </w:r>
      <w:r>
        <w:rPr>
          <w:rStyle w:val="VerbatimChar"/>
        </w:rPr>
        <w:t xml:space="preserve">mPDF</w:t>
      </w:r>
      <w:r>
        <w:t xml:space="preserve">,</w:t>
      </w:r>
      <w:r>
        <w:t xml:space="preserve"> </w:t>
      </w:r>
      <w:r>
        <w:rPr>
          <w:rStyle w:val="VerbatimChar"/>
        </w:rPr>
        <w:t xml:space="preserve">PhpOffice/PhpSpreadsheet</w:t>
      </w:r>
      <w:r>
        <w:t xml:space="preserve">,</w:t>
      </w:r>
      <w:r>
        <w:t xml:space="preserve"> </w:t>
      </w:r>
      <w:r>
        <w:rPr>
          <w:rStyle w:val="VerbatimChar"/>
        </w:rPr>
        <w:t xml:space="preserve">PHPMailer</w:t>
      </w:r>
      <w:r>
        <w:t xml:space="preserve">,</w:t>
      </w:r>
      <w:r>
        <w:t xml:space="preserve"> </w:t>
      </w:r>
      <w:r>
        <w:rPr>
          <w:rStyle w:val="VerbatimChar"/>
        </w:rPr>
        <w:t xml:space="preserve">respect/validation</w:t>
      </w:r>
      <w:r>
        <w:t xml:space="preserve">.</w:t>
      </w:r>
    </w:p>
    <w:p>
      <w:pPr>
        <w:pStyle w:val="Compact"/>
        <w:numPr>
          <w:ilvl w:val="0"/>
          <w:numId w:val="1024"/>
        </w:numPr>
      </w:pPr>
      <w:r>
        <w:t xml:space="preserve">Node.js/PostgreSQL would require rebuilding the entire tooling ecosystem, re-evaluating all library choices, and retraining the developer — without a compelling technical advantage for a synchronous, CRUD-heavy ERP workload.</w:t>
      </w:r>
    </w:p>
    <w:p>
      <w:pPr>
        <w:pStyle w:val="FirstParagraph"/>
      </w:pPr>
      <w:r>
        <w:rPr>
          <w:b/>
          <w:bCs/>
        </w:rPr>
        <w:t xml:space="preserve">Trade-off Accepted:</w:t>
      </w:r>
    </w:p>
    <w:p>
      <w:pPr>
        <w:pStyle w:val="BodyText"/>
      </w:pPr>
      <w:r>
        <w:t xml:space="preserve">PHP is not suited to long-lived asynchronous workloads (real-time event streaming, WebSocket servers). These workloads are addressed through polling patterns in the web UI and push notifications in the mobile app rather than persistent server-side connections.</w:t>
      </w:r>
    </w:p>
    <w:p>
      <w:r>
        <w:pict>
          <v:rect style="width:0;height:1.5pt" o:hralign="center" o:hrstd="t" o:hr="t"/>
        </w:pict>
      </w:r>
    </w:p>
    <w:bookmarkEnd w:id="121"/>
    <w:bookmarkStart w:id="122" w:name="Xd21273ec4ccfdc8fd7ccbf1264e422846731a7d"/>
    <w:p>
      <w:pPr>
        <w:pStyle w:val="Heading2"/>
      </w:pPr>
      <w:r>
        <w:t xml:space="preserve">ADR-003: Session Auth (Web) + JWT (Mobile) vs. Unified Token Auth</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The system must authenticate both browser-based web clients and native mobile clients. Options considered: (a) session-based auth for both, (b) JWT-based auth for both, or (c) session-based auth for web with JWT for mobile.</w:t>
      </w:r>
    </w:p>
    <w:p>
      <w:pPr>
        <w:pStyle w:val="BodyText"/>
      </w:pPr>
      <w:r>
        <w:rPr>
          <w:b/>
          <w:bCs/>
        </w:rPr>
        <w:t xml:space="preserve">Decision:</w:t>
      </w:r>
    </w:p>
    <w:p>
      <w:pPr>
        <w:pStyle w:val="BodyText"/>
      </w:pPr>
      <w:r>
        <w:t xml:space="preserve">The system adopts option (c): session-based authentication for the web UI and JWT Bearer token authentication for the mobile API.</w:t>
      </w:r>
    </w:p>
    <w:p>
      <w:pPr>
        <w:pStyle w:val="BodyText"/>
      </w:pPr>
      <w:r>
        <w:rPr>
          <w:b/>
          <w:bCs/>
        </w:rPr>
        <w:t xml:space="preserve">Rationale:</w:t>
      </w:r>
    </w:p>
    <w:p>
      <w:pPr>
        <w:pStyle w:val="Compact"/>
        <w:numPr>
          <w:ilvl w:val="0"/>
          <w:numId w:val="1025"/>
        </w:numPr>
      </w:pPr>
      <w:r>
        <w:t xml:space="preserve">Browser clients benefit from session cookies: the browser manages the cookie lifecycle automatically, HttpOnly prevents JavaScript access, and SameSite=Strict provides CSRF protection at the browser level. There is no need for the web application to manage token storage in JavaScript.</w:t>
      </w:r>
    </w:p>
    <w:p>
      <w:pPr>
        <w:pStyle w:val="Compact"/>
        <w:numPr>
          <w:ilvl w:val="0"/>
          <w:numId w:val="1025"/>
        </w:numPr>
      </w:pPr>
      <w:r>
        <w:t xml:space="preserve">Native mobile clients cannot use HTTP cookies reliably across app restarts and background/foreground transitions. JWT tokens stored in the device secure enclave (Android Keystore, iOS Secure Enclave) provide the appropriate security model for stateless mobile authentication.</w:t>
      </w:r>
    </w:p>
    <w:p>
      <w:pPr>
        <w:pStyle w:val="Compact"/>
        <w:numPr>
          <w:ilvl w:val="0"/>
          <w:numId w:val="1025"/>
        </w:numPr>
      </w:pPr>
      <w:r>
        <w:t xml:space="preserve">JWT tokens carry the tenant context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 as claims, removing the need for a server-side session lookup on every mobile API request — important for stateless horizontal scaling.</w:t>
      </w:r>
    </w:p>
    <w:p>
      <w:pPr>
        <w:pStyle w:val="Compact"/>
        <w:numPr>
          <w:ilvl w:val="0"/>
          <w:numId w:val="1025"/>
        </w:numPr>
      </w:pPr>
      <w:r>
        <w:t xml:space="preserve">A unified JWT approach for the web would require the web application to manage token storage in JavaScript (localStorage or sessionStorage), increasing the XSS attack surface.</w:t>
      </w:r>
    </w:p>
    <w:p>
      <w:pPr>
        <w:pStyle w:val="FirstParagraph"/>
      </w:pPr>
      <w:r>
        <w:rPr>
          <w:b/>
          <w:bCs/>
        </w:rPr>
        <w:t xml:space="preserve">Trade-off Accepted:</w:t>
      </w:r>
    </w:p>
    <w:p>
      <w:pPr>
        <w:pStyle w:val="BodyText"/>
      </w:pPr>
      <w:r>
        <w:t xml:space="preserve">Two separate authentication mechanisms increase implementation complexity and mean that session management code and JWT validation code must both be maintained. This is accepted because the security properties of each mechanism align well with the respective client environment.</w:t>
      </w:r>
    </w:p>
    <w:p>
      <w:r>
        <w:pict>
          <v:rect style="width:0;height:1.5pt" o:hralign="center" o:hrstd="t" o:hr="t"/>
        </w:pict>
      </w:r>
    </w:p>
    <w:bookmarkEnd w:id="122"/>
    <w:bookmarkStart w:id="123" w:name="X49c964fc9fce77e941f483ecadfb497d257a68f"/>
    <w:p>
      <w:pPr>
        <w:pStyle w:val="Heading2"/>
      </w:pPr>
      <w:r>
        <w:t xml:space="preserve">ADR-004: Configuration-Driven Localisation vs. Per-Country Code Forks</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Kraal Code targets multiple countries in Uganda (Phase 1), East Africa (Phase 2), Francophone Africa (Phase 3), and global markets (Phase 4). Each market has different currencies, tax rates, statutory deductions, regulatory integrations, and document formats. Options: (a) maintain a separate code branch per country, or (b) encode all jurisdiction-specific behaviour in a configuration profile consumed by a single codebase.</w:t>
      </w:r>
    </w:p>
    <w:p>
      <w:pPr>
        <w:pStyle w:val="BodyText"/>
      </w:pPr>
      <w:r>
        <w:rPr>
          <w:b/>
          <w:bCs/>
        </w:rPr>
        <w:t xml:space="preserve">Decision:</w:t>
      </w:r>
    </w:p>
    <w:p>
      <w:pPr>
        <w:pStyle w:val="BodyText"/>
      </w:pPr>
      <w:r>
        <w:t xml:space="preserve">The system adopts option (b): configuration-driven localisation. All jurisdiction-specific behaviour is stored in a</w:t>
      </w:r>
      <w:r>
        <w:t xml:space="preserve"> </w:t>
      </w:r>
      <w:r>
        <w:rPr>
          <w:rStyle w:val="VerbatimChar"/>
        </w:rPr>
        <w:t xml:space="preserve">localisation_profiles</w:t>
      </w:r>
      <w:r>
        <w:t xml:space="preserve"> </w:t>
      </w:r>
      <w:r>
        <w:t xml:space="preserve">table. The application code references the active profile via</w:t>
      </w:r>
      <w:r>
        <w:t xml:space="preserve"> </w:t>
      </w:r>
      <w:r>
        <w:rPr>
          <w:rStyle w:val="VerbatimChar"/>
        </w:rPr>
        <w:t xml:space="preserve">TenantContext::getLocalisationProfile()</w:t>
      </w:r>
      <w:r>
        <w:t xml:space="preserve">.</w:t>
      </w:r>
    </w:p>
    <w:p>
      <w:pPr>
        <w:pStyle w:val="BodyText"/>
      </w:pPr>
      <w:r>
        <w:rPr>
          <w:b/>
          <w:bCs/>
        </w:rPr>
        <w:t xml:space="preserve">Rationale:</w:t>
      </w:r>
    </w:p>
    <w:p>
      <w:pPr>
        <w:pStyle w:val="Compact"/>
        <w:numPr>
          <w:ilvl w:val="0"/>
          <w:numId w:val="1026"/>
        </w:numPr>
      </w:pPr>
      <w:r>
        <w:t xml:space="preserve">Per-country code forks diverge over time and create unsustainable maintenance overhead. A bug fix in the core engine must be applied to every fork.</w:t>
      </w:r>
    </w:p>
    <w:p>
      <w:pPr>
        <w:pStyle w:val="Compact"/>
        <w:numPr>
          <w:ilvl w:val="0"/>
          <w:numId w:val="1026"/>
        </w:numPr>
      </w:pPr>
      <w:r>
        <w:t xml:space="preserve">Configuration-driven localisation allows the platform to expand to a new market without a code deployment. Only a new profile record and, if required, a new gateway adapter in the Integration Layer are needed.</w:t>
      </w:r>
    </w:p>
    <w:p>
      <w:pPr>
        <w:pStyle w:val="Compact"/>
        <w:numPr>
          <w:ilvl w:val="0"/>
          <w:numId w:val="1026"/>
        </w:numPr>
      </w:pPr>
      <w:r>
        <w:t xml:space="preserve">The approach enforces a clean boundary between business logic ("how to calculate PAYE") and jurisdiction data ("what are Uganda's PAYE bands") — the same boundary required by IFRS and tax compliance standards.</w:t>
      </w:r>
    </w:p>
    <w:p>
      <w:pPr>
        <w:pStyle w:val="Compact"/>
        <w:numPr>
          <w:ilvl w:val="0"/>
          <w:numId w:val="1026"/>
        </w:numPr>
      </w:pPr>
      <w:r>
        <w:t xml:space="preserve">Uganda is the Phase 1 reference implementation. The profile structure is validated against a fully defined Uganda profile before any additional market is onboarded.</w:t>
      </w:r>
    </w:p>
    <w:p>
      <w:pPr>
        <w:pStyle w:val="FirstParagraph"/>
      </w:pPr>
      <w:r>
        <w:rPr>
          <w:b/>
          <w:bCs/>
        </w:rPr>
        <w:t xml:space="preserve">Trade-off Accepted:</w:t>
      </w:r>
    </w:p>
    <w:p>
      <w:pPr>
        <w:pStyle w:val="BodyText"/>
      </w:pPr>
      <w:r>
        <w:t xml:space="preserve">Some integrations (URA EFRIS, KRA iTax) require implementing gateway adapter classes in the Integration Layer. These adapters are code, not configuration. The ADR does not claim zero code per market — it claims zero code in the core business logic per market.</w:t>
      </w:r>
    </w:p>
    <w:p>
      <w:r>
        <w:pict>
          <v:rect style="width:0;height:1.5pt" o:hralign="center" o:hrstd="t" o:hr="t"/>
        </w:pict>
      </w:r>
    </w:p>
    <w:bookmarkEnd w:id="123"/>
    <w:bookmarkStart w:id="124" w:name="Xb802eb4c81b53a2a7a92dbb1b9299cfddb79431"/>
    <w:p>
      <w:pPr>
        <w:pStyle w:val="Heading2"/>
      </w:pPr>
      <w:r>
        <w:t xml:space="preserve">ADR-005: Module Activation Per Tenant vs. Per User</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Module access can be controlled at two granularities: (a) per-tenant (all users of a tenant either have access to the module or do not), or (b) per-user (individual users within a tenant can be granted or denied access to specific modules).</w:t>
      </w:r>
    </w:p>
    <w:p>
      <w:pPr>
        <w:pStyle w:val="BodyText"/>
      </w:pPr>
      <w:r>
        <w:rPr>
          <w:b/>
          <w:bCs/>
        </w:rPr>
        <w:t xml:space="preserve">Decision:</w:t>
      </w:r>
    </w:p>
    <w:p>
      <w:pPr>
        <w:pStyle w:val="BodyText"/>
      </w:pPr>
      <w:r>
        <w:t xml:space="preserve">Module activation is controlled at the tenant level as the primary gate. Within an activated module, per-user access is controlled by the Role-Based Access Control (RBAC) system.</w:t>
      </w:r>
    </w:p>
    <w:p>
      <w:pPr>
        <w:pStyle w:val="BodyText"/>
      </w:pPr>
      <w:r>
        <w:rPr>
          <w:b/>
          <w:bCs/>
        </w:rPr>
        <w:t xml:space="preserve">Rationale:</w:t>
      </w:r>
    </w:p>
    <w:p>
      <w:pPr>
        <w:pStyle w:val="Compact"/>
        <w:numPr>
          <w:ilvl w:val="0"/>
          <w:numId w:val="1027"/>
        </w:numPr>
      </w:pPr>
      <w:r>
        <w:t xml:space="preserve">Module activation is a commercial decision tied to the tenant's subscription plan. It is appropriate to gate this at the tenant level because the subscription fee covers the whole organisation, not individual users.</w:t>
      </w:r>
    </w:p>
    <w:p>
      <w:pPr>
        <w:pStyle w:val="Compact"/>
        <w:numPr>
          <w:ilvl w:val="0"/>
          <w:numId w:val="1027"/>
        </w:numPr>
      </w:pPr>
      <w:r>
        <w:t xml:space="preserve">Per-user module activation would create an inconsistent user experience: two colleagues at the same company could see different navigation menus and features with no clear commercial reason.</w:t>
      </w:r>
    </w:p>
    <w:p>
      <w:pPr>
        <w:pStyle w:val="Compact"/>
        <w:numPr>
          <w:ilvl w:val="0"/>
          <w:numId w:val="1027"/>
        </w:numPr>
      </w:pPr>
      <w:r>
        <w:t xml:space="preserve">RBAC already provides per-user access control within a module. A user with the HR &amp; Payroll module active can still be restricted from specific HR operations (e.g., payroll processing) by the</w:t>
      </w:r>
      <w:r>
        <w:t xml:space="preserve"> </w:t>
      </w:r>
      <w:r>
        <w:rPr>
          <w:rStyle w:val="VerbatimChar"/>
        </w:rPr>
        <w:t xml:space="preserve">RequirePermission</w:t>
      </w:r>
      <w:r>
        <w:t xml:space="preserve"> </w:t>
      </w:r>
      <w:r>
        <w:t xml:space="preserve">middleware. This is the correct granularity for per-user control.</w:t>
      </w:r>
    </w:p>
    <w:p>
      <w:pPr>
        <w:pStyle w:val="Compact"/>
        <w:numPr>
          <w:ilvl w:val="0"/>
          <w:numId w:val="1027"/>
        </w:numPr>
      </w:pPr>
      <w:r>
        <w:t xml:space="preserve">Keeping module gating at the tenant level simplifies the billing and subscription management logic: one activation record per module per tenant.</w:t>
      </w:r>
    </w:p>
    <w:p>
      <w:pPr>
        <w:pStyle w:val="FirstParagraph"/>
      </w:pPr>
      <w:r>
        <w:rPr>
          <w:b/>
          <w:bCs/>
        </w:rPr>
        <w:t xml:space="preserve">Trade-off Accepted:</w:t>
      </w:r>
    </w:p>
    <w:p>
      <w:pPr>
        <w:pStyle w:val="BodyText"/>
      </w:pPr>
      <w:r>
        <w:t xml:space="preserve">A tenant cannot activate a module for some users only. If a tenant wants only 2 out of 20 users to access the CRM module, they activate the module for the tenant and then restrict the remaining 18 users via RBAC role configuration. This is operationally straightforward and aligns with how ERP systems are typically administered.</w:t>
      </w:r>
    </w:p>
    <w:p>
      <w:r>
        <w:pict>
          <v:rect style="width:0;height:1.5pt" o:hralign="center" o:hrstd="t" o:hr="t"/>
        </w:pict>
      </w:r>
    </w:p>
    <w:bookmarkEnd w:id="124"/>
    <w:bookmarkStart w:id="125" w:name="Xed98bac3ba969fcc69f067e788b4f016d70acdb"/>
    <w:p>
      <w:pPr>
        <w:pStyle w:val="Heading2"/>
      </w:pPr>
      <w:r>
        <w:t xml:space="preserve">ADR-006: Planning and Intelligence Layer vs. More Execution Screens</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2026-04-28</w:t>
      </w:r>
    </w:p>
    <w:p>
      <w:pPr>
        <w:pStyle w:val="BodyText"/>
      </w:pPr>
      <w:r>
        <w:rPr>
          <w:b/>
          <w:bCs/>
        </w:rPr>
        <w:t xml:space="preserve">Context:</w:t>
      </w:r>
    </w:p>
    <w:p>
      <w:pPr>
        <w:pStyle w:val="BodyText"/>
      </w:pPr>
      <w:r>
        <w:t xml:space="preserve">Kraal Code must meet a world-class standard in supply chain and intelligent inventory management without becoming bloated with irrelevant functions. Inventory, procurement, manufacturing, transportation, and accounting already own execution transactions. The missing competitive advantage is better management decisions: what to buy, make, transfer, discount, hold, investigate, approve, or escalate.</w:t>
      </w:r>
    </w:p>
    <w:p>
      <w:pPr>
        <w:pStyle w:val="BodyText"/>
      </w:pPr>
      <w:r>
        <w:rPr>
          <w:b/>
          <w:bCs/>
        </w:rPr>
        <w:t xml:space="preserve">Decision:</w:t>
      </w:r>
    </w:p>
    <w:p>
      <w:pPr>
        <w:pStyle w:val="BodyText"/>
      </w:pPr>
      <w:r>
        <w:t xml:space="preserve">The system adopts a separate planning and intelligence layer:</w:t>
      </w:r>
    </w:p>
    <w:p>
      <w:pPr>
        <w:pStyle w:val="Compact"/>
        <w:numPr>
          <w:ilvl w:val="0"/>
          <w:numId w:val="1028"/>
        </w:numPr>
      </w:pPr>
      <w:r>
        <w:rPr>
          <w:rStyle w:val="VerbatimChar"/>
        </w:rPr>
        <w:t xml:space="preserve">INVENTORY</w:t>
      </w:r>
      <w:r>
        <w:t xml:space="preserve">,</w:t>
      </w:r>
      <w:r>
        <w:t xml:space="preserve"> </w:t>
      </w:r>
      <w:r>
        <w:rPr>
          <w:rStyle w:val="VerbatimChar"/>
        </w:rPr>
        <w:t xml:space="preserve">PROCUREMENT</w:t>
      </w:r>
      <w:r>
        <w:t xml:space="preserve">,</w:t>
      </w:r>
      <w:r>
        <w:t xml:space="preserve"> </w:t>
      </w:r>
      <w:r>
        <w:rPr>
          <w:rStyle w:val="VerbatimChar"/>
        </w:rPr>
        <w:t xml:space="preserve">MANUFACTURING</w:t>
      </w:r>
      <w:r>
        <w:t xml:space="preserve">,</w:t>
      </w:r>
      <w:r>
        <w:t xml:space="preserve"> </w:t>
      </w:r>
      <w:r>
        <w:rPr>
          <w:rStyle w:val="VerbatimChar"/>
        </w:rPr>
        <w:t xml:space="preserve">TRANSPORTATION</w:t>
      </w:r>
      <w:r>
        <w:t xml:space="preserve">, and</w:t>
      </w:r>
      <w:r>
        <w:t xml:space="preserve"> </w:t>
      </w:r>
      <w:r>
        <w:rPr>
          <w:rStyle w:val="VerbatimChar"/>
        </w:rPr>
        <w:t xml:space="preserve">ACCOUNTING</w:t>
      </w:r>
      <w:r>
        <w:t xml:space="preserve"> </w:t>
      </w:r>
      <w:r>
        <w:t xml:space="preserve">remain systems of record for execution.</w:t>
      </w:r>
    </w:p>
    <w:p>
      <w:pPr>
        <w:pStyle w:val="Compact"/>
        <w:numPr>
          <w:ilvl w:val="0"/>
          <w:numId w:val="1028"/>
        </w:numPr>
      </w:pPr>
      <w:r>
        <w:rPr>
          <w:rStyle w:val="VerbatimChar"/>
        </w:rPr>
        <w:t xml:space="preserve">SUPPLY_CHAIN_PLANNING</w:t>
      </w:r>
      <w:r>
        <w:t xml:space="preserve"> </w:t>
      </w:r>
      <w:r>
        <w:t xml:space="preserve">owns forecast versions, inventory policies, planning scenarios, exceptions, and released recommendations.</w:t>
      </w:r>
    </w:p>
    <w:p>
      <w:pPr>
        <w:pStyle w:val="Compact"/>
        <w:numPr>
          <w:ilvl w:val="0"/>
          <w:numId w:val="1028"/>
        </w:numPr>
      </w:pPr>
      <w:r>
        <w:rPr>
          <w:rStyle w:val="VerbatimChar"/>
        </w:rPr>
        <w:t xml:space="preserve">AI_INTELLIGENCE</w:t>
      </w:r>
      <w:r>
        <w:t xml:space="preserve"> </w:t>
      </w:r>
      <w:r>
        <w:t xml:space="preserve">explains, ranks, and summarises recommendations but does not directly post execution transactions.</w:t>
      </w:r>
    </w:p>
    <w:p>
      <w:pPr>
        <w:pStyle w:val="FirstParagraph"/>
      </w:pPr>
      <w:r>
        <w:rPr>
          <w:b/>
          <w:bCs/>
        </w:rPr>
        <w:t xml:space="preserve">Rationale:</w:t>
      </w:r>
    </w:p>
    <w:p>
      <w:pPr>
        <w:pStyle w:val="Compact"/>
        <w:numPr>
          <w:ilvl w:val="0"/>
          <w:numId w:val="1029"/>
        </w:numPr>
      </w:pPr>
      <w:r>
        <w:t xml:space="preserve">Planning needs versioning, scenarios, overrides, bias measurement, and S&amp;OP governance that do not belong inside transactional stock or purchasing screens.</w:t>
      </w:r>
    </w:p>
    <w:p>
      <w:pPr>
        <w:pStyle w:val="Compact"/>
        <w:numPr>
          <w:ilvl w:val="0"/>
          <w:numId w:val="1029"/>
        </w:numPr>
      </w:pPr>
      <w:r>
        <w:t xml:space="preserve">Separating planning from execution prevents AI or planning jobs from silently creating stock, purchase, production, or accounting records.</w:t>
      </w:r>
    </w:p>
    <w:p>
      <w:pPr>
        <w:pStyle w:val="Compact"/>
        <w:numPr>
          <w:ilvl w:val="0"/>
          <w:numId w:val="1029"/>
        </w:numPr>
      </w:pPr>
      <w:r>
        <w:t xml:space="preserve">The design focuses the product on high-value decision support instead of adding many unrelated modules.</w:t>
      </w:r>
    </w:p>
    <w:p>
      <w:pPr>
        <w:pStyle w:val="FirstParagraph"/>
      </w:pPr>
      <w:r>
        <w:rPr>
          <w:b/>
          <w:bCs/>
        </w:rPr>
        <w:t xml:space="preserve">Controls:</w:t>
      </w:r>
    </w:p>
    <w:p>
      <w:pPr>
        <w:pStyle w:val="Compact"/>
        <w:numPr>
          <w:ilvl w:val="0"/>
          <w:numId w:val="1030"/>
        </w:numPr>
      </w:pPr>
      <w:r>
        <w:t xml:space="preserve">Every recommendation stores lineage to the source plan, policy version, source records, confidence level, and explanation.</w:t>
      </w:r>
    </w:p>
    <w:p>
      <w:pPr>
        <w:pStyle w:val="Compact"/>
        <w:numPr>
          <w:ilvl w:val="0"/>
          <w:numId w:val="1030"/>
        </w:numPr>
      </w:pPr>
      <w:r>
        <w:t xml:space="preserve">Human users must explicitly convert recommendations into purchase requisitions, production proposals, transfer requests, markdown actions, or investigation tasks.</w:t>
      </w:r>
    </w:p>
    <w:p>
      <w:pPr>
        <w:pStyle w:val="Compact"/>
        <w:numPr>
          <w:ilvl w:val="0"/>
          <w:numId w:val="1030"/>
        </w:numPr>
      </w:pPr>
      <w:r>
        <w:t xml:space="preserve">Plan release is idempotent and audited.</w:t>
      </w:r>
    </w:p>
    <w:p>
      <w:pPr>
        <w:pStyle w:val="FirstParagraph"/>
      </w:pPr>
      <w:r>
        <w:rPr>
          <w:b/>
          <w:bCs/>
        </w:rPr>
        <w:t xml:space="preserve">Trade-off Accepted:</w:t>
      </w:r>
    </w:p>
    <w:p>
      <w:pPr>
        <w:pStyle w:val="BodyText"/>
      </w:pPr>
      <w:r>
        <w:t xml:space="preserve">The platform has one additional planning bounded context. This increases modelling work, but it avoids mixing forward-looking assumptions with posted transactions and gives Kraal Code a clearer enterprise-grade supply-chain position.</w:t>
      </w:r>
    </w:p>
    <w:bookmarkEnd w:id="125"/>
    <w:bookmarkEnd w:id="126"/>
    <w:bookmarkStart w:id="142" w:name="industrial-module-architecture"/>
    <w:p>
      <w:pPr>
        <w:pStyle w:val="Heading1"/>
      </w:pPr>
      <w:r>
        <w:t xml:space="preserve">Industrial Module Architecture</w:t>
      </w:r>
    </w:p>
    <w:bookmarkStart w:id="127" w:name="Xf84e3b0cc5fdd96f0e620a305d6c5fade35e640"/>
    <w:p>
      <w:pPr>
        <w:pStyle w:val="Heading2"/>
      </w:pPr>
      <w:r>
        <w:t xml:space="preserve">12.1 Purpose</w:t>
      </w:r>
    </w:p>
    <w:p>
      <w:pPr>
        <w:pStyle w:val="FirstParagraph"/>
      </w:pPr>
      <w:r>
        <w:t xml:space="preserve">This section defines the first-class high-level architecture for Kraal Code's industrial domains: Product Lifecycle Management (PLM), MES-grade Manufacturing, and Transportation &amp; Fleet Operations. These capabilities are modelled as peer bounded contexts, not as secondary features hidden inside inventory or asset accounting.</w:t>
      </w:r>
    </w:p>
    <w:bookmarkEnd w:id="127"/>
    <w:bookmarkStart w:id="131" w:name="X0bc11a6f663b87fe8ef41741f579bc012b766b8"/>
    <w:p>
      <w:pPr>
        <w:pStyle w:val="Heading2"/>
      </w:pPr>
      <w:r>
        <w:t xml:space="preserve">12.2 Bounded Contexts</w:t>
      </w:r>
    </w:p>
    <w:bookmarkStart w:id="128" w:name="X870dd50fea6f34aab23938cf8579487ae836c3f"/>
    <w:p>
      <w:pPr>
        <w:pStyle w:val="Heading3"/>
      </w:pPr>
      <w:r>
        <w:t xml:space="preserve">12.2.1 PLM</w:t>
      </w:r>
    </w:p>
    <w:p>
      <w:pPr>
        <w:pStyle w:val="FirstParagraph"/>
      </w:pPr>
      <w:r>
        <w:rPr>
          <w:rStyle w:val="VerbatimChar"/>
        </w:rPr>
        <w:t xml:space="preserve">PLM</w:t>
      </w:r>
      <w:r>
        <w:t xml:space="preserve"> </w:t>
      </w:r>
      <w:r>
        <w:t xml:space="preserve">is the system of record for engineering truth. It owns:</w:t>
      </w:r>
    </w:p>
    <w:p>
      <w:pPr>
        <w:pStyle w:val="Compact"/>
        <w:numPr>
          <w:ilvl w:val="0"/>
          <w:numId w:val="1031"/>
        </w:numPr>
      </w:pPr>
      <w:r>
        <w:t xml:space="preserve">engineering item master</w:t>
      </w:r>
    </w:p>
    <w:p>
      <w:pPr>
        <w:pStyle w:val="Compact"/>
        <w:numPr>
          <w:ilvl w:val="0"/>
          <w:numId w:val="1031"/>
        </w:numPr>
      </w:pPr>
      <w:r>
        <w:t xml:space="preserve">controlled revisions</w:t>
      </w:r>
    </w:p>
    <w:p>
      <w:pPr>
        <w:pStyle w:val="Compact"/>
        <w:numPr>
          <w:ilvl w:val="0"/>
          <w:numId w:val="1031"/>
        </w:numPr>
      </w:pPr>
      <w:r>
        <w:t xml:space="preserve">EBOM and MBOM governance</w:t>
      </w:r>
    </w:p>
    <w:p>
      <w:pPr>
        <w:pStyle w:val="Compact"/>
        <w:numPr>
          <w:ilvl w:val="0"/>
          <w:numId w:val="1031"/>
        </w:numPr>
      </w:pPr>
      <w:r>
        <w:t xml:space="preserve">engineering change request and order workflow</w:t>
      </w:r>
    </w:p>
    <w:p>
      <w:pPr>
        <w:pStyle w:val="Compact"/>
        <w:numPr>
          <w:ilvl w:val="0"/>
          <w:numId w:val="1031"/>
        </w:numPr>
      </w:pPr>
      <w:r>
        <w:t xml:space="preserve">technical document control</w:t>
      </w:r>
    </w:p>
    <w:p>
      <w:pPr>
        <w:pStyle w:val="Compact"/>
        <w:numPr>
          <w:ilvl w:val="0"/>
          <w:numId w:val="1031"/>
        </w:numPr>
      </w:pPr>
      <w:r>
        <w:t xml:space="preserve">effectivity logic</w:t>
      </w:r>
    </w:p>
    <w:p>
      <w:pPr>
        <w:pStyle w:val="Compact"/>
        <w:numPr>
          <w:ilvl w:val="0"/>
          <w:numId w:val="1031"/>
        </w:numPr>
      </w:pPr>
      <w:r>
        <w:t xml:space="preserve">NPI stage gates</w:t>
      </w:r>
    </w:p>
    <w:p>
      <w:pPr>
        <w:pStyle w:val="Compact"/>
        <w:numPr>
          <w:ilvl w:val="0"/>
          <w:numId w:val="1031"/>
        </w:numPr>
      </w:pPr>
      <w:r>
        <w:t xml:space="preserve">controlled publication of released definitions downstream</w:t>
      </w:r>
    </w:p>
    <w:bookmarkEnd w:id="128"/>
    <w:bookmarkStart w:id="129" w:name="Xd8162ad9b04b0ac153132f9863cbacafe0fed0b"/>
    <w:p>
      <w:pPr>
        <w:pStyle w:val="Heading3"/>
      </w:pPr>
      <w:r>
        <w:t xml:space="preserve">12.2.2 Manufacturing</w:t>
      </w:r>
    </w:p>
    <w:p>
      <w:pPr>
        <w:pStyle w:val="FirstParagraph"/>
      </w:pPr>
      <w:r>
        <w:rPr>
          <w:rStyle w:val="VerbatimChar"/>
        </w:rPr>
        <w:t xml:space="preserve">Manufacturing</w:t>
      </w:r>
      <w:r>
        <w:t xml:space="preserve"> </w:t>
      </w:r>
      <w:r>
        <w:t xml:space="preserve">is the system of record for production execution and production economics. It owns:</w:t>
      </w:r>
    </w:p>
    <w:p>
      <w:pPr>
        <w:pStyle w:val="Compact"/>
        <w:numPr>
          <w:ilvl w:val="0"/>
          <w:numId w:val="1032"/>
        </w:numPr>
      </w:pPr>
      <w:r>
        <w:t xml:space="preserve">routings and work centres</w:t>
      </w:r>
    </w:p>
    <w:p>
      <w:pPr>
        <w:pStyle w:val="Compact"/>
        <w:numPr>
          <w:ilvl w:val="0"/>
          <w:numId w:val="1032"/>
        </w:numPr>
      </w:pPr>
      <w:r>
        <w:t xml:space="preserve">production orders and operation queues</w:t>
      </w:r>
    </w:p>
    <w:p>
      <w:pPr>
        <w:pStyle w:val="Compact"/>
        <w:numPr>
          <w:ilvl w:val="0"/>
          <w:numId w:val="1032"/>
        </w:numPr>
      </w:pPr>
      <w:r>
        <w:t xml:space="preserve">raw-material issue and backflush logic</w:t>
      </w:r>
    </w:p>
    <w:p>
      <w:pPr>
        <w:pStyle w:val="Compact"/>
        <w:numPr>
          <w:ilvl w:val="0"/>
          <w:numId w:val="1032"/>
        </w:numPr>
      </w:pPr>
      <w:r>
        <w:t xml:space="preserve">WIP state</w:t>
      </w:r>
    </w:p>
    <w:p>
      <w:pPr>
        <w:pStyle w:val="Compact"/>
        <w:numPr>
          <w:ilvl w:val="0"/>
          <w:numId w:val="1032"/>
        </w:numPr>
      </w:pPr>
      <w:r>
        <w:t xml:space="preserve">genealogy and traceability capture</w:t>
      </w:r>
    </w:p>
    <w:p>
      <w:pPr>
        <w:pStyle w:val="Compact"/>
        <w:numPr>
          <w:ilvl w:val="0"/>
          <w:numId w:val="1032"/>
        </w:numPr>
      </w:pPr>
      <w:r>
        <w:t xml:space="preserve">in-process quality execution</w:t>
      </w:r>
    </w:p>
    <w:p>
      <w:pPr>
        <w:pStyle w:val="Compact"/>
        <w:numPr>
          <w:ilvl w:val="0"/>
          <w:numId w:val="1032"/>
        </w:numPr>
      </w:pPr>
      <w:r>
        <w:t xml:space="preserve">rework and downtime tracking</w:t>
      </w:r>
    </w:p>
    <w:p>
      <w:pPr>
        <w:pStyle w:val="Compact"/>
        <w:numPr>
          <w:ilvl w:val="0"/>
          <w:numId w:val="1032"/>
        </w:numPr>
      </w:pPr>
      <w:r>
        <w:t xml:space="preserve">labour, overhead, yield, and scrap costing</w:t>
      </w:r>
    </w:p>
    <w:bookmarkEnd w:id="129"/>
    <w:bookmarkStart w:id="130" w:name="X63bb3dc39514c8280fa744655cbc37a59db7c59"/>
    <w:p>
      <w:pPr>
        <w:pStyle w:val="Heading3"/>
      </w:pPr>
      <w:r>
        <w:t xml:space="preserve">12.2.3 Transportation &amp; Fleet Operations</w:t>
      </w:r>
    </w:p>
    <w:p>
      <w:pPr>
        <w:pStyle w:val="FirstParagraph"/>
      </w:pPr>
      <w:r>
        <w:rPr>
          <w:rStyle w:val="VerbatimChar"/>
        </w:rPr>
        <w:t xml:space="preserve">Transportation</w:t>
      </w:r>
      <w:r>
        <w:t xml:space="preserve"> </w:t>
      </w:r>
      <w:r>
        <w:t xml:space="preserve">is the system of record for shipment movement and live fleet operations. It owns:</w:t>
      </w:r>
    </w:p>
    <w:p>
      <w:pPr>
        <w:pStyle w:val="Compact"/>
        <w:numPr>
          <w:ilvl w:val="0"/>
          <w:numId w:val="1033"/>
        </w:numPr>
      </w:pPr>
      <w:r>
        <w:t xml:space="preserve">shipment demand consolidation</w:t>
      </w:r>
    </w:p>
    <w:p>
      <w:pPr>
        <w:pStyle w:val="Compact"/>
        <w:numPr>
          <w:ilvl w:val="0"/>
          <w:numId w:val="1033"/>
        </w:numPr>
      </w:pPr>
      <w:r>
        <w:t xml:space="preserve">load and route planning</w:t>
      </w:r>
    </w:p>
    <w:p>
      <w:pPr>
        <w:pStyle w:val="Compact"/>
        <w:numPr>
          <w:ilvl w:val="0"/>
          <w:numId w:val="1033"/>
        </w:numPr>
      </w:pPr>
      <w:r>
        <w:t xml:space="preserve">dispatch and resource assignment</w:t>
      </w:r>
    </w:p>
    <w:p>
      <w:pPr>
        <w:pStyle w:val="Compact"/>
        <w:numPr>
          <w:ilvl w:val="0"/>
          <w:numId w:val="1033"/>
        </w:numPr>
      </w:pPr>
      <w:r>
        <w:t xml:space="preserve">trip milestones and ETA visibility</w:t>
      </w:r>
    </w:p>
    <w:p>
      <w:pPr>
        <w:pStyle w:val="Compact"/>
        <w:numPr>
          <w:ilvl w:val="0"/>
          <w:numId w:val="1033"/>
        </w:numPr>
      </w:pPr>
      <w:r>
        <w:t xml:space="preserve">transport exception management</w:t>
      </w:r>
    </w:p>
    <w:p>
      <w:pPr>
        <w:pStyle w:val="Compact"/>
        <w:numPr>
          <w:ilvl w:val="0"/>
          <w:numId w:val="1033"/>
        </w:numPr>
      </w:pPr>
      <w:r>
        <w:t xml:space="preserve">proof capture and trip closure</w:t>
      </w:r>
    </w:p>
    <w:p>
      <w:pPr>
        <w:pStyle w:val="Compact"/>
        <w:numPr>
          <w:ilvl w:val="0"/>
          <w:numId w:val="1033"/>
        </w:numPr>
      </w:pPr>
      <w:r>
        <w:t xml:space="preserve">freight settlement and transport analytics</w:t>
      </w:r>
    </w:p>
    <w:p>
      <w:pPr>
        <w:pStyle w:val="FirstParagraph"/>
      </w:pPr>
      <w:r>
        <w:rPr>
          <w:rStyle w:val="VerbatimChar"/>
        </w:rPr>
        <w:t xml:space="preserve">Assets</w:t>
      </w:r>
      <w:r>
        <w:t xml:space="preserve"> </w:t>
      </w:r>
      <w:r>
        <w:t xml:space="preserve">remains the owner of the vehicle as a capital asset, but not of live dispatch or trip state.</w:t>
      </w:r>
    </w:p>
    <w:bookmarkEnd w:id="130"/>
    <w:bookmarkEnd w:id="131"/>
    <w:bookmarkStart w:id="135" w:name="Xb0a89c5ebc2befa4cc209e48fd8164bd20f69f7"/>
    <w:p>
      <w:pPr>
        <w:pStyle w:val="Heading2"/>
      </w:pPr>
      <w:r>
        <w:t xml:space="preserve">12.3 Component Model</w:t>
      </w:r>
    </w:p>
    <w:bookmarkStart w:id="132" w:name="plm-components"/>
    <w:p>
      <w:pPr>
        <w:pStyle w:val="Heading3"/>
      </w:pPr>
      <w:r>
        <w:t xml:space="preserve">PLM Components</w:t>
      </w:r>
    </w:p>
    <w:p>
      <w:pPr>
        <w:pStyle w:val="Compact"/>
        <w:numPr>
          <w:ilvl w:val="0"/>
          <w:numId w:val="1034"/>
        </w:numPr>
      </w:pPr>
      <w:r>
        <w:rPr>
          <w:rStyle w:val="VerbatimChar"/>
        </w:rPr>
        <w:t xml:space="preserve">ProductDefinition Service</w:t>
      </w:r>
      <w:r>
        <w:t xml:space="preserve"> </w:t>
      </w:r>
      <w:r>
        <w:t xml:space="preserve">- engineering items, revisions, and BOM structures</w:t>
      </w:r>
    </w:p>
    <w:p>
      <w:pPr>
        <w:pStyle w:val="Compact"/>
        <w:numPr>
          <w:ilvl w:val="0"/>
          <w:numId w:val="1034"/>
        </w:numPr>
      </w:pPr>
      <w:r>
        <w:rPr>
          <w:rStyle w:val="VerbatimChar"/>
        </w:rPr>
        <w:t xml:space="preserve">EngineeringChange Service</w:t>
      </w:r>
      <w:r>
        <w:t xml:space="preserve"> </w:t>
      </w:r>
      <w:r>
        <w:t xml:space="preserve">- ECR/ECO workflow and approvals</w:t>
      </w:r>
    </w:p>
    <w:p>
      <w:pPr>
        <w:pStyle w:val="Compact"/>
        <w:numPr>
          <w:ilvl w:val="0"/>
          <w:numId w:val="1034"/>
        </w:numPr>
      </w:pPr>
      <w:r>
        <w:rPr>
          <w:rStyle w:val="VerbatimChar"/>
        </w:rPr>
        <w:t xml:space="preserve">DocumentControl Service</w:t>
      </w:r>
      <w:r>
        <w:t xml:space="preserve"> </w:t>
      </w:r>
      <w:r>
        <w:t xml:space="preserve">- controlled files, certificates, and release blockers</w:t>
      </w:r>
    </w:p>
    <w:p>
      <w:pPr>
        <w:pStyle w:val="Compact"/>
        <w:numPr>
          <w:ilvl w:val="0"/>
          <w:numId w:val="1034"/>
        </w:numPr>
      </w:pPr>
      <w:r>
        <w:rPr>
          <w:rStyle w:val="VerbatimChar"/>
        </w:rPr>
        <w:t xml:space="preserve">ReleasePublisher Service</w:t>
      </w:r>
      <w:r>
        <w:t xml:space="preserve"> </w:t>
      </w:r>
      <w:r>
        <w:t xml:space="preserve">- downstream publication to Inventory, Procurement, and Manufacturing</w:t>
      </w:r>
    </w:p>
    <w:p>
      <w:pPr>
        <w:pStyle w:val="Compact"/>
        <w:numPr>
          <w:ilvl w:val="0"/>
          <w:numId w:val="1034"/>
        </w:numPr>
      </w:pPr>
      <w:r>
        <w:rPr>
          <w:rStyle w:val="VerbatimChar"/>
        </w:rPr>
        <w:t xml:space="preserve">NPI Service</w:t>
      </w:r>
      <w:r>
        <w:t xml:space="preserve"> </w:t>
      </w:r>
      <w:r>
        <w:t xml:space="preserve">- stage-gate governance and readiness tracking</w:t>
      </w:r>
    </w:p>
    <w:bookmarkEnd w:id="132"/>
    <w:bookmarkStart w:id="133" w:name="manufacturing-components"/>
    <w:p>
      <w:pPr>
        <w:pStyle w:val="Heading3"/>
      </w:pPr>
      <w:r>
        <w:t xml:space="preserve">Manufacturing Components</w:t>
      </w:r>
    </w:p>
    <w:p>
      <w:pPr>
        <w:pStyle w:val="Compact"/>
        <w:numPr>
          <w:ilvl w:val="0"/>
          <w:numId w:val="1035"/>
        </w:numPr>
      </w:pPr>
      <w:r>
        <w:rPr>
          <w:rStyle w:val="VerbatimChar"/>
        </w:rPr>
        <w:t xml:space="preserve">Routing Service</w:t>
      </w:r>
      <w:r>
        <w:t xml:space="preserve"> </w:t>
      </w:r>
      <w:r>
        <w:t xml:space="preserve">- operation definitions, work-centre sequencing, and standards</w:t>
      </w:r>
    </w:p>
    <w:p>
      <w:pPr>
        <w:pStyle w:val="Compact"/>
        <w:numPr>
          <w:ilvl w:val="0"/>
          <w:numId w:val="1035"/>
        </w:numPr>
      </w:pPr>
      <w:r>
        <w:rPr>
          <w:rStyle w:val="VerbatimChar"/>
        </w:rPr>
        <w:t xml:space="preserve">ProductionExecution Service</w:t>
      </w:r>
      <w:r>
        <w:t xml:space="preserve"> </w:t>
      </w:r>
      <w:r>
        <w:t xml:space="preserve">- order release, operation progression, and shift control</w:t>
      </w:r>
    </w:p>
    <w:p>
      <w:pPr>
        <w:pStyle w:val="Compact"/>
        <w:numPr>
          <w:ilvl w:val="0"/>
          <w:numId w:val="1035"/>
        </w:numPr>
      </w:pPr>
      <w:r>
        <w:rPr>
          <w:rStyle w:val="VerbatimChar"/>
        </w:rPr>
        <w:t xml:space="preserve">Genealogy Service</w:t>
      </w:r>
      <w:r>
        <w:t xml:space="preserve"> </w:t>
      </w:r>
      <w:r>
        <w:t xml:space="preserve">- lot/serial trace links from input to output</w:t>
      </w:r>
    </w:p>
    <w:p>
      <w:pPr>
        <w:pStyle w:val="Compact"/>
        <w:numPr>
          <w:ilvl w:val="0"/>
          <w:numId w:val="1035"/>
        </w:numPr>
      </w:pPr>
      <w:r>
        <w:rPr>
          <w:rStyle w:val="VerbatimChar"/>
        </w:rPr>
        <w:t xml:space="preserve">QualityExecution Service</w:t>
      </w:r>
      <w:r>
        <w:t xml:space="preserve"> </w:t>
      </w:r>
      <w:r>
        <w:t xml:space="preserve">- in-process checks, holds, and rework paths</w:t>
      </w:r>
    </w:p>
    <w:p>
      <w:pPr>
        <w:pStyle w:val="Compact"/>
        <w:numPr>
          <w:ilvl w:val="0"/>
          <w:numId w:val="1035"/>
        </w:numPr>
      </w:pPr>
      <w:r>
        <w:rPr>
          <w:rStyle w:val="VerbatimChar"/>
        </w:rPr>
        <w:t xml:space="preserve">Costing Service</w:t>
      </w:r>
      <w:r>
        <w:t xml:space="preserve"> </w:t>
      </w:r>
      <w:r>
        <w:t xml:space="preserve">- WIP, labour, overhead, and variance control</w:t>
      </w:r>
    </w:p>
    <w:bookmarkEnd w:id="133"/>
    <w:bookmarkStart w:id="134" w:name="transportation-components"/>
    <w:p>
      <w:pPr>
        <w:pStyle w:val="Heading3"/>
      </w:pPr>
      <w:r>
        <w:t xml:space="preserve">Transportation Components</w:t>
      </w:r>
    </w:p>
    <w:p>
      <w:pPr>
        <w:pStyle w:val="Compact"/>
        <w:numPr>
          <w:ilvl w:val="0"/>
          <w:numId w:val="1036"/>
        </w:numPr>
      </w:pPr>
      <w:r>
        <w:rPr>
          <w:rStyle w:val="VerbatimChar"/>
        </w:rPr>
        <w:t xml:space="preserve">ShipmentPlanning Service</w:t>
      </w:r>
      <w:r>
        <w:t xml:space="preserve"> </w:t>
      </w:r>
      <w:r>
        <w:t xml:space="preserve">- shipment-order intake, grouping, and prioritisation</w:t>
      </w:r>
    </w:p>
    <w:p>
      <w:pPr>
        <w:pStyle w:val="Compact"/>
        <w:numPr>
          <w:ilvl w:val="0"/>
          <w:numId w:val="1036"/>
        </w:numPr>
      </w:pPr>
      <w:r>
        <w:rPr>
          <w:rStyle w:val="VerbatimChar"/>
        </w:rPr>
        <w:t xml:space="preserve">RoutePlanning Service</w:t>
      </w:r>
      <w:r>
        <w:t xml:space="preserve"> </w:t>
      </w:r>
      <w:r>
        <w:t xml:space="preserve">- route, stop, load, and capacity planning</w:t>
      </w:r>
    </w:p>
    <w:p>
      <w:pPr>
        <w:pStyle w:val="Compact"/>
        <w:numPr>
          <w:ilvl w:val="0"/>
          <w:numId w:val="1036"/>
        </w:numPr>
      </w:pPr>
      <w:r>
        <w:rPr>
          <w:rStyle w:val="VerbatimChar"/>
        </w:rPr>
        <w:t xml:space="preserve">Dispatch Service</w:t>
      </w:r>
      <w:r>
        <w:t xml:space="preserve"> </w:t>
      </w:r>
      <w:r>
        <w:t xml:space="preserve">- internal-fleet or carrier assignment and trip release</w:t>
      </w:r>
    </w:p>
    <w:p>
      <w:pPr>
        <w:pStyle w:val="Compact"/>
        <w:numPr>
          <w:ilvl w:val="0"/>
          <w:numId w:val="1036"/>
        </w:numPr>
      </w:pPr>
      <w:r>
        <w:rPr>
          <w:rStyle w:val="VerbatimChar"/>
        </w:rPr>
        <w:t xml:space="preserve">TripExecution Service</w:t>
      </w:r>
      <w:r>
        <w:t xml:space="preserve"> </w:t>
      </w:r>
      <w:r>
        <w:t xml:space="preserve">- milestones, ETA refresh, proof capture, and close-out</w:t>
      </w:r>
    </w:p>
    <w:p>
      <w:pPr>
        <w:pStyle w:val="Compact"/>
        <w:numPr>
          <w:ilvl w:val="0"/>
          <w:numId w:val="1036"/>
        </w:numPr>
      </w:pPr>
      <w:r>
        <w:rPr>
          <w:rStyle w:val="VerbatimChar"/>
        </w:rPr>
        <w:t xml:space="preserve">TransportControlTower Service</w:t>
      </w:r>
      <w:r>
        <w:t xml:space="preserve"> </w:t>
      </w:r>
      <w:r>
        <w:t xml:space="preserve">- exception queue and service recovery actions</w:t>
      </w:r>
    </w:p>
    <w:p>
      <w:pPr>
        <w:pStyle w:val="Compact"/>
        <w:numPr>
          <w:ilvl w:val="0"/>
          <w:numId w:val="1036"/>
        </w:numPr>
      </w:pPr>
      <w:r>
        <w:rPr>
          <w:rStyle w:val="VerbatimChar"/>
        </w:rPr>
        <w:t xml:space="preserve">FreightSettlement Service</w:t>
      </w:r>
      <w:r>
        <w:t xml:space="preserve"> </w:t>
      </w:r>
      <w:r>
        <w:t xml:space="preserve">- audit hold, approval, and cost posting</w:t>
      </w:r>
    </w:p>
    <w:bookmarkEnd w:id="134"/>
    <w:bookmarkEnd w:id="135"/>
    <w:bookmarkStart w:id="139" w:name="X1d48cff3e0b259b3ab8916f81b979d94ac737a6"/>
    <w:p>
      <w:pPr>
        <w:pStyle w:val="Heading2"/>
      </w:pPr>
      <w:r>
        <w:t xml:space="preserve">12.4 Cross-Module Integration Flows</w:t>
      </w:r>
    </w:p>
    <w:bookmarkStart w:id="136" w:name="X9f538046d7676674267ae8cb4f0d4686fdd3408"/>
    <w:p>
      <w:pPr>
        <w:pStyle w:val="Heading3"/>
      </w:pPr>
      <w:r>
        <w:t xml:space="preserve">12.4.1 PLM to Operations</w:t>
      </w:r>
    </w:p>
    <w:p>
      <w:pPr>
        <w:pStyle w:val="Compact"/>
        <w:numPr>
          <w:ilvl w:val="0"/>
          <w:numId w:val="1037"/>
        </w:numPr>
      </w:pPr>
      <w:r>
        <w:t xml:space="preserve">Engineering releases a revision in</w:t>
      </w:r>
      <w:r>
        <w:t xml:space="preserve"> </w:t>
      </w:r>
      <w:r>
        <w:rPr>
          <w:rStyle w:val="VerbatimChar"/>
        </w:rPr>
        <w:t xml:space="preserve">PLM</w:t>
      </w:r>
      <w:r>
        <w:t xml:space="preserve">.</w:t>
      </w:r>
    </w:p>
    <w:p>
      <w:pPr>
        <w:pStyle w:val="Compact"/>
        <w:numPr>
          <w:ilvl w:val="0"/>
          <w:numId w:val="1037"/>
        </w:numPr>
      </w:pPr>
      <w:r>
        <w:rPr>
          <w:rStyle w:val="VerbatimChar"/>
        </w:rPr>
        <w:t xml:space="preserve">ReleasePublisher Service</w:t>
      </w:r>
      <w:r>
        <w:t xml:space="preserve"> </w:t>
      </w:r>
      <w:r>
        <w:t xml:space="preserve">creates a controlled publication event.</w:t>
      </w:r>
    </w:p>
    <w:p>
      <w:pPr>
        <w:pStyle w:val="Compact"/>
        <w:numPr>
          <w:ilvl w:val="0"/>
          <w:numId w:val="1037"/>
        </w:numPr>
      </w:pPr>
      <w:r>
        <w:rPr>
          <w:rStyle w:val="VerbatimChar"/>
        </w:rPr>
        <w:t xml:space="preserve">Inventory</w:t>
      </w:r>
      <w:r>
        <w:t xml:space="preserve"> </w:t>
      </w:r>
      <w:r>
        <w:t xml:space="preserve">receives stocking and identification metadata.</w:t>
      </w:r>
    </w:p>
    <w:p>
      <w:pPr>
        <w:pStyle w:val="Compact"/>
        <w:numPr>
          <w:ilvl w:val="0"/>
          <w:numId w:val="1037"/>
        </w:numPr>
      </w:pPr>
      <w:r>
        <w:rPr>
          <w:rStyle w:val="VerbatimChar"/>
        </w:rPr>
        <w:t xml:space="preserve">Procurement</w:t>
      </w:r>
      <w:r>
        <w:t xml:space="preserve"> </w:t>
      </w:r>
      <w:r>
        <w:t xml:space="preserve">receives approved component and substitute context.</w:t>
      </w:r>
    </w:p>
    <w:p>
      <w:pPr>
        <w:pStyle w:val="Compact"/>
        <w:numPr>
          <w:ilvl w:val="0"/>
          <w:numId w:val="1037"/>
        </w:numPr>
      </w:pPr>
      <w:r>
        <w:rPr>
          <w:rStyle w:val="VerbatimChar"/>
        </w:rPr>
        <w:t xml:space="preserve">Manufacturing</w:t>
      </w:r>
      <w:r>
        <w:t xml:space="preserve"> </w:t>
      </w:r>
      <w:r>
        <w:t xml:space="preserve">receives effective BOM and routing baseline.</w:t>
      </w:r>
    </w:p>
    <w:p>
      <w:pPr>
        <w:pStyle w:val="FirstParagraph"/>
      </w:pPr>
      <w:r>
        <w:t xml:space="preserve">No downstream module may silently mutate the released engineering baseline.</w:t>
      </w:r>
    </w:p>
    <w:bookmarkEnd w:id="136"/>
    <w:bookmarkStart w:id="137" w:name="X6f45dc759ab7a69b25770edce2e018e09f6ae51"/>
    <w:p>
      <w:pPr>
        <w:pStyle w:val="Heading3"/>
      </w:pPr>
      <w:r>
        <w:t xml:space="preserve">12.4.2 Operations to Transportation</w:t>
      </w:r>
    </w:p>
    <w:p>
      <w:pPr>
        <w:pStyle w:val="Compact"/>
        <w:numPr>
          <w:ilvl w:val="0"/>
          <w:numId w:val="1038"/>
        </w:numPr>
      </w:pPr>
      <w:r>
        <w:rPr>
          <w:rStyle w:val="VerbatimChar"/>
        </w:rPr>
        <w:t xml:space="preserve">Sales</w:t>
      </w:r>
      <w:r>
        <w:t xml:space="preserve">,</w:t>
      </w:r>
      <w:r>
        <w:t xml:space="preserve"> </w:t>
      </w:r>
      <w:r>
        <w:rPr>
          <w:rStyle w:val="VerbatimChar"/>
        </w:rPr>
        <w:t xml:space="preserve">Procurement</w:t>
      </w:r>
      <w:r>
        <w:t xml:space="preserve">, or</w:t>
      </w:r>
      <w:r>
        <w:t xml:space="preserve"> </w:t>
      </w:r>
      <w:r>
        <w:rPr>
          <w:rStyle w:val="VerbatimChar"/>
        </w:rPr>
        <w:t xml:space="preserve">Inventory</w:t>
      </w:r>
      <w:r>
        <w:t xml:space="preserve"> </w:t>
      </w:r>
      <w:r>
        <w:t xml:space="preserve">creates physical-movement demand.</w:t>
      </w:r>
    </w:p>
    <w:p>
      <w:pPr>
        <w:pStyle w:val="Compact"/>
        <w:numPr>
          <w:ilvl w:val="0"/>
          <w:numId w:val="1038"/>
        </w:numPr>
      </w:pPr>
      <w:r>
        <w:rPr>
          <w:rStyle w:val="VerbatimChar"/>
        </w:rPr>
        <w:t xml:space="preserve">Transportation</w:t>
      </w:r>
      <w:r>
        <w:t xml:space="preserve"> </w:t>
      </w:r>
      <w:r>
        <w:t xml:space="preserve">converts demand into shipment orders.</w:t>
      </w:r>
    </w:p>
    <w:p>
      <w:pPr>
        <w:pStyle w:val="Compact"/>
        <w:numPr>
          <w:ilvl w:val="0"/>
          <w:numId w:val="1038"/>
        </w:numPr>
      </w:pPr>
      <w:r>
        <w:t xml:space="preserve">Loads and routes are planned.</w:t>
      </w:r>
    </w:p>
    <w:p>
      <w:pPr>
        <w:pStyle w:val="Compact"/>
        <w:numPr>
          <w:ilvl w:val="0"/>
          <w:numId w:val="1038"/>
        </w:numPr>
      </w:pPr>
      <w:r>
        <w:t xml:space="preserve">Internal fleet or carrier resources are assigned.</w:t>
      </w:r>
    </w:p>
    <w:p>
      <w:pPr>
        <w:pStyle w:val="Compact"/>
        <w:numPr>
          <w:ilvl w:val="0"/>
          <w:numId w:val="1038"/>
        </w:numPr>
      </w:pPr>
      <w:r>
        <w:t xml:space="preserve">Trip events and proofs are captured.</w:t>
      </w:r>
    </w:p>
    <w:p>
      <w:pPr>
        <w:pStyle w:val="Compact"/>
        <w:numPr>
          <w:ilvl w:val="0"/>
          <w:numId w:val="1038"/>
        </w:numPr>
      </w:pPr>
      <w:r>
        <w:t xml:space="preserve">Settlement is posted to</w:t>
      </w:r>
      <w:r>
        <w:t xml:space="preserve"> </w:t>
      </w:r>
      <w:r>
        <w:rPr>
          <w:rStyle w:val="VerbatimChar"/>
        </w:rPr>
        <w:t xml:space="preserve">Accounting</w:t>
      </w:r>
      <w:r>
        <w:t xml:space="preserve">.</w:t>
      </w:r>
    </w:p>
    <w:bookmarkEnd w:id="137"/>
    <w:bookmarkStart w:id="138" w:name="Xdbc1e58726775ae353dffe29a9457b7901d86b0"/>
    <w:p>
      <w:pPr>
        <w:pStyle w:val="Heading3"/>
      </w:pPr>
      <w:r>
        <w:t xml:space="preserve">12.4.3 Transportation to Assets</w:t>
      </w:r>
    </w:p>
    <w:p>
      <w:pPr>
        <w:pStyle w:val="FirstParagraph"/>
      </w:pPr>
      <w:r>
        <w:rPr>
          <w:rStyle w:val="VerbatimChar"/>
        </w:rPr>
        <w:t xml:space="preserve">Transportation</w:t>
      </w:r>
      <w:r>
        <w:t xml:space="preserve"> </w:t>
      </w:r>
      <w:r>
        <w:t xml:space="preserve">may reference</w:t>
      </w:r>
      <w:r>
        <w:t xml:space="preserve"> </w:t>
      </w:r>
      <w:r>
        <w:rPr>
          <w:rStyle w:val="VerbatimChar"/>
        </w:rPr>
        <w:t xml:space="preserve">Assets</w:t>
      </w:r>
      <w:r>
        <w:t xml:space="preserve"> </w:t>
      </w:r>
      <w:r>
        <w:t xml:space="preserve">for vehicle identity, maintenance hold state, insurance status, and odometer context.</w:t>
      </w:r>
      <w:r>
        <w:t xml:space="preserve"> </w:t>
      </w:r>
      <w:r>
        <w:rPr>
          <w:rStyle w:val="VerbatimChar"/>
        </w:rPr>
        <w:t xml:space="preserve">Assets</w:t>
      </w:r>
      <w:r>
        <w:t xml:space="preserve"> </w:t>
      </w:r>
      <w:r>
        <w:t xml:space="preserve">does not own trip records, route stops, or dispatch queues.</w:t>
      </w:r>
    </w:p>
    <w:bookmarkEnd w:id="138"/>
    <w:bookmarkEnd w:id="139"/>
    <w:bookmarkStart w:id="140" w:name="X20e6125eb46ef43c13f682abb298a31823c0104"/>
    <w:p>
      <w:pPr>
        <w:pStyle w:val="Heading2"/>
      </w:pPr>
      <w:r>
        <w:t xml:space="preserve">12.5 High-Level Data Ownership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Owning Module</w:t>
            </w:r>
          </w:p>
        </w:tc>
      </w:tr>
      <w:tr>
        <w:tc>
          <w:tcPr/>
          <w:p>
            <w:pPr>
              <w:pStyle w:val="Compact"/>
            </w:pPr>
            <w:r>
              <w:t xml:space="preserve">Engineering revision</w:t>
            </w:r>
          </w:p>
        </w:tc>
        <w:tc>
          <w:tcPr/>
          <w:p>
            <w:pPr>
              <w:pStyle w:val="Compact"/>
            </w:pPr>
            <w:r>
              <w:rPr>
                <w:rStyle w:val="VerbatimChar"/>
              </w:rPr>
              <w:t xml:space="preserve">PLM</w:t>
            </w:r>
          </w:p>
        </w:tc>
      </w:tr>
      <w:tr>
        <w:tc>
          <w:tcPr/>
          <w:p>
            <w:pPr>
              <w:pStyle w:val="Compact"/>
            </w:pPr>
            <w:r>
              <w:t xml:space="preserve">Effective BOM and release baseline</w:t>
            </w:r>
          </w:p>
        </w:tc>
        <w:tc>
          <w:tcPr/>
          <w:p>
            <w:pPr>
              <w:pStyle w:val="Compact"/>
            </w:pPr>
            <w:r>
              <w:rPr>
                <w:rStyle w:val="VerbatimChar"/>
              </w:rPr>
              <w:t xml:space="preserve">PLM</w:t>
            </w:r>
          </w:p>
        </w:tc>
      </w:tr>
      <w:tr>
        <w:tc>
          <w:tcPr/>
          <w:p>
            <w:pPr>
              <w:pStyle w:val="Compact"/>
            </w:pPr>
            <w:r>
              <w:t xml:space="preserve">Production operation status</w:t>
            </w:r>
          </w:p>
        </w:tc>
        <w:tc>
          <w:tcPr/>
          <w:p>
            <w:pPr>
              <w:pStyle w:val="Compact"/>
            </w:pPr>
            <w:r>
              <w:rPr>
                <w:rStyle w:val="VerbatimChar"/>
              </w:rPr>
              <w:t xml:space="preserve">Manufacturing</w:t>
            </w:r>
          </w:p>
        </w:tc>
      </w:tr>
      <w:tr>
        <w:tc>
          <w:tcPr/>
          <w:p>
            <w:pPr>
              <w:pStyle w:val="Compact"/>
            </w:pPr>
            <w:r>
              <w:t xml:space="preserve">Production genealogy</w:t>
            </w:r>
          </w:p>
        </w:tc>
        <w:tc>
          <w:tcPr/>
          <w:p>
            <w:pPr>
              <w:pStyle w:val="Compact"/>
            </w:pPr>
            <w:r>
              <w:rPr>
                <w:rStyle w:val="VerbatimChar"/>
              </w:rPr>
              <w:t xml:space="preserve">Manufacturing</w:t>
            </w:r>
          </w:p>
        </w:tc>
      </w:tr>
      <w:tr>
        <w:tc>
          <w:tcPr/>
          <w:p>
            <w:pPr>
              <w:pStyle w:val="Compact"/>
            </w:pPr>
            <w:r>
              <w:t xml:space="preserve">Vehicle asset book value and depreciation</w:t>
            </w:r>
          </w:p>
        </w:tc>
        <w:tc>
          <w:tcPr/>
          <w:p>
            <w:pPr>
              <w:pStyle w:val="Compact"/>
            </w:pPr>
            <w:r>
              <w:rPr>
                <w:rStyle w:val="VerbatimChar"/>
              </w:rPr>
              <w:t xml:space="preserve">ASSETS</w:t>
            </w:r>
          </w:p>
        </w:tc>
      </w:tr>
      <w:tr>
        <w:tc>
          <w:tcPr/>
          <w:p>
            <w:pPr>
              <w:pStyle w:val="Compact"/>
            </w:pPr>
            <w:r>
              <w:t xml:space="preserve">Shipment route and dispatch state</w:t>
            </w:r>
          </w:p>
        </w:tc>
        <w:tc>
          <w:tcPr/>
          <w:p>
            <w:pPr>
              <w:pStyle w:val="Compact"/>
            </w:pPr>
            <w:r>
              <w:rPr>
                <w:rStyle w:val="VerbatimChar"/>
              </w:rPr>
              <w:t xml:space="preserve">TRANSPORTATION</w:t>
            </w:r>
          </w:p>
        </w:tc>
      </w:tr>
      <w:tr>
        <w:tc>
          <w:tcPr/>
          <w:p>
            <w:pPr>
              <w:pStyle w:val="Compact"/>
            </w:pPr>
            <w:r>
              <w:t xml:space="preserve">Proof of delivery and freight settlement</w:t>
            </w:r>
          </w:p>
        </w:tc>
        <w:tc>
          <w:tcPr/>
          <w:p>
            <w:pPr>
              <w:pStyle w:val="Compact"/>
            </w:pPr>
            <w:r>
              <w:rPr>
                <w:rStyle w:val="VerbatimChar"/>
              </w:rPr>
              <w:t xml:space="preserve">TRANSPORTATION</w:t>
            </w:r>
          </w:p>
        </w:tc>
      </w:tr>
    </w:tbl>
    <w:bookmarkEnd w:id="140"/>
    <w:bookmarkStart w:id="141" w:name="Xbbc2a3f8d3fb28ea14f0aa0a91375e1e78999ae"/>
    <w:p>
      <w:pPr>
        <w:pStyle w:val="Heading2"/>
      </w:pPr>
      <w:r>
        <w:t xml:space="preserve">12.6 Failure and Recovery Boundaries</w:t>
      </w:r>
    </w:p>
    <w:p>
      <w:pPr>
        <w:pStyle w:val="Compact"/>
        <w:numPr>
          <w:ilvl w:val="0"/>
          <w:numId w:val="1039"/>
        </w:numPr>
      </w:pPr>
      <w:r>
        <w:t xml:space="preserve">Failure of PLM downstream publication shall not corrupt the released engineering revision; publication retries occur asynchronously with visible failure state.</w:t>
      </w:r>
    </w:p>
    <w:p>
      <w:pPr>
        <w:pStyle w:val="Compact"/>
        <w:numPr>
          <w:ilvl w:val="0"/>
          <w:numId w:val="1039"/>
        </w:numPr>
      </w:pPr>
      <w:r>
        <w:t xml:space="preserve">Failure of telematics or ETA refresh shall not block manual transportation execution, proof capture, or settlement.</w:t>
      </w:r>
    </w:p>
    <w:p>
      <w:pPr>
        <w:pStyle w:val="Compact"/>
        <w:numPr>
          <w:ilvl w:val="0"/>
          <w:numId w:val="1039"/>
        </w:numPr>
      </w:pPr>
      <w:r>
        <w:t xml:space="preserve">Failure of manufacturing machine-event ingestion shall not block manual operation progression.</w:t>
      </w:r>
    </w:p>
    <w:p>
      <w:pPr>
        <w:pStyle w:val="Compact"/>
        <w:numPr>
          <w:ilvl w:val="0"/>
          <w:numId w:val="1039"/>
        </w:numPr>
      </w:pPr>
      <w:r>
        <w:t xml:space="preserve">Cross-module financial postings shall remain transactionally consistent inside the owning module's posting boundary.</w:t>
      </w:r>
    </w:p>
    <w:bookmarkEnd w:id="141"/>
    <w:bookmarkEnd w:id="142"/>
    <w:bookmarkStart w:id="164" w:name="X5b11333578ef0e06b9bf20e70743870480cfcb1"/>
    <w:p>
      <w:pPr>
        <w:pStyle w:val="Heading1"/>
      </w:pPr>
      <w:r>
        <w:t xml:space="preserve">13. Finance Operations and Group Architecture</w:t>
      </w:r>
    </w:p>
    <w:bookmarkStart w:id="143" w:name="X856b02f8f4f28c049836d6db814cad76455e594"/>
    <w:p>
      <w:pPr>
        <w:pStyle w:val="Heading2"/>
      </w:pPr>
      <w:r>
        <w:t xml:space="preserve">13.1 Purpose</w:t>
      </w:r>
    </w:p>
    <w:p>
      <w:pPr>
        <w:pStyle w:val="FirstParagraph"/>
      </w:pPr>
      <w:r>
        <w:t xml:space="preserve">This section extends the KraalCode architecture with finance operations and group-finance capabilities that sit above core accounting. The design strengthens controlled cash execution, bank-facing integration boundaries, asset-accounting integration, and group reporting readiness while keeping KraalCode as the system of record for operational ERP data and the authoritative posting engine for subledger-to-general-ledger accounting.</w:t>
      </w:r>
    </w:p>
    <w:bookmarkEnd w:id="143"/>
    <w:bookmarkStart w:id="144" w:name="Xae8b1685d429e15ce501b030b3e52b7af47582b"/>
    <w:p>
      <w:pPr>
        <w:pStyle w:val="Heading2"/>
      </w:pPr>
      <w:r>
        <w:t xml:space="preserve">13.2 Architectural Principles</w:t>
      </w:r>
    </w:p>
    <w:p>
      <w:pPr>
        <w:pStyle w:val="Compact"/>
        <w:numPr>
          <w:ilvl w:val="0"/>
          <w:numId w:val="1040"/>
        </w:numPr>
      </w:pPr>
      <w:r>
        <w:t xml:space="preserve">KraalCode remains the ERP core for vendors, customers, invoices, payments, journals, asset registers, entity structures, and operational accounting events.</w:t>
      </w:r>
    </w:p>
    <w:p>
      <w:pPr>
        <w:pStyle w:val="Compact"/>
        <w:numPr>
          <w:ilvl w:val="0"/>
          <w:numId w:val="1040"/>
        </w:numPr>
      </w:pPr>
      <w:r>
        <w:t xml:space="preserve">Payment execution is governed inside KraalCode through preparation, approval, release, and evidence capture even when an external bank connector or treasury workstation performs the final transmission.</w:t>
      </w:r>
    </w:p>
    <w:p>
      <w:pPr>
        <w:pStyle w:val="Compact"/>
        <w:numPr>
          <w:ilvl w:val="0"/>
          <w:numId w:val="1040"/>
        </w:numPr>
      </w:pPr>
      <w:r>
        <w:t xml:space="preserve">Bank connectivity is an integration boundary, not a ledger boundary. Imported bank data enriches reconciliation and cash visibility but does not replace ERP-controlled accounting.</w:t>
      </w:r>
    </w:p>
    <w:p>
      <w:pPr>
        <w:pStyle w:val="Compact"/>
        <w:numPr>
          <w:ilvl w:val="0"/>
          <w:numId w:val="1040"/>
        </w:numPr>
      </w:pPr>
      <w:r>
        <w:t xml:space="preserve">Asset accounting is managed as an ERP-controlled finance operation that converts operational asset events into governed accounting runs, depreciation postings, and reporting outputs.</w:t>
      </w:r>
    </w:p>
    <w:p>
      <w:pPr>
        <w:pStyle w:val="Compact"/>
        <w:numPr>
          <w:ilvl w:val="0"/>
          <w:numId w:val="1040"/>
        </w:numPr>
      </w:pPr>
      <w:r>
        <w:t xml:space="preserve">Group finance capabilities provide consolidation-ready orchestration inside KraalCode and preserve optional integration points for external consolidation or treasury tools where regulatory scale or group complexity later demands them.</w:t>
      </w:r>
    </w:p>
    <w:bookmarkEnd w:id="144"/>
    <w:bookmarkStart w:id="149" w:name="Xa16bcde4ed10f8eb0904f2849ab0360b7a3a63e"/>
    <w:p>
      <w:pPr>
        <w:pStyle w:val="Heading2"/>
      </w:pPr>
      <w:r>
        <w:t xml:space="preserve">13.3 Capability Domains</w:t>
      </w:r>
    </w:p>
    <w:bookmarkStart w:id="145" w:name="X489c7adb9a85a48a0663cead1fb84caa7d29f9c"/>
    <w:p>
      <w:pPr>
        <w:pStyle w:val="Heading3"/>
      </w:pPr>
      <w:r>
        <w:t xml:space="preserve">13.3.1 Payment Control Domain</w:t>
      </w:r>
    </w:p>
    <w:p>
      <w:pPr>
        <w:pStyle w:val="FirstParagraph"/>
      </w:pPr>
      <w:r>
        <w:t xml:space="preserve">The payment control domain governs the lifecycle from approved payable obligations to payment release evidence. It includes:</w:t>
      </w:r>
    </w:p>
    <w:p>
      <w:pPr>
        <w:pStyle w:val="Compact"/>
        <w:numPr>
          <w:ilvl w:val="0"/>
          <w:numId w:val="1041"/>
        </w:numPr>
      </w:pPr>
      <w:r>
        <w:t xml:space="preserve">bank account governance</w:t>
      </w:r>
    </w:p>
    <w:p>
      <w:pPr>
        <w:pStyle w:val="Compact"/>
        <w:numPr>
          <w:ilvl w:val="0"/>
          <w:numId w:val="1041"/>
        </w:numPr>
      </w:pPr>
      <w:r>
        <w:t xml:space="preserve">payment batch assembly</w:t>
      </w:r>
    </w:p>
    <w:p>
      <w:pPr>
        <w:pStyle w:val="Compact"/>
        <w:numPr>
          <w:ilvl w:val="0"/>
          <w:numId w:val="1041"/>
        </w:numPr>
      </w:pPr>
      <w:r>
        <w:t xml:space="preserve">maker-checker approval chains</w:t>
      </w:r>
    </w:p>
    <w:p>
      <w:pPr>
        <w:pStyle w:val="Compact"/>
        <w:numPr>
          <w:ilvl w:val="0"/>
          <w:numId w:val="1041"/>
        </w:numPr>
      </w:pPr>
      <w:r>
        <w:t xml:space="preserve">release authorisation</w:t>
      </w:r>
    </w:p>
    <w:p>
      <w:pPr>
        <w:pStyle w:val="Compact"/>
        <w:numPr>
          <w:ilvl w:val="0"/>
          <w:numId w:val="1041"/>
        </w:numPr>
      </w:pPr>
      <w:r>
        <w:t xml:space="preserve">bank transmission status capture</w:t>
      </w:r>
    </w:p>
    <w:p>
      <w:pPr>
        <w:pStyle w:val="Compact"/>
        <w:numPr>
          <w:ilvl w:val="0"/>
          <w:numId w:val="1041"/>
        </w:numPr>
      </w:pPr>
      <w:r>
        <w:t xml:space="preserve">rejection and return handling</w:t>
      </w:r>
    </w:p>
    <w:p>
      <w:pPr>
        <w:pStyle w:val="Compact"/>
        <w:numPr>
          <w:ilvl w:val="0"/>
          <w:numId w:val="1041"/>
        </w:numPr>
      </w:pPr>
      <w:r>
        <w:t xml:space="preserve">audit evidence retention</w:t>
      </w:r>
    </w:p>
    <w:p>
      <w:pPr>
        <w:pStyle w:val="FirstParagraph"/>
      </w:pPr>
      <w:r>
        <w:t xml:space="preserve">This domain depends on</w:t>
      </w:r>
      <w:r>
        <w:t xml:space="preserve"> </w:t>
      </w:r>
      <w:r>
        <w:rPr>
          <w:rStyle w:val="VerbatimChar"/>
        </w:rPr>
        <w:t xml:space="preserve">ACCOUNTING</w:t>
      </w:r>
      <w:r>
        <w:t xml:space="preserve">,</w:t>
      </w:r>
      <w:r>
        <w:t xml:space="preserve"> </w:t>
      </w:r>
      <w:r>
        <w:rPr>
          <w:rStyle w:val="VerbatimChar"/>
        </w:rPr>
        <w:t xml:space="preserve">PROCUREMENT</w:t>
      </w:r>
      <w:r>
        <w:t xml:space="preserve">, and workflow services but does not duplicate invoice ownership or vendor master ownership.</w:t>
      </w:r>
    </w:p>
    <w:bookmarkEnd w:id="145"/>
    <w:bookmarkStart w:id="146" w:name="X6b1a1a2d158ca19d0c77df961a2db769cb0a444"/>
    <w:p>
      <w:pPr>
        <w:pStyle w:val="Heading3"/>
      </w:pPr>
      <w:r>
        <w:t xml:space="preserve">13.3.2 Bank Connectivity and Cash Evidence Domain</w:t>
      </w:r>
    </w:p>
    <w:p>
      <w:pPr>
        <w:pStyle w:val="FirstParagraph"/>
      </w:pPr>
      <w:r>
        <w:t xml:space="preserve">This domain manages:</w:t>
      </w:r>
    </w:p>
    <w:p>
      <w:pPr>
        <w:pStyle w:val="Compact"/>
        <w:numPr>
          <w:ilvl w:val="0"/>
          <w:numId w:val="1042"/>
        </w:numPr>
      </w:pPr>
      <w:r>
        <w:t xml:space="preserve">internal bank-account master data</w:t>
      </w:r>
    </w:p>
    <w:p>
      <w:pPr>
        <w:pStyle w:val="Compact"/>
        <w:numPr>
          <w:ilvl w:val="0"/>
          <w:numId w:val="1042"/>
        </w:numPr>
      </w:pPr>
      <w:r>
        <w:t xml:space="preserve">external bank statement imports</w:t>
      </w:r>
    </w:p>
    <w:p>
      <w:pPr>
        <w:pStyle w:val="Compact"/>
        <w:numPr>
          <w:ilvl w:val="0"/>
          <w:numId w:val="1042"/>
        </w:numPr>
      </w:pPr>
      <w:r>
        <w:t xml:space="preserve">secure connector handoff points</w:t>
      </w:r>
    </w:p>
    <w:p>
      <w:pPr>
        <w:pStyle w:val="Compact"/>
        <w:numPr>
          <w:ilvl w:val="0"/>
          <w:numId w:val="1042"/>
        </w:numPr>
      </w:pPr>
      <w:r>
        <w:t xml:space="preserve">statement parsing and import staging</w:t>
      </w:r>
    </w:p>
    <w:p>
      <w:pPr>
        <w:pStyle w:val="Compact"/>
        <w:numPr>
          <w:ilvl w:val="0"/>
          <w:numId w:val="1042"/>
        </w:numPr>
      </w:pPr>
      <w:r>
        <w:t xml:space="preserve">reconciliation matching and exception queues</w:t>
      </w:r>
    </w:p>
    <w:p>
      <w:pPr>
        <w:pStyle w:val="Compact"/>
        <w:numPr>
          <w:ilvl w:val="0"/>
          <w:numId w:val="1042"/>
        </w:numPr>
      </w:pPr>
      <w:r>
        <w:t xml:space="preserve">imported bank evidence retention</w:t>
      </w:r>
    </w:p>
    <w:p>
      <w:pPr>
        <w:pStyle w:val="FirstParagraph"/>
      </w:pPr>
      <w:r>
        <w:t xml:space="preserve">The bank connectivity layer supports direct bank APIs, host-to-host files, SWIFT service providers, and manual statement import. Connector adapters remain replaceable so KraalCode can integrate with regional African banks, PSPs, and future treasury tools without changing finance core services.</w:t>
      </w:r>
    </w:p>
    <w:bookmarkEnd w:id="146"/>
    <w:bookmarkStart w:id="147" w:name="X79fd63cb542d4bab08431b2c4af6c49a4565c0f"/>
    <w:p>
      <w:pPr>
        <w:pStyle w:val="Heading3"/>
      </w:pPr>
      <w:r>
        <w:t xml:space="preserve">13.3.3 Asset Accounting Operations Domain</w:t>
      </w:r>
    </w:p>
    <w:p>
      <w:pPr>
        <w:pStyle w:val="FirstParagraph"/>
      </w:pPr>
      <w:r>
        <w:t xml:space="preserve">This domain bridges fixed-asset operational records and finance postings. It manages:</w:t>
      </w:r>
    </w:p>
    <w:p>
      <w:pPr>
        <w:pStyle w:val="Compact"/>
        <w:numPr>
          <w:ilvl w:val="0"/>
          <w:numId w:val="1043"/>
        </w:numPr>
      </w:pPr>
      <w:r>
        <w:t xml:space="preserve">accounting books per entity and basis</w:t>
      </w:r>
    </w:p>
    <w:p>
      <w:pPr>
        <w:pStyle w:val="Compact"/>
        <w:numPr>
          <w:ilvl w:val="0"/>
          <w:numId w:val="1043"/>
        </w:numPr>
      </w:pPr>
      <w:r>
        <w:t xml:space="preserve">depreciation and amortisation runs</w:t>
      </w:r>
    </w:p>
    <w:p>
      <w:pPr>
        <w:pStyle w:val="Compact"/>
        <w:numPr>
          <w:ilvl w:val="0"/>
          <w:numId w:val="1043"/>
        </w:numPr>
      </w:pPr>
      <w:r>
        <w:t xml:space="preserve">asset transfer and disposal accounting generation</w:t>
      </w:r>
    </w:p>
    <w:p>
      <w:pPr>
        <w:pStyle w:val="Compact"/>
        <w:numPr>
          <w:ilvl w:val="0"/>
          <w:numId w:val="1043"/>
        </w:numPr>
      </w:pPr>
      <w:r>
        <w:t xml:space="preserve">period-end asset close checks</w:t>
      </w:r>
    </w:p>
    <w:p>
      <w:pPr>
        <w:pStyle w:val="Compact"/>
        <w:numPr>
          <w:ilvl w:val="0"/>
          <w:numId w:val="1043"/>
        </w:numPr>
      </w:pPr>
      <w:r>
        <w:t xml:space="preserve">tie-out between asset subledger and general ledger</w:t>
      </w:r>
    </w:p>
    <w:p>
      <w:pPr>
        <w:pStyle w:val="FirstParagraph"/>
      </w:pPr>
      <w:r>
        <w:t xml:space="preserve">Operational asset lifecycle data continues to originate in the asset module, while finance operations govern accounting treatment and periodised posting runs.</w:t>
      </w:r>
    </w:p>
    <w:bookmarkEnd w:id="147"/>
    <w:bookmarkStart w:id="148" w:name="X7d43cfb7b889a8fad8f1201e49c3718e8a13e89"/>
    <w:p>
      <w:pPr>
        <w:pStyle w:val="Heading3"/>
      </w:pPr>
      <w:r>
        <w:t xml:space="preserve">13.3.4 Group Finance and Consolidation Domain</w:t>
      </w:r>
    </w:p>
    <w:p>
      <w:pPr>
        <w:pStyle w:val="FirstParagraph"/>
      </w:pPr>
      <w:r>
        <w:t xml:space="preserve">This domain supports:</w:t>
      </w:r>
    </w:p>
    <w:p>
      <w:pPr>
        <w:pStyle w:val="Compact"/>
        <w:numPr>
          <w:ilvl w:val="0"/>
          <w:numId w:val="1044"/>
        </w:numPr>
      </w:pPr>
      <w:r>
        <w:t xml:space="preserve">ownership hierarchies</w:t>
      </w:r>
    </w:p>
    <w:p>
      <w:pPr>
        <w:pStyle w:val="Compact"/>
        <w:numPr>
          <w:ilvl w:val="0"/>
          <w:numId w:val="1044"/>
        </w:numPr>
      </w:pPr>
      <w:r>
        <w:t xml:space="preserve">reporting groups</w:t>
      </w:r>
    </w:p>
    <w:p>
      <w:pPr>
        <w:pStyle w:val="Compact"/>
        <w:numPr>
          <w:ilvl w:val="0"/>
          <w:numId w:val="1044"/>
        </w:numPr>
      </w:pPr>
      <w:r>
        <w:t xml:space="preserve">FX translation runs</w:t>
      </w:r>
    </w:p>
    <w:p>
      <w:pPr>
        <w:pStyle w:val="Compact"/>
        <w:numPr>
          <w:ilvl w:val="0"/>
          <w:numId w:val="1044"/>
        </w:numPr>
      </w:pPr>
      <w:r>
        <w:t xml:space="preserve">elimination runs</w:t>
      </w:r>
    </w:p>
    <w:p>
      <w:pPr>
        <w:pStyle w:val="Compact"/>
        <w:numPr>
          <w:ilvl w:val="0"/>
          <w:numId w:val="1044"/>
        </w:numPr>
      </w:pPr>
      <w:r>
        <w:t xml:space="preserve">top-side adjustments</w:t>
      </w:r>
    </w:p>
    <w:p>
      <w:pPr>
        <w:pStyle w:val="Compact"/>
        <w:numPr>
          <w:ilvl w:val="0"/>
          <w:numId w:val="1044"/>
        </w:numPr>
      </w:pPr>
      <w:r>
        <w:t xml:space="preserve">reporting certification and sign-off</w:t>
      </w:r>
    </w:p>
    <w:p>
      <w:pPr>
        <w:pStyle w:val="FirstParagraph"/>
      </w:pPr>
      <w:r>
        <w:t xml:space="preserve">The domain is designed for SME through mid-market multi-entity groups and provides a clean export boundary for future enterprise treasury or specialist consolidation platforms.</w:t>
      </w:r>
    </w:p>
    <w:bookmarkEnd w:id="148"/>
    <w:bookmarkEnd w:id="149"/>
    <w:bookmarkStart w:id="153" w:name="Xd1db162118066ad0c57ce582ff91c6535653aff"/>
    <w:p>
      <w:pPr>
        <w:pStyle w:val="Heading2"/>
      </w:pPr>
      <w:r>
        <w:t xml:space="preserve">13.4 Service Boundaries</w:t>
      </w:r>
    </w:p>
    <w:bookmarkStart w:id="150" w:name="X81f50ed1c19ed907e2091453218ef9bb988a10c"/>
    <w:p>
      <w:pPr>
        <w:pStyle w:val="Heading3"/>
      </w:pPr>
      <w:r>
        <w:t xml:space="preserve">13.4.1 ERP Core Services</w:t>
      </w:r>
    </w:p>
    <w:p>
      <w:pPr>
        <w:pStyle w:val="FirstParagraph"/>
      </w:pPr>
      <w:r>
        <w:t xml:space="preserve">ERP core services continue to own:</w:t>
      </w:r>
    </w:p>
    <w:p>
      <w:pPr>
        <w:pStyle w:val="Compact"/>
        <w:numPr>
          <w:ilvl w:val="0"/>
          <w:numId w:val="1045"/>
        </w:numPr>
      </w:pPr>
      <w:r>
        <w:t xml:space="preserve">entities and legal-company master data</w:t>
      </w:r>
    </w:p>
    <w:p>
      <w:pPr>
        <w:pStyle w:val="Compact"/>
        <w:numPr>
          <w:ilvl w:val="0"/>
          <w:numId w:val="1045"/>
        </w:numPr>
      </w:pPr>
      <w:r>
        <w:t xml:space="preserve">chart of accounts and fiscal calendars</w:t>
      </w:r>
    </w:p>
    <w:p>
      <w:pPr>
        <w:pStyle w:val="Compact"/>
        <w:numPr>
          <w:ilvl w:val="0"/>
          <w:numId w:val="1045"/>
        </w:numPr>
      </w:pPr>
      <w:r>
        <w:t xml:space="preserve">source transactions and journals</w:t>
      </w:r>
    </w:p>
    <w:p>
      <w:pPr>
        <w:pStyle w:val="Compact"/>
        <w:numPr>
          <w:ilvl w:val="0"/>
          <w:numId w:val="1045"/>
        </w:numPr>
      </w:pPr>
      <w:r>
        <w:t xml:space="preserve">asset master records and operational lifecycle events</w:t>
      </w:r>
    </w:p>
    <w:p>
      <w:pPr>
        <w:pStyle w:val="Compact"/>
        <w:numPr>
          <w:ilvl w:val="0"/>
          <w:numId w:val="1045"/>
        </w:numPr>
      </w:pPr>
      <w:r>
        <w:t xml:space="preserve">vendor/customer obligations</w:t>
      </w:r>
    </w:p>
    <w:bookmarkEnd w:id="150"/>
    <w:bookmarkStart w:id="151" w:name="X3593741b382d4bc3c325617a33416b9edbc63a8"/>
    <w:p>
      <w:pPr>
        <w:pStyle w:val="Heading3"/>
      </w:pPr>
      <w:r>
        <w:t xml:space="preserve">13.4.2 Finance Operations Services</w:t>
      </w:r>
    </w:p>
    <w:p>
      <w:pPr>
        <w:pStyle w:val="FirstParagraph"/>
      </w:pPr>
      <w:r>
        <w:t xml:space="preserve">Finance operations services own:</w:t>
      </w:r>
    </w:p>
    <w:p>
      <w:pPr>
        <w:pStyle w:val="Compact"/>
        <w:numPr>
          <w:ilvl w:val="0"/>
          <w:numId w:val="1046"/>
        </w:numPr>
      </w:pPr>
      <w:r>
        <w:t xml:space="preserve">bank account approval metadata</w:t>
      </w:r>
    </w:p>
    <w:p>
      <w:pPr>
        <w:pStyle w:val="Compact"/>
        <w:numPr>
          <w:ilvl w:val="0"/>
          <w:numId w:val="1046"/>
        </w:numPr>
      </w:pPr>
      <w:r>
        <w:t xml:space="preserve">payment batches and release controls</w:t>
      </w:r>
    </w:p>
    <w:p>
      <w:pPr>
        <w:pStyle w:val="Compact"/>
        <w:numPr>
          <w:ilvl w:val="0"/>
          <w:numId w:val="1046"/>
        </w:numPr>
      </w:pPr>
      <w:r>
        <w:t xml:space="preserve">bank statement ingestion metadata</w:t>
      </w:r>
    </w:p>
    <w:p>
      <w:pPr>
        <w:pStyle w:val="Compact"/>
        <w:numPr>
          <w:ilvl w:val="0"/>
          <w:numId w:val="1046"/>
        </w:numPr>
      </w:pPr>
      <w:r>
        <w:t xml:space="preserve">reconciliation work queues</w:t>
      </w:r>
    </w:p>
    <w:p>
      <w:pPr>
        <w:pStyle w:val="Compact"/>
        <w:numPr>
          <w:ilvl w:val="0"/>
          <w:numId w:val="1046"/>
        </w:numPr>
      </w:pPr>
      <w:r>
        <w:t xml:space="preserve">depreciation run orchestration</w:t>
      </w:r>
    </w:p>
    <w:p>
      <w:pPr>
        <w:pStyle w:val="Compact"/>
        <w:numPr>
          <w:ilvl w:val="0"/>
          <w:numId w:val="1046"/>
        </w:numPr>
      </w:pPr>
      <w:r>
        <w:t xml:space="preserve">group-finance orchestration records</w:t>
      </w:r>
    </w:p>
    <w:p>
      <w:pPr>
        <w:pStyle w:val="Compact"/>
        <w:numPr>
          <w:ilvl w:val="0"/>
          <w:numId w:val="1046"/>
        </w:numPr>
      </w:pPr>
      <w:r>
        <w:t xml:space="preserve">reporting certification evidence</w:t>
      </w:r>
    </w:p>
    <w:bookmarkEnd w:id="151"/>
    <w:bookmarkStart w:id="152" w:name="X368d32e05aac342bf7d900e8775ca93a143df95"/>
    <w:p>
      <w:pPr>
        <w:pStyle w:val="Heading3"/>
      </w:pPr>
      <w:r>
        <w:t xml:space="preserve">13.4.3 External Tool Boundary</w:t>
      </w:r>
    </w:p>
    <w:p>
      <w:pPr>
        <w:pStyle w:val="FirstParagraph"/>
      </w:pPr>
      <w:r>
        <w:t xml:space="preserve">External treasury, banking, and specialist consolidation tools may be introduced later. When present, they must integrate through defined APIs or import/export contracts and must not become the hidden source of truth for ERP entity structures, master data, or accounting balances. KraalCode remains the authoritative business and accounting platform; external tools may add specialised optimisation, connectivity, or advanced group-reporting workflows.</w:t>
      </w:r>
    </w:p>
    <w:bookmarkEnd w:id="152"/>
    <w:bookmarkEnd w:id="153"/>
    <w:bookmarkStart w:id="156" w:name="X0c2fecae53a4d97ece32a1031fa34b5a9e88422"/>
    <w:p>
      <w:pPr>
        <w:pStyle w:val="Heading2"/>
      </w:pPr>
      <w:r>
        <w:t xml:space="preserve">13.5 Reference Architecture</w:t>
      </w:r>
    </w:p>
    <w:p>
      <w:pPr>
        <w:pStyle w:val="SourceCode"/>
      </w:pPr>
      <w:r>
        <w:rPr>
          <w:rStyle w:val="VerbatimChar"/>
        </w:rPr>
        <w:t xml:space="preserve">Operational Modules -&gt; Accounting Core -&gt; Finance Operations Layer -&gt; Integration Adapters -&gt; Banks / Treasury / Consolidation Tools</w:t>
      </w:r>
      <w:r>
        <w:br/>
      </w:r>
      <w:r>
        <w:rPr>
          <w:rStyle w:val="VerbatimChar"/>
        </w:rPr>
        <w:t xml:space="preserve">                                           |                         |</w:t>
      </w:r>
      <w:r>
        <w:br/>
      </w:r>
      <w:r>
        <w:rPr>
          <w:rStyle w:val="VerbatimChar"/>
        </w:rPr>
        <w:t xml:space="preserve">                                           +-&gt; Reporting Evidence    +-&gt; Statements / Payment Status / FX Inputs</w:t>
      </w:r>
    </w:p>
    <w:bookmarkStart w:id="154" w:name="Xedb974ac1e7e83d65cf938d4ae829e3af640ca4"/>
    <w:p>
      <w:pPr>
        <w:pStyle w:val="Heading3"/>
      </w:pPr>
      <w:r>
        <w:t xml:space="preserve">13.5.1 Payment Flow</w:t>
      </w:r>
    </w:p>
    <w:p>
      <w:pPr>
        <w:pStyle w:val="Compact"/>
        <w:numPr>
          <w:ilvl w:val="0"/>
          <w:numId w:val="1047"/>
        </w:numPr>
      </w:pPr>
      <w:r>
        <w:t xml:space="preserve">Approved obligations are selected into payment batches.</w:t>
      </w:r>
    </w:p>
    <w:p>
      <w:pPr>
        <w:pStyle w:val="Compact"/>
        <w:numPr>
          <w:ilvl w:val="0"/>
          <w:numId w:val="1047"/>
        </w:numPr>
      </w:pPr>
      <w:r>
        <w:t xml:space="preserve">Payment batches are validated against bank account policies, signer matrices, and approval thresholds.</w:t>
      </w:r>
    </w:p>
    <w:p>
      <w:pPr>
        <w:pStyle w:val="Compact"/>
        <w:numPr>
          <w:ilvl w:val="0"/>
          <w:numId w:val="1047"/>
        </w:numPr>
      </w:pPr>
      <w:r>
        <w:t xml:space="preserve">Release-approved batches are transmitted through connector adapters or exported for controlled external execution.</w:t>
      </w:r>
    </w:p>
    <w:p>
      <w:pPr>
        <w:pStyle w:val="Compact"/>
        <w:numPr>
          <w:ilvl w:val="0"/>
          <w:numId w:val="1047"/>
        </w:numPr>
      </w:pPr>
      <w:r>
        <w:t xml:space="preserve">Bank acknowledgements, returns, or statement events are captured back into KraalCode.</w:t>
      </w:r>
    </w:p>
    <w:p>
      <w:pPr>
        <w:pStyle w:val="Compact"/>
        <w:numPr>
          <w:ilvl w:val="0"/>
          <w:numId w:val="1047"/>
        </w:numPr>
      </w:pPr>
      <w:r>
        <w:t xml:space="preserve">Reconciliation and accounting status are updated with full audit evidence.</w:t>
      </w:r>
    </w:p>
    <w:bookmarkEnd w:id="154"/>
    <w:bookmarkStart w:id="155" w:name="Xd254de1d7e2a6a6bf019bf11987847187eb2777"/>
    <w:p>
      <w:pPr>
        <w:pStyle w:val="Heading3"/>
      </w:pPr>
      <w:r>
        <w:t xml:space="preserve">13.5.2 Group Close Flow</w:t>
      </w:r>
    </w:p>
    <w:p>
      <w:pPr>
        <w:pStyle w:val="Compact"/>
        <w:numPr>
          <w:ilvl w:val="0"/>
          <w:numId w:val="1048"/>
        </w:numPr>
      </w:pPr>
      <w:r>
        <w:t xml:space="preserve">Entity books are closed in accounting.</w:t>
      </w:r>
    </w:p>
    <w:p>
      <w:pPr>
        <w:pStyle w:val="Compact"/>
        <w:numPr>
          <w:ilvl w:val="0"/>
          <w:numId w:val="1048"/>
        </w:numPr>
      </w:pPr>
      <w:r>
        <w:t xml:space="preserve">Asset accounting runs complete and feed period postings.</w:t>
      </w:r>
    </w:p>
    <w:p>
      <w:pPr>
        <w:pStyle w:val="Compact"/>
        <w:numPr>
          <w:ilvl w:val="0"/>
          <w:numId w:val="1048"/>
        </w:numPr>
      </w:pPr>
      <w:r>
        <w:t xml:space="preserve">FX translation runs produce reporting-currency balances.</w:t>
      </w:r>
    </w:p>
    <w:p>
      <w:pPr>
        <w:pStyle w:val="Compact"/>
        <w:numPr>
          <w:ilvl w:val="0"/>
          <w:numId w:val="1048"/>
        </w:numPr>
      </w:pPr>
      <w:r>
        <w:t xml:space="preserve">Elimination runs and top-side adjustments are recorded.</w:t>
      </w:r>
    </w:p>
    <w:p>
      <w:pPr>
        <w:pStyle w:val="Compact"/>
        <w:numPr>
          <w:ilvl w:val="0"/>
          <w:numId w:val="1048"/>
        </w:numPr>
      </w:pPr>
      <w:r>
        <w:t xml:space="preserve">Reporting packs are certified before publication or downstream export.</w:t>
      </w:r>
    </w:p>
    <w:bookmarkEnd w:id="155"/>
    <w:bookmarkEnd w:id="156"/>
    <w:bookmarkStart w:id="160" w:name="Xa964d0beb7cd713ee7fde21f198a0209b235f46"/>
    <w:p>
      <w:pPr>
        <w:pStyle w:val="Heading2"/>
      </w:pPr>
      <w:r>
        <w:t xml:space="preserve">13.6 Integration Boundaries</w:t>
      </w:r>
    </w:p>
    <w:bookmarkStart w:id="157" w:name="Xde38f18b93a3ce153051dd49224d0bf1936096e"/>
    <w:p>
      <w:pPr>
        <w:pStyle w:val="Heading3"/>
      </w:pPr>
      <w:r>
        <w:t xml:space="preserve">13.6.1 Bank Connectivity Boundary</w:t>
      </w:r>
    </w:p>
    <w:p>
      <w:pPr>
        <w:pStyle w:val="FirstParagraph"/>
      </w:pPr>
      <w:r>
        <w:t xml:space="preserve">KraalCode exposes a bank-adapter boundary for:</w:t>
      </w:r>
    </w:p>
    <w:p>
      <w:pPr>
        <w:pStyle w:val="Compact"/>
        <w:numPr>
          <w:ilvl w:val="0"/>
          <w:numId w:val="1049"/>
        </w:numPr>
      </w:pPr>
      <w:r>
        <w:t xml:space="preserve">payment file generation</w:t>
      </w:r>
    </w:p>
    <w:p>
      <w:pPr>
        <w:pStyle w:val="Compact"/>
        <w:numPr>
          <w:ilvl w:val="0"/>
          <w:numId w:val="1049"/>
        </w:numPr>
      </w:pPr>
      <w:r>
        <w:t xml:space="preserve">payment status callbacks</w:t>
      </w:r>
    </w:p>
    <w:p>
      <w:pPr>
        <w:pStyle w:val="Compact"/>
        <w:numPr>
          <w:ilvl w:val="0"/>
          <w:numId w:val="1049"/>
        </w:numPr>
      </w:pPr>
      <w:r>
        <w:t xml:space="preserve">statement import and parsing</w:t>
      </w:r>
    </w:p>
    <w:p>
      <w:pPr>
        <w:pStyle w:val="Compact"/>
        <w:numPr>
          <w:ilvl w:val="0"/>
          <w:numId w:val="1049"/>
        </w:numPr>
      </w:pPr>
      <w:r>
        <w:t xml:space="preserve">bank balance snapshots</w:t>
      </w:r>
    </w:p>
    <w:p>
      <w:pPr>
        <w:pStyle w:val="FirstParagraph"/>
      </w:pPr>
      <w:r>
        <w:t xml:space="preserve">The adapter boundary isolates bank-specific formats, security handshakes, and transport protocols from finance business rules. This keeps regional banking variation from contaminating core ERP services.</w:t>
      </w:r>
    </w:p>
    <w:bookmarkEnd w:id="157"/>
    <w:bookmarkStart w:id="158" w:name="X2b4521defd5dd890ad6aacd7821f09c62b510bb"/>
    <w:p>
      <w:pPr>
        <w:pStyle w:val="Heading3"/>
      </w:pPr>
      <w:r>
        <w:t xml:space="preserve">13.6.2 Asset Accounting Boundary</w:t>
      </w:r>
    </w:p>
    <w:p>
      <w:pPr>
        <w:pStyle w:val="FirstParagraph"/>
      </w:pPr>
      <w:r>
        <w:t xml:space="preserve">The finance operations layer consumes approved asset events, asset books, and asset valuation data from the asset module. It does not replace the operational asset register. Accounting postings generated by depreciation, impairment, disposal, or revaluation runs are handed back to the accounting core for controlled journal posting.</w:t>
      </w:r>
    </w:p>
    <w:bookmarkEnd w:id="158"/>
    <w:bookmarkStart w:id="159" w:name="Xf5d3c651c620db188ed021fbc75b48b0219ba9a"/>
    <w:p>
      <w:pPr>
        <w:pStyle w:val="Heading3"/>
      </w:pPr>
      <w:r>
        <w:t xml:space="preserve">13.6.3 Group Consolidation Boundary</w:t>
      </w:r>
    </w:p>
    <w:p>
      <w:pPr>
        <w:pStyle w:val="FirstParagraph"/>
      </w:pPr>
      <w:r>
        <w:t xml:space="preserve">KraalCode supports internal ownership hierarchies, translation, elimination, and top-side adjustments. If a future external consolidation platform is adopted, KraalCode can export:</w:t>
      </w:r>
    </w:p>
    <w:p>
      <w:pPr>
        <w:pStyle w:val="Compact"/>
        <w:numPr>
          <w:ilvl w:val="0"/>
          <w:numId w:val="1050"/>
        </w:numPr>
      </w:pPr>
      <w:r>
        <w:t xml:space="preserve">entity trial balances</w:t>
      </w:r>
    </w:p>
    <w:p>
      <w:pPr>
        <w:pStyle w:val="Compact"/>
        <w:numPr>
          <w:ilvl w:val="0"/>
          <w:numId w:val="1050"/>
        </w:numPr>
      </w:pPr>
      <w:r>
        <w:t xml:space="preserve">ownership structures</w:t>
      </w:r>
    </w:p>
    <w:p>
      <w:pPr>
        <w:pStyle w:val="Compact"/>
        <w:numPr>
          <w:ilvl w:val="0"/>
          <w:numId w:val="1050"/>
        </w:numPr>
      </w:pPr>
      <w:r>
        <w:t xml:space="preserve">FX translation inputs</w:t>
      </w:r>
    </w:p>
    <w:p>
      <w:pPr>
        <w:pStyle w:val="Compact"/>
        <w:numPr>
          <w:ilvl w:val="0"/>
          <w:numId w:val="1050"/>
        </w:numPr>
      </w:pPr>
      <w:r>
        <w:t xml:space="preserve">elimination candidates</w:t>
      </w:r>
    </w:p>
    <w:p>
      <w:pPr>
        <w:pStyle w:val="Compact"/>
        <w:numPr>
          <w:ilvl w:val="0"/>
          <w:numId w:val="1050"/>
        </w:numPr>
      </w:pPr>
      <w:r>
        <w:t xml:space="preserve">certification status</w:t>
      </w:r>
    </w:p>
    <w:p>
      <w:pPr>
        <w:pStyle w:val="FirstParagraph"/>
      </w:pPr>
      <w:r>
        <w:t xml:space="preserve">This allows phased maturity without re-architecting the finance foundation.</w:t>
      </w:r>
    </w:p>
    <w:bookmarkEnd w:id="159"/>
    <w:bookmarkEnd w:id="160"/>
    <w:bookmarkStart w:id="161" w:name="X2cea52e7ac41320fc55aad44e45600e80c3ead2"/>
    <w:p>
      <w:pPr>
        <w:pStyle w:val="Heading2"/>
      </w:pPr>
      <w:r>
        <w:t xml:space="preserve">13.7 Security and Control Model</w:t>
      </w:r>
    </w:p>
    <w:p>
      <w:pPr>
        <w:pStyle w:val="FirstParagraph"/>
      </w:pPr>
      <w:r>
        <w:t xml:space="preserve">The architecture requires:</w:t>
      </w:r>
    </w:p>
    <w:p>
      <w:pPr>
        <w:pStyle w:val="Compact"/>
        <w:numPr>
          <w:ilvl w:val="0"/>
          <w:numId w:val="1051"/>
        </w:numPr>
      </w:pPr>
      <w:r>
        <w:t xml:space="preserve">segregation between payment preparers, approvers, and releasers</w:t>
      </w:r>
    </w:p>
    <w:p>
      <w:pPr>
        <w:pStyle w:val="Compact"/>
        <w:numPr>
          <w:ilvl w:val="0"/>
          <w:numId w:val="1051"/>
        </w:numPr>
      </w:pPr>
      <w:r>
        <w:t xml:space="preserve">restricted maintenance of bank account master data</w:t>
      </w:r>
    </w:p>
    <w:p>
      <w:pPr>
        <w:pStyle w:val="Compact"/>
        <w:numPr>
          <w:ilvl w:val="0"/>
          <w:numId w:val="1051"/>
        </w:numPr>
      </w:pPr>
      <w:r>
        <w:t xml:space="preserve">immutable audit trails for payment release and reporting certification</w:t>
      </w:r>
    </w:p>
    <w:p>
      <w:pPr>
        <w:pStyle w:val="Compact"/>
        <w:numPr>
          <w:ilvl w:val="0"/>
          <w:numId w:val="1051"/>
        </w:numPr>
      </w:pPr>
      <w:r>
        <w:t xml:space="preserve">dual-control or threshold-based approvals for sensitive finance actions</w:t>
      </w:r>
    </w:p>
    <w:p>
      <w:pPr>
        <w:pStyle w:val="Compact"/>
        <w:numPr>
          <w:ilvl w:val="0"/>
          <w:numId w:val="1051"/>
        </w:numPr>
      </w:pPr>
      <w:r>
        <w:t xml:space="preserve">evidence capture for imported statements, reconciliations, and certified reports</w:t>
      </w:r>
    </w:p>
    <w:bookmarkEnd w:id="161"/>
    <w:bookmarkStart w:id="162" w:name="X2876de277c214b7aca2f787c9063e074e917473"/>
    <w:p>
      <w:pPr>
        <w:pStyle w:val="Heading2"/>
      </w:pPr>
      <w:r>
        <w:t xml:space="preserve">13.8 Scalability and Deployment Expectations</w:t>
      </w:r>
    </w:p>
    <w:p>
      <w:pPr>
        <w:pStyle w:val="FirstParagraph"/>
      </w:pPr>
      <w:r>
        <w:t xml:space="preserve">The finance operations layer must support:</w:t>
      </w:r>
    </w:p>
    <w:p>
      <w:pPr>
        <w:pStyle w:val="Compact"/>
        <w:numPr>
          <w:ilvl w:val="0"/>
          <w:numId w:val="1052"/>
        </w:numPr>
      </w:pPr>
      <w:r>
        <w:t xml:space="preserve">multiple bank accounts per entity and currency</w:t>
      </w:r>
    </w:p>
    <w:p>
      <w:pPr>
        <w:pStyle w:val="Compact"/>
        <w:numPr>
          <w:ilvl w:val="0"/>
          <w:numId w:val="1052"/>
        </w:numPr>
      </w:pPr>
      <w:r>
        <w:t xml:space="preserve">high-volume daily statement imports</w:t>
      </w:r>
    </w:p>
    <w:p>
      <w:pPr>
        <w:pStyle w:val="Compact"/>
        <w:numPr>
          <w:ilvl w:val="0"/>
          <w:numId w:val="1052"/>
        </w:numPr>
      </w:pPr>
      <w:r>
        <w:t xml:space="preserve">batched payment releases</w:t>
      </w:r>
    </w:p>
    <w:p>
      <w:pPr>
        <w:pStyle w:val="Compact"/>
        <w:numPr>
          <w:ilvl w:val="0"/>
          <w:numId w:val="1052"/>
        </w:numPr>
      </w:pPr>
      <w:r>
        <w:t xml:space="preserve">multi-book asset accounting</w:t>
      </w:r>
    </w:p>
    <w:p>
      <w:pPr>
        <w:pStyle w:val="Compact"/>
        <w:numPr>
          <w:ilvl w:val="0"/>
          <w:numId w:val="1052"/>
        </w:numPr>
      </w:pPr>
      <w:r>
        <w:t xml:space="preserve">multi-entity group reporting</w:t>
      </w:r>
    </w:p>
    <w:p>
      <w:pPr>
        <w:pStyle w:val="FirstParagraph"/>
      </w:pPr>
      <w:r>
        <w:t xml:space="preserve">The design assumes asynchronous orchestration for bank imports, reconciliation suggestion generation, depreciation processing, and consolidation runs.</w:t>
      </w:r>
    </w:p>
    <w:bookmarkEnd w:id="162"/>
    <w:bookmarkStart w:id="163" w:name="X9adca51ee95a741e8deac593238fd1d1def2659"/>
    <w:p>
      <w:pPr>
        <w:pStyle w:val="Heading2"/>
      </w:pPr>
      <w:r>
        <w:t xml:space="preserve">13.9 Architectural Outcome</w:t>
      </w:r>
    </w:p>
    <w:p>
      <w:pPr>
        <w:pStyle w:val="FirstParagraph"/>
      </w:pPr>
      <w:r>
        <w:t xml:space="preserve">This layer makes KraalCode finance operationally stronger without forcing premature dependence on external treasury or consolidation suites. It gives growing African companies disciplined control of cash execution, asset accounting, and group reporting inside the ERP core, while preserving clean future integration boundaries for larger enterprise landscapes.</w:t>
      </w:r>
    </w:p>
    <w:bookmarkEnd w:id="163"/>
    <w:bookmarkEnd w:id="164"/>
    <w:bookmarkStart w:id="193" w:name="X51574596d4b5b970124a39f11de6c3fa9dacc0a"/>
    <w:p>
      <w:pPr>
        <w:pStyle w:val="Heading1"/>
      </w:pPr>
      <w:r>
        <w:t xml:space="preserve">Customer, Revenue, and Service Architecture</w:t>
      </w:r>
    </w:p>
    <w:bookmarkStart w:id="165" w:name="purpose-3"/>
    <w:p>
      <w:pPr>
        <w:pStyle w:val="Heading2"/>
      </w:pPr>
      <w:r>
        <w:t xml:space="preserve">Purpose</w:t>
      </w:r>
    </w:p>
    <w:p>
      <w:pPr>
        <w:pStyle w:val="FirstParagraph"/>
      </w:pPr>
      <w:r>
        <w:t xml:space="preserve">This document defines the high-level architecture for KraalCode CRM so the platform can support both revenue CRM and service CRM without collapsing customer workflow into ERP execution logic.</w:t>
      </w:r>
    </w:p>
    <w:p>
      <w:pPr>
        <w:pStyle w:val="BodyText"/>
      </w:pPr>
      <w:r>
        <w:t xml:space="preserve">The CRM architecture follows a strict boundary:</w:t>
      </w:r>
    </w:p>
    <w:p>
      <w:pPr>
        <w:pStyle w:val="Compact"/>
        <w:numPr>
          <w:ilvl w:val="0"/>
          <w:numId w:val="1053"/>
        </w:numPr>
      </w:pPr>
      <w:r>
        <w:t xml:space="preserve">CRM owns customer intent, relationship workflow, pipeline governance, service interactions, and account intelligence.</w:t>
      </w:r>
    </w:p>
    <w:p>
      <w:pPr>
        <w:pStyle w:val="Compact"/>
        <w:numPr>
          <w:ilvl w:val="0"/>
          <w:numId w:val="1053"/>
        </w:numPr>
      </w:pPr>
      <w:r>
        <w:t xml:space="preserve">ERP owns executable transactions, inventory and fulfilment, invoicing, receivables, taxation, and financial truth.</w:t>
      </w:r>
    </w:p>
    <w:p>
      <w:pPr>
        <w:pStyle w:val="FirstParagraph"/>
      </w:pPr>
      <w:r>
        <w:t xml:space="preserve">This split keeps customer-facing teams productive while preserving operational and accounting integrity.</w:t>
      </w:r>
    </w:p>
    <w:p>
      <w:r>
        <w:pict>
          <v:rect style="width:0;height:1.5pt" o:hralign="center" o:hrstd="t" o:hr="t"/>
        </w:pict>
      </w:r>
    </w:p>
    <w:bookmarkEnd w:id="165"/>
    <w:bookmarkStart w:id="166" w:name="crm-capability-scope"/>
    <w:p>
      <w:pPr>
        <w:pStyle w:val="Heading2"/>
      </w:pPr>
      <w:r>
        <w:t xml:space="preserve">CRM Capability Scope</w:t>
      </w:r>
    </w:p>
    <w:p>
      <w:pPr>
        <w:pStyle w:val="FirstParagraph"/>
      </w:pPr>
      <w:r>
        <w:t xml:space="preserve">KraalCode CRM covers six capability groups:</w:t>
      </w:r>
    </w:p>
    <w:p>
      <w:pPr>
        <w:pStyle w:val="Compact"/>
        <w:numPr>
          <w:ilvl w:val="0"/>
          <w:numId w:val="1054"/>
        </w:numPr>
      </w:pPr>
      <w:r>
        <w:t xml:space="preserve">Revenue CRM: lead, opportunity, pipeline, forecast, and account planning.</w:t>
      </w:r>
    </w:p>
    <w:p>
      <w:pPr>
        <w:pStyle w:val="Compact"/>
        <w:numPr>
          <w:ilvl w:val="0"/>
          <w:numId w:val="1054"/>
        </w:numPr>
      </w:pPr>
      <w:r>
        <w:t xml:space="preserve">Service CRM: case intake, SLA management, escalation, and case resolution workflow.</w:t>
      </w:r>
    </w:p>
    <w:p>
      <w:pPr>
        <w:pStyle w:val="Compact"/>
        <w:numPr>
          <w:ilvl w:val="0"/>
          <w:numId w:val="1054"/>
        </w:numPr>
      </w:pPr>
      <w:r>
        <w:t xml:space="preserve">Customer master workflow: account hierarchy, contact relationships, segmentation, and account ownership.</w:t>
      </w:r>
    </w:p>
    <w:p>
      <w:pPr>
        <w:pStyle w:val="Compact"/>
        <w:numPr>
          <w:ilvl w:val="0"/>
          <w:numId w:val="1054"/>
        </w:numPr>
      </w:pPr>
      <w:r>
        <w:t xml:space="preserve">Quote-to-cash coordination: quote intent, commercial approvals, and controlled handoff into ERP execution.</w:t>
      </w:r>
    </w:p>
    <w:p>
      <w:pPr>
        <w:pStyle w:val="Compact"/>
        <w:numPr>
          <w:ilvl w:val="0"/>
          <w:numId w:val="1054"/>
        </w:numPr>
      </w:pPr>
      <w:r>
        <w:t xml:space="preserve">Customer intelligence: activity history, health signals, renewal watchlists, and customer financial context snapshots.</w:t>
      </w:r>
    </w:p>
    <w:p>
      <w:pPr>
        <w:pStyle w:val="Compact"/>
        <w:numPr>
          <w:ilvl w:val="0"/>
          <w:numId w:val="1054"/>
        </w:numPr>
      </w:pPr>
      <w:r>
        <w:t xml:space="preserve">Channel support: partner registry, partner deal registration, and shared customer-account relationships.</w:t>
      </w:r>
    </w:p>
    <w:p>
      <w:pPr>
        <w:pStyle w:val="FirstParagraph"/>
      </w:pPr>
      <w:r>
        <w:t xml:space="preserve">CRM does not replace the ERP modules that execute orders, issue invoices, settle receivables, or post accounting entries.</w:t>
      </w:r>
    </w:p>
    <w:p>
      <w:r>
        <w:pict>
          <v:rect style="width:0;height:1.5pt" o:hralign="center" o:hrstd="t" o:hr="t"/>
        </w:pict>
      </w:r>
    </w:p>
    <w:bookmarkEnd w:id="166"/>
    <w:bookmarkStart w:id="170" w:name="Xd0c1897f7d23ee1cf38073f33cba0226491f974"/>
    <w:p>
      <w:pPr>
        <w:pStyle w:val="Heading2"/>
      </w:pPr>
      <w:r>
        <w:t xml:space="preserve">Boundary Model: CRM Workflow vs ERP Execution</w:t>
      </w:r>
    </w:p>
    <w:bookmarkStart w:id="167" w:name="crm-owns"/>
    <w:p>
      <w:pPr>
        <w:pStyle w:val="Heading3"/>
      </w:pPr>
      <w:r>
        <w:t xml:space="preserve">CRM Owns</w:t>
      </w:r>
    </w:p>
    <w:p>
      <w:pPr>
        <w:pStyle w:val="Compact"/>
        <w:numPr>
          <w:ilvl w:val="0"/>
          <w:numId w:val="1055"/>
        </w:numPr>
      </w:pPr>
      <w:r>
        <w:t xml:space="preserve">lead capture and qualification</w:t>
      </w:r>
    </w:p>
    <w:p>
      <w:pPr>
        <w:pStyle w:val="Compact"/>
        <w:numPr>
          <w:ilvl w:val="0"/>
          <w:numId w:val="1055"/>
        </w:numPr>
      </w:pPr>
      <w:r>
        <w:t xml:space="preserve">account and contact relationship management</w:t>
      </w:r>
    </w:p>
    <w:p>
      <w:pPr>
        <w:pStyle w:val="Compact"/>
        <w:numPr>
          <w:ilvl w:val="0"/>
          <w:numId w:val="1055"/>
        </w:numPr>
      </w:pPr>
      <w:r>
        <w:t xml:space="preserve">opportunity stages, forecast, and commercial exception approvals</w:t>
      </w:r>
    </w:p>
    <w:p>
      <w:pPr>
        <w:pStyle w:val="Compact"/>
        <w:numPr>
          <w:ilvl w:val="0"/>
          <w:numId w:val="1055"/>
        </w:numPr>
      </w:pPr>
      <w:r>
        <w:t xml:space="preserve">sales activities, account plans, and customer segmentation</w:t>
      </w:r>
    </w:p>
    <w:p>
      <w:pPr>
        <w:pStyle w:val="Compact"/>
        <w:numPr>
          <w:ilvl w:val="0"/>
          <w:numId w:val="1055"/>
        </w:numPr>
      </w:pPr>
      <w:r>
        <w:t xml:space="preserve">service cases, comments, timelines, SLA clocks, and escalations</w:t>
      </w:r>
    </w:p>
    <w:p>
      <w:pPr>
        <w:pStyle w:val="Compact"/>
        <w:numPr>
          <w:ilvl w:val="0"/>
          <w:numId w:val="1055"/>
        </w:numPr>
      </w:pPr>
      <w:r>
        <w:t xml:space="preserve">renewal watchlists, health signals, and customer-success workflow</w:t>
      </w:r>
    </w:p>
    <w:p>
      <w:pPr>
        <w:pStyle w:val="Compact"/>
        <w:numPr>
          <w:ilvl w:val="0"/>
          <w:numId w:val="1055"/>
        </w:numPr>
      </w:pPr>
      <w:r>
        <w:t xml:space="preserve">quote preparation context and quote-to-cash handoff records</w:t>
      </w:r>
    </w:p>
    <w:p>
      <w:pPr>
        <w:pStyle w:val="Compact"/>
        <w:numPr>
          <w:ilvl w:val="0"/>
          <w:numId w:val="1055"/>
        </w:numPr>
      </w:pPr>
      <w:r>
        <w:t xml:space="preserve">partner and channel relationship workflow</w:t>
      </w:r>
    </w:p>
    <w:bookmarkEnd w:id="167"/>
    <w:bookmarkStart w:id="168" w:name="erp-owns"/>
    <w:p>
      <w:pPr>
        <w:pStyle w:val="Heading3"/>
      </w:pPr>
      <w:r>
        <w:t xml:space="preserve">ERP Owns</w:t>
      </w:r>
    </w:p>
    <w:p>
      <w:pPr>
        <w:pStyle w:val="Compact"/>
        <w:numPr>
          <w:ilvl w:val="0"/>
          <w:numId w:val="1056"/>
        </w:numPr>
      </w:pPr>
      <w:r>
        <w:t xml:space="preserve">item master, stock availability, and fulfilment commitments</w:t>
      </w:r>
    </w:p>
    <w:p>
      <w:pPr>
        <w:pStyle w:val="Compact"/>
        <w:numPr>
          <w:ilvl w:val="0"/>
          <w:numId w:val="1056"/>
        </w:numPr>
      </w:pPr>
      <w:r>
        <w:t xml:space="preserve">executable quotations where legal, tax, and pricing controls apply</w:t>
      </w:r>
    </w:p>
    <w:p>
      <w:pPr>
        <w:pStyle w:val="Compact"/>
        <w:numPr>
          <w:ilvl w:val="0"/>
          <w:numId w:val="1056"/>
        </w:numPr>
      </w:pPr>
      <w:r>
        <w:t xml:space="preserve">sales orders, delivery, shipment, and invoicing</w:t>
      </w:r>
    </w:p>
    <w:p>
      <w:pPr>
        <w:pStyle w:val="Compact"/>
        <w:numPr>
          <w:ilvl w:val="0"/>
          <w:numId w:val="1056"/>
        </w:numPr>
      </w:pPr>
      <w:r>
        <w:t xml:space="preserve">receivables, collections, ageing, and credit-control truth</w:t>
      </w:r>
    </w:p>
    <w:p>
      <w:pPr>
        <w:pStyle w:val="Compact"/>
        <w:numPr>
          <w:ilvl w:val="0"/>
          <w:numId w:val="1056"/>
        </w:numPr>
      </w:pPr>
      <w:r>
        <w:t xml:space="preserve">tax determination, revenue postings, and financial statements</w:t>
      </w:r>
    </w:p>
    <w:p>
      <w:pPr>
        <w:pStyle w:val="Compact"/>
        <w:numPr>
          <w:ilvl w:val="0"/>
          <w:numId w:val="1056"/>
        </w:numPr>
      </w:pPr>
      <w:r>
        <w:t xml:space="preserve">service-related inventory consumption, field-work costing, and warranty accounting</w:t>
      </w:r>
    </w:p>
    <w:bookmarkEnd w:id="168"/>
    <w:bookmarkStart w:id="169" w:name="shared-but-controlled"/>
    <w:p>
      <w:pPr>
        <w:pStyle w:val="Heading3"/>
      </w:pPr>
      <w:r>
        <w:t xml:space="preserve">Shared but Controlled</w:t>
      </w:r>
    </w:p>
    <w:p>
      <w:pPr>
        <w:pStyle w:val="Compact"/>
        <w:numPr>
          <w:ilvl w:val="0"/>
          <w:numId w:val="1057"/>
        </w:numPr>
      </w:pPr>
      <w:r>
        <w:t xml:space="preserve">customer master references:</w:t>
      </w:r>
    </w:p>
    <w:p>
      <w:pPr>
        <w:pStyle w:val="Compact"/>
        <w:numPr>
          <w:ilvl w:val="1"/>
          <w:numId w:val="1058"/>
        </w:numPr>
      </w:pPr>
      <w:r>
        <w:t xml:space="preserve">CRM can maintain selling and service relationship views.</w:t>
      </w:r>
    </w:p>
    <w:p>
      <w:pPr>
        <w:pStyle w:val="Compact"/>
        <w:numPr>
          <w:ilvl w:val="1"/>
          <w:numId w:val="1058"/>
        </w:numPr>
      </w:pPr>
      <w:r>
        <w:t xml:space="preserve">ERP customer execution records remain the source of truth once a customer is transacting.</w:t>
      </w:r>
    </w:p>
    <w:p>
      <w:pPr>
        <w:pStyle w:val="Compact"/>
        <w:numPr>
          <w:ilvl w:val="0"/>
          <w:numId w:val="1057"/>
        </w:numPr>
      </w:pPr>
      <w:r>
        <w:t xml:space="preserve">quote and order coordination:</w:t>
      </w:r>
    </w:p>
    <w:p>
      <w:pPr>
        <w:pStyle w:val="Compact"/>
        <w:numPr>
          <w:ilvl w:val="1"/>
          <w:numId w:val="1059"/>
        </w:numPr>
      </w:pPr>
      <w:r>
        <w:t xml:space="preserve">CRM originates selling intent and governed commercial context.</w:t>
      </w:r>
    </w:p>
    <w:p>
      <w:pPr>
        <w:pStyle w:val="Compact"/>
        <w:numPr>
          <w:ilvl w:val="1"/>
          <w:numId w:val="1059"/>
        </w:numPr>
      </w:pPr>
      <w:r>
        <w:t xml:space="preserve">ERP validates execution details and creates executable quote or order records.</w:t>
      </w:r>
    </w:p>
    <w:p>
      <w:pPr>
        <w:pStyle w:val="Compact"/>
        <w:numPr>
          <w:ilvl w:val="0"/>
          <w:numId w:val="1057"/>
        </w:numPr>
      </w:pPr>
      <w:r>
        <w:t xml:space="preserve">customer financial context:</w:t>
      </w:r>
    </w:p>
    <w:p>
      <w:pPr>
        <w:pStyle w:val="Compact"/>
        <w:numPr>
          <w:ilvl w:val="1"/>
          <w:numId w:val="1060"/>
        </w:numPr>
      </w:pPr>
      <w:r>
        <w:t xml:space="preserve">CRM receives read-only financial context from ERP for account planning, service prioritization, and renewal decisions.</w:t>
      </w:r>
    </w:p>
    <w:p>
      <w:pPr>
        <w:pStyle w:val="Compact"/>
        <w:numPr>
          <w:ilvl w:val="1"/>
          <w:numId w:val="1060"/>
        </w:numPr>
      </w:pPr>
      <w:r>
        <w:t xml:space="preserve">CRM cannot alter receivable balances, credit limits, or invoice truth.</w:t>
      </w:r>
    </w:p>
    <w:p>
      <w:r>
        <w:pict>
          <v:rect style="width:0;height:1.5pt" o:hralign="center" o:hrstd="t" o:hr="t"/>
        </w:pict>
      </w:r>
    </w:p>
    <w:bookmarkEnd w:id="169"/>
    <w:bookmarkEnd w:id="170"/>
    <w:bookmarkStart w:id="179" w:name="core-crm-object-model"/>
    <w:p>
      <w:pPr>
        <w:pStyle w:val="Heading2"/>
      </w:pPr>
      <w:r>
        <w:t xml:space="preserve">Core CRM Object Model</w:t>
      </w:r>
    </w:p>
    <w:bookmarkStart w:id="171" w:name="accounts"/>
    <w:p>
      <w:pPr>
        <w:pStyle w:val="Heading3"/>
      </w:pPr>
      <w:r>
        <w:t xml:space="preserve">Accounts</w:t>
      </w:r>
    </w:p>
    <w:p>
      <w:pPr>
        <w:pStyle w:val="FirstParagraph"/>
      </w:pPr>
      <w:r>
        <w:rPr>
          <w:rStyle w:val="VerbatimChar"/>
        </w:rPr>
        <w:t xml:space="preserve">Account</w:t>
      </w:r>
      <w:r>
        <w:t xml:space="preserve"> </w:t>
      </w:r>
      <w:r>
        <w:t xml:space="preserve">is the commercial and service relationship anchor. It represents a customer, prospect, distributor, government entity, donor, buyer group, or other commercial party.</w:t>
      </w:r>
    </w:p>
    <w:p>
      <w:pPr>
        <w:pStyle w:val="BodyText"/>
      </w:pPr>
      <w:r>
        <w:t xml:space="preserve">Key account concerns:</w:t>
      </w:r>
    </w:p>
    <w:p>
      <w:pPr>
        <w:pStyle w:val="Compact"/>
        <w:numPr>
          <w:ilvl w:val="0"/>
          <w:numId w:val="1061"/>
        </w:numPr>
      </w:pPr>
      <w:r>
        <w:t xml:space="preserve">segmentation and tiering</w:t>
      </w:r>
    </w:p>
    <w:p>
      <w:pPr>
        <w:pStyle w:val="Compact"/>
        <w:numPr>
          <w:ilvl w:val="0"/>
          <w:numId w:val="1061"/>
        </w:numPr>
      </w:pPr>
      <w:r>
        <w:t xml:space="preserve">territory and ownership</w:t>
      </w:r>
    </w:p>
    <w:p>
      <w:pPr>
        <w:pStyle w:val="Compact"/>
        <w:numPr>
          <w:ilvl w:val="0"/>
          <w:numId w:val="1061"/>
        </w:numPr>
      </w:pPr>
      <w:r>
        <w:t xml:space="preserve">parent-child hierarchy</w:t>
      </w:r>
    </w:p>
    <w:p>
      <w:pPr>
        <w:pStyle w:val="Compact"/>
        <w:numPr>
          <w:ilvl w:val="0"/>
          <w:numId w:val="1061"/>
        </w:numPr>
      </w:pPr>
      <w:r>
        <w:t xml:space="preserve">partner attachment</w:t>
      </w:r>
    </w:p>
    <w:p>
      <w:pPr>
        <w:pStyle w:val="Compact"/>
        <w:numPr>
          <w:ilvl w:val="0"/>
          <w:numId w:val="1061"/>
        </w:numPr>
      </w:pPr>
      <w:r>
        <w:t xml:space="preserve">financial-context snapshots from ERP</w:t>
      </w:r>
    </w:p>
    <w:p>
      <w:pPr>
        <w:pStyle w:val="Compact"/>
        <w:numPr>
          <w:ilvl w:val="0"/>
          <w:numId w:val="1061"/>
        </w:numPr>
      </w:pPr>
      <w:r>
        <w:t xml:space="preserve">service posture, health, and renewal state</w:t>
      </w:r>
    </w:p>
    <w:bookmarkEnd w:id="171"/>
    <w:bookmarkStart w:id="172" w:name="contacts"/>
    <w:p>
      <w:pPr>
        <w:pStyle w:val="Heading3"/>
      </w:pPr>
      <w:r>
        <w:t xml:space="preserve">Contacts</w:t>
      </w:r>
    </w:p>
    <w:p>
      <w:pPr>
        <w:pStyle w:val="FirstParagraph"/>
      </w:pPr>
      <w:r>
        <w:rPr>
          <w:rStyle w:val="VerbatimChar"/>
        </w:rPr>
        <w:t xml:space="preserve">Contact</w:t>
      </w:r>
      <w:r>
        <w:t xml:space="preserve"> </w:t>
      </w:r>
      <w:r>
        <w:t xml:space="preserve">represents a person linked to one or more accounts, with roles such as decision-maker, approver, service requester, finance contact, or executive sponsor.</w:t>
      </w:r>
    </w:p>
    <w:bookmarkEnd w:id="172"/>
    <w:bookmarkStart w:id="173" w:name="leads"/>
    <w:p>
      <w:pPr>
        <w:pStyle w:val="Heading3"/>
      </w:pPr>
      <w:r>
        <w:t xml:space="preserve">Leads</w:t>
      </w:r>
    </w:p>
    <w:p>
      <w:pPr>
        <w:pStyle w:val="FirstParagraph"/>
      </w:pPr>
      <w:r>
        <w:rPr>
          <w:rStyle w:val="VerbatimChar"/>
        </w:rPr>
        <w:t xml:space="preserve">Lead</w:t>
      </w:r>
      <w:r>
        <w:t xml:space="preserve"> </w:t>
      </w:r>
      <w:r>
        <w:t xml:space="preserve">captures unqualified or partially qualified demand before the relationship is normalized into account, contact, and opportunity objects.</w:t>
      </w:r>
    </w:p>
    <w:bookmarkEnd w:id="173"/>
    <w:bookmarkStart w:id="174" w:name="opportunities"/>
    <w:p>
      <w:pPr>
        <w:pStyle w:val="Heading3"/>
      </w:pPr>
      <w:r>
        <w:t xml:space="preserve">Opportunities</w:t>
      </w:r>
    </w:p>
    <w:p>
      <w:pPr>
        <w:pStyle w:val="FirstParagraph"/>
      </w:pPr>
      <w:r>
        <w:rPr>
          <w:rStyle w:val="VerbatimChar"/>
        </w:rPr>
        <w:t xml:space="preserve">Opportunity</w:t>
      </w:r>
      <w:r>
        <w:t xml:space="preserve"> </w:t>
      </w:r>
      <w:r>
        <w:t xml:space="preserve">represents governed revenue intent. It owns:</w:t>
      </w:r>
    </w:p>
    <w:p>
      <w:pPr>
        <w:pStyle w:val="Compact"/>
        <w:numPr>
          <w:ilvl w:val="0"/>
          <w:numId w:val="1062"/>
        </w:numPr>
      </w:pPr>
      <w:r>
        <w:t xml:space="preserve">pipeline stage</w:t>
      </w:r>
    </w:p>
    <w:p>
      <w:pPr>
        <w:pStyle w:val="Compact"/>
        <w:numPr>
          <w:ilvl w:val="0"/>
          <w:numId w:val="1062"/>
        </w:numPr>
      </w:pPr>
      <w:r>
        <w:t xml:space="preserve">value and probability</w:t>
      </w:r>
    </w:p>
    <w:p>
      <w:pPr>
        <w:pStyle w:val="Compact"/>
        <w:numPr>
          <w:ilvl w:val="0"/>
          <w:numId w:val="1062"/>
        </w:numPr>
      </w:pPr>
      <w:r>
        <w:t xml:space="preserve">expected close timing</w:t>
      </w:r>
    </w:p>
    <w:p>
      <w:pPr>
        <w:pStyle w:val="Compact"/>
        <w:numPr>
          <w:ilvl w:val="0"/>
          <w:numId w:val="1062"/>
        </w:numPr>
      </w:pPr>
      <w:r>
        <w:t xml:space="preserve">competition and win strategy</w:t>
      </w:r>
    </w:p>
    <w:p>
      <w:pPr>
        <w:pStyle w:val="Compact"/>
        <w:numPr>
          <w:ilvl w:val="0"/>
          <w:numId w:val="1062"/>
        </w:numPr>
      </w:pPr>
      <w:r>
        <w:t xml:space="preserve">approval gates for discounting or non-standard terms</w:t>
      </w:r>
    </w:p>
    <w:p>
      <w:pPr>
        <w:pStyle w:val="Compact"/>
        <w:numPr>
          <w:ilvl w:val="0"/>
          <w:numId w:val="1062"/>
        </w:numPr>
      </w:pPr>
      <w:r>
        <w:t xml:space="preserve">quote-to-cash handoff status</w:t>
      </w:r>
    </w:p>
    <w:bookmarkEnd w:id="174"/>
    <w:bookmarkStart w:id="175" w:name="cases"/>
    <w:p>
      <w:pPr>
        <w:pStyle w:val="Heading3"/>
      </w:pPr>
      <w:r>
        <w:t xml:space="preserve">Cases</w:t>
      </w:r>
    </w:p>
    <w:p>
      <w:pPr>
        <w:pStyle w:val="FirstParagraph"/>
      </w:pPr>
      <w:r>
        <w:rPr>
          <w:rStyle w:val="VerbatimChar"/>
        </w:rPr>
        <w:t xml:space="preserve">Case</w:t>
      </w:r>
      <w:r>
        <w:t xml:space="preserve"> </w:t>
      </w:r>
      <w:r>
        <w:t xml:space="preserve">represents a service issue, complaint, request, or incident. It owns:</w:t>
      </w:r>
    </w:p>
    <w:p>
      <w:pPr>
        <w:pStyle w:val="Compact"/>
        <w:numPr>
          <w:ilvl w:val="0"/>
          <w:numId w:val="1063"/>
        </w:numPr>
      </w:pPr>
      <w:r>
        <w:t xml:space="preserve">case type and severity</w:t>
      </w:r>
    </w:p>
    <w:p>
      <w:pPr>
        <w:pStyle w:val="Compact"/>
        <w:numPr>
          <w:ilvl w:val="0"/>
          <w:numId w:val="1063"/>
        </w:numPr>
      </w:pPr>
      <w:r>
        <w:t xml:space="preserve">SLA policy</w:t>
      </w:r>
    </w:p>
    <w:p>
      <w:pPr>
        <w:pStyle w:val="Compact"/>
        <w:numPr>
          <w:ilvl w:val="0"/>
          <w:numId w:val="1063"/>
        </w:numPr>
      </w:pPr>
      <w:r>
        <w:t xml:space="preserve">response and resolution clocks</w:t>
      </w:r>
    </w:p>
    <w:p>
      <w:pPr>
        <w:pStyle w:val="Compact"/>
        <w:numPr>
          <w:ilvl w:val="0"/>
          <w:numId w:val="1063"/>
        </w:numPr>
      </w:pPr>
      <w:r>
        <w:t xml:space="preserve">status, comments, timeline events, and escalations</w:t>
      </w:r>
    </w:p>
    <w:p>
      <w:pPr>
        <w:pStyle w:val="Compact"/>
        <w:numPr>
          <w:ilvl w:val="0"/>
          <w:numId w:val="1063"/>
        </w:numPr>
      </w:pPr>
      <w:r>
        <w:t xml:space="preserve">linkage to account, contact, assets, orders, or invoices where relevant</w:t>
      </w:r>
    </w:p>
    <w:bookmarkEnd w:id="175"/>
    <w:bookmarkStart w:id="176" w:name="activities"/>
    <w:p>
      <w:pPr>
        <w:pStyle w:val="Heading3"/>
      </w:pPr>
      <w:r>
        <w:t xml:space="preserve">Activities</w:t>
      </w:r>
    </w:p>
    <w:p>
      <w:pPr>
        <w:pStyle w:val="FirstParagraph"/>
      </w:pPr>
      <w:r>
        <w:rPr>
          <w:rStyle w:val="VerbatimChar"/>
        </w:rPr>
        <w:t xml:space="preserve">Activity</w:t>
      </w:r>
      <w:r>
        <w:t xml:space="preserve"> </w:t>
      </w:r>
      <w:r>
        <w:t xml:space="preserve">captures sales and service engagement events such as calls, visits, emails, tasks, demos, and follow-ups.</w:t>
      </w:r>
    </w:p>
    <w:bookmarkEnd w:id="176"/>
    <w:bookmarkStart w:id="177" w:name="quote-and-order-coordination"/>
    <w:p>
      <w:pPr>
        <w:pStyle w:val="Heading3"/>
      </w:pPr>
      <w:r>
        <w:t xml:space="preserve">Quote and Order Coordination</w:t>
      </w:r>
    </w:p>
    <w:p>
      <w:pPr>
        <w:pStyle w:val="FirstParagraph"/>
      </w:pPr>
      <w:r>
        <w:t xml:space="preserve">CRM stores quote intent, commercial context, and approval state. ERP owns the executable quote or order and returns the resulting execution reference back to CRM.</w:t>
      </w:r>
    </w:p>
    <w:bookmarkEnd w:id="177"/>
    <w:bookmarkStart w:id="178" w:name="customer-financial-context"/>
    <w:p>
      <w:pPr>
        <w:pStyle w:val="Heading3"/>
      </w:pPr>
      <w:r>
        <w:t xml:space="preserve">Customer Financial Context</w:t>
      </w:r>
    </w:p>
    <w:p>
      <w:pPr>
        <w:pStyle w:val="FirstParagraph"/>
      </w:pPr>
      <w:r>
        <w:t xml:space="preserve">CRM exposes a read-only context layer sourced from ERP:</w:t>
      </w:r>
    </w:p>
    <w:p>
      <w:pPr>
        <w:pStyle w:val="Compact"/>
        <w:numPr>
          <w:ilvl w:val="0"/>
          <w:numId w:val="1064"/>
        </w:numPr>
      </w:pPr>
      <w:r>
        <w:t xml:space="preserve">credit status</w:t>
      </w:r>
    </w:p>
    <w:p>
      <w:pPr>
        <w:pStyle w:val="Compact"/>
        <w:numPr>
          <w:ilvl w:val="0"/>
          <w:numId w:val="1064"/>
        </w:numPr>
      </w:pPr>
      <w:r>
        <w:t xml:space="preserve">receivables ageing summary</w:t>
      </w:r>
    </w:p>
    <w:p>
      <w:pPr>
        <w:pStyle w:val="Compact"/>
        <w:numPr>
          <w:ilvl w:val="0"/>
          <w:numId w:val="1064"/>
        </w:numPr>
      </w:pPr>
      <w:r>
        <w:t xml:space="preserve">overdue exposure</w:t>
      </w:r>
    </w:p>
    <w:p>
      <w:pPr>
        <w:pStyle w:val="Compact"/>
        <w:numPr>
          <w:ilvl w:val="0"/>
          <w:numId w:val="1064"/>
        </w:numPr>
      </w:pPr>
      <w:r>
        <w:t xml:space="preserve">open orders and disputed invoices</w:t>
      </w:r>
    </w:p>
    <w:p>
      <w:pPr>
        <w:pStyle w:val="Compact"/>
        <w:numPr>
          <w:ilvl w:val="0"/>
          <w:numId w:val="1064"/>
        </w:numPr>
      </w:pPr>
      <w:r>
        <w:t xml:space="preserve">payment behavior indicators</w:t>
      </w:r>
    </w:p>
    <w:p>
      <w:pPr>
        <w:pStyle w:val="FirstParagraph"/>
      </w:pPr>
      <w:r>
        <w:t xml:space="preserve">This is used for selling and service prioritization, not for transaction posting.</w:t>
      </w:r>
    </w:p>
    <w:p>
      <w:r>
        <w:pict>
          <v:rect style="width:0;height:1.5pt" o:hralign="center" o:hrstd="t" o:hr="t"/>
        </w:pict>
      </w:r>
    </w:p>
    <w:bookmarkEnd w:id="178"/>
    <w:bookmarkEnd w:id="179"/>
    <w:bookmarkStart w:id="184" w:name="integration-boundaries"/>
    <w:p>
      <w:pPr>
        <w:pStyle w:val="Heading2"/>
      </w:pPr>
      <w:r>
        <w:t xml:space="preserve">Integration Boundaries</w:t>
      </w:r>
    </w:p>
    <w:bookmarkStart w:id="180" w:name="crm-to-sales-and-order-execution"/>
    <w:p>
      <w:pPr>
        <w:pStyle w:val="Heading3"/>
      </w:pPr>
      <w:r>
        <w:t xml:space="preserve">CRM to Sales and Order Execution</w:t>
      </w:r>
    </w:p>
    <w:p>
      <w:pPr>
        <w:pStyle w:val="FirstParagraph"/>
      </w:pPr>
      <w:r>
        <w:t xml:space="preserve">The integration contract between CRM and ERP order execution must support:</w:t>
      </w:r>
    </w:p>
    <w:p>
      <w:pPr>
        <w:pStyle w:val="Compact"/>
        <w:numPr>
          <w:ilvl w:val="0"/>
          <w:numId w:val="1065"/>
        </w:numPr>
      </w:pPr>
      <w:r>
        <w:t xml:space="preserve">quote or order handoff payloads</w:t>
      </w:r>
    </w:p>
    <w:p>
      <w:pPr>
        <w:pStyle w:val="Compact"/>
        <w:numPr>
          <w:ilvl w:val="0"/>
          <w:numId w:val="1065"/>
        </w:numPr>
      </w:pPr>
      <w:r>
        <w:t xml:space="preserve">item and pricing validation feedback</w:t>
      </w:r>
    </w:p>
    <w:p>
      <w:pPr>
        <w:pStyle w:val="Compact"/>
        <w:numPr>
          <w:ilvl w:val="0"/>
          <w:numId w:val="1065"/>
        </w:numPr>
      </w:pPr>
      <w:r>
        <w:t xml:space="preserve">execution acceptance or rejection</w:t>
      </w:r>
    </w:p>
    <w:p>
      <w:pPr>
        <w:pStyle w:val="Compact"/>
        <w:numPr>
          <w:ilvl w:val="0"/>
          <w:numId w:val="1065"/>
        </w:numPr>
      </w:pPr>
      <w:r>
        <w:t xml:space="preserve">created ERP quote, order, and invoice references</w:t>
      </w:r>
    </w:p>
    <w:p>
      <w:pPr>
        <w:pStyle w:val="Compact"/>
        <w:numPr>
          <w:ilvl w:val="0"/>
          <w:numId w:val="1065"/>
        </w:numPr>
      </w:pPr>
      <w:r>
        <w:t xml:space="preserve">account credit warnings returned to CRM</w:t>
      </w:r>
    </w:p>
    <w:bookmarkEnd w:id="180"/>
    <w:bookmarkStart w:id="181" w:name="crm-to-accounting-and-finance"/>
    <w:p>
      <w:pPr>
        <w:pStyle w:val="Heading3"/>
      </w:pPr>
      <w:r>
        <w:t xml:space="preserve">CRM to Accounting and Finance</w:t>
      </w:r>
    </w:p>
    <w:p>
      <w:pPr>
        <w:pStyle w:val="FirstParagraph"/>
      </w:pPr>
      <w:r>
        <w:t xml:space="preserve">CRM consumes but does not own:</w:t>
      </w:r>
    </w:p>
    <w:p>
      <w:pPr>
        <w:pStyle w:val="Compact"/>
        <w:numPr>
          <w:ilvl w:val="0"/>
          <w:numId w:val="1066"/>
        </w:numPr>
      </w:pPr>
      <w:r>
        <w:t xml:space="preserve">customer balance and ageing</w:t>
      </w:r>
    </w:p>
    <w:p>
      <w:pPr>
        <w:pStyle w:val="Compact"/>
        <w:numPr>
          <w:ilvl w:val="0"/>
          <w:numId w:val="1066"/>
        </w:numPr>
      </w:pPr>
      <w:r>
        <w:t xml:space="preserve">credit blocks and release status</w:t>
      </w:r>
    </w:p>
    <w:p>
      <w:pPr>
        <w:pStyle w:val="Compact"/>
        <w:numPr>
          <w:ilvl w:val="0"/>
          <w:numId w:val="1066"/>
        </w:numPr>
      </w:pPr>
      <w:r>
        <w:t xml:space="preserve">payment performance indicators</w:t>
      </w:r>
    </w:p>
    <w:p>
      <w:pPr>
        <w:pStyle w:val="Compact"/>
        <w:numPr>
          <w:ilvl w:val="0"/>
          <w:numId w:val="1066"/>
        </w:numPr>
      </w:pPr>
      <w:r>
        <w:t xml:space="preserve">disputed invoice indicators</w:t>
      </w:r>
    </w:p>
    <w:p>
      <w:pPr>
        <w:pStyle w:val="FirstParagraph"/>
      </w:pPr>
      <w:r>
        <w:t xml:space="preserve">Any financial figure shown in CRM must be traceable to an ERP-owned source.</w:t>
      </w:r>
    </w:p>
    <w:bookmarkEnd w:id="181"/>
    <w:bookmarkStart w:id="182" w:name="crm-to-service-and-asset-context"/>
    <w:p>
      <w:pPr>
        <w:pStyle w:val="Heading3"/>
      </w:pPr>
      <w:r>
        <w:t xml:space="preserve">CRM to Service and Asset Context</w:t>
      </w:r>
    </w:p>
    <w:p>
      <w:pPr>
        <w:pStyle w:val="FirstParagraph"/>
      </w:pPr>
      <w:r>
        <w:t xml:space="preserve">Service CRM can reference:</w:t>
      </w:r>
    </w:p>
    <w:p>
      <w:pPr>
        <w:pStyle w:val="Compact"/>
        <w:numPr>
          <w:ilvl w:val="0"/>
          <w:numId w:val="1067"/>
        </w:numPr>
      </w:pPr>
      <w:r>
        <w:t xml:space="preserve">sold products or service contracts</w:t>
      </w:r>
    </w:p>
    <w:p>
      <w:pPr>
        <w:pStyle w:val="Compact"/>
        <w:numPr>
          <w:ilvl w:val="0"/>
          <w:numId w:val="1067"/>
        </w:numPr>
      </w:pPr>
      <w:r>
        <w:t xml:space="preserve">registered assets or installed base</w:t>
      </w:r>
    </w:p>
    <w:p>
      <w:pPr>
        <w:pStyle w:val="Compact"/>
        <w:numPr>
          <w:ilvl w:val="0"/>
          <w:numId w:val="1067"/>
        </w:numPr>
      </w:pPr>
      <w:r>
        <w:t xml:space="preserve">shipment and order history</w:t>
      </w:r>
    </w:p>
    <w:p>
      <w:pPr>
        <w:pStyle w:val="Compact"/>
        <w:numPr>
          <w:ilvl w:val="0"/>
          <w:numId w:val="1067"/>
        </w:numPr>
      </w:pPr>
      <w:r>
        <w:t xml:space="preserve">warranty or entitlement signals</w:t>
      </w:r>
    </w:p>
    <w:p>
      <w:pPr>
        <w:pStyle w:val="FirstParagraph"/>
      </w:pPr>
      <w:r>
        <w:t xml:space="preserve">Those records remain mastered by the relevant ERP modules.</w:t>
      </w:r>
    </w:p>
    <w:bookmarkEnd w:id="182"/>
    <w:bookmarkStart w:id="183" w:name="crm-to-channel-and-partner-ecosystem"/>
    <w:p>
      <w:pPr>
        <w:pStyle w:val="Heading3"/>
      </w:pPr>
      <w:r>
        <w:t xml:space="preserve">CRM to Channel and Partner Ecosystem</w:t>
      </w:r>
    </w:p>
    <w:p>
      <w:pPr>
        <w:pStyle w:val="FirstParagraph"/>
      </w:pPr>
      <w:r>
        <w:t xml:space="preserve">CRM must support:</w:t>
      </w:r>
    </w:p>
    <w:p>
      <w:pPr>
        <w:pStyle w:val="Compact"/>
        <w:numPr>
          <w:ilvl w:val="0"/>
          <w:numId w:val="1068"/>
        </w:numPr>
      </w:pPr>
      <w:r>
        <w:t xml:space="preserve">partner registry</w:t>
      </w:r>
    </w:p>
    <w:p>
      <w:pPr>
        <w:pStyle w:val="Compact"/>
        <w:numPr>
          <w:ilvl w:val="0"/>
          <w:numId w:val="1068"/>
        </w:numPr>
      </w:pPr>
      <w:r>
        <w:t xml:space="preserve">partner-owned or partner-assisted opportunities</w:t>
      </w:r>
    </w:p>
    <w:p>
      <w:pPr>
        <w:pStyle w:val="Compact"/>
        <w:numPr>
          <w:ilvl w:val="0"/>
          <w:numId w:val="1068"/>
        </w:numPr>
      </w:pPr>
      <w:r>
        <w:t xml:space="preserve">partner-linked accounts</w:t>
      </w:r>
    </w:p>
    <w:p>
      <w:pPr>
        <w:pStyle w:val="Compact"/>
        <w:numPr>
          <w:ilvl w:val="0"/>
          <w:numId w:val="1068"/>
        </w:numPr>
      </w:pPr>
      <w:r>
        <w:t xml:space="preserve">deal registration and protection windows</w:t>
      </w:r>
    </w:p>
    <w:p>
      <w:pPr>
        <w:pStyle w:val="FirstParagraph"/>
      </w:pPr>
      <w:r>
        <w:t xml:space="preserve">Commercial settlement with partners remains an ERP and finance workflow.</w:t>
      </w:r>
    </w:p>
    <w:p>
      <w:r>
        <w:pict>
          <v:rect style="width:0;height:1.5pt" o:hralign="center" o:hrstd="t" o:hr="t"/>
        </w:pict>
      </w:r>
    </w:p>
    <w:bookmarkEnd w:id="183"/>
    <w:bookmarkEnd w:id="184"/>
    <w:bookmarkStart w:id="190" w:name="high-level-service-domains"/>
    <w:p>
      <w:pPr>
        <w:pStyle w:val="Heading2"/>
      </w:pPr>
      <w:r>
        <w:t xml:space="preserve">High-Level Service Domains</w:t>
      </w:r>
    </w:p>
    <w:bookmarkStart w:id="185" w:name="revenue-crm-domain"/>
    <w:p>
      <w:pPr>
        <w:pStyle w:val="Heading3"/>
      </w:pPr>
      <w:r>
        <w:t xml:space="preserve">Revenue CRM Domain</w:t>
      </w:r>
    </w:p>
    <w:p>
      <w:pPr>
        <w:pStyle w:val="FirstParagraph"/>
      </w:pPr>
      <w:r>
        <w:t xml:space="preserve">Owns account, contact, lead, opportunity, activity, forecast, and account-planning workflow.</w:t>
      </w:r>
    </w:p>
    <w:bookmarkEnd w:id="185"/>
    <w:bookmarkStart w:id="186" w:name="service-crm-domain"/>
    <w:p>
      <w:pPr>
        <w:pStyle w:val="Heading3"/>
      </w:pPr>
      <w:r>
        <w:t xml:space="preserve">Service CRM Domain</w:t>
      </w:r>
    </w:p>
    <w:p>
      <w:pPr>
        <w:pStyle w:val="FirstParagraph"/>
      </w:pPr>
      <w:r>
        <w:t xml:space="preserve">Owns case intake, SLA policy selection, assignment, escalation, resolution, and customer-facing service timeline history.</w:t>
      </w:r>
    </w:p>
    <w:bookmarkEnd w:id="186"/>
    <w:bookmarkStart w:id="187" w:name="quote-to-cash-coordination-domain"/>
    <w:p>
      <w:pPr>
        <w:pStyle w:val="Heading3"/>
      </w:pPr>
      <w:r>
        <w:t xml:space="preserve">Quote-to-Cash Coordination Domain</w:t>
      </w:r>
    </w:p>
    <w:p>
      <w:pPr>
        <w:pStyle w:val="FirstParagraph"/>
      </w:pPr>
      <w:r>
        <w:t xml:space="preserve">Owns governed transfer of opportunity and quote context from CRM into ERP execution flows.</w:t>
      </w:r>
    </w:p>
    <w:bookmarkEnd w:id="187"/>
    <w:bookmarkStart w:id="188" w:name="customer-intelligence-domain"/>
    <w:p>
      <w:pPr>
        <w:pStyle w:val="Heading3"/>
      </w:pPr>
      <w:r>
        <w:t xml:space="preserve">Customer Intelligence Domain</w:t>
      </w:r>
    </w:p>
    <w:p>
      <w:pPr>
        <w:pStyle w:val="FirstParagraph"/>
      </w:pPr>
      <w:r>
        <w:t xml:space="preserve">Owns account segmentation, health signals, renewal watchlists, relationship history, and next-action cues.</w:t>
      </w:r>
    </w:p>
    <w:bookmarkEnd w:id="188"/>
    <w:bookmarkStart w:id="189" w:name="partner-and-channel-domain"/>
    <w:p>
      <w:pPr>
        <w:pStyle w:val="Heading3"/>
      </w:pPr>
      <w:r>
        <w:t xml:space="preserve">Partner and Channel Domain</w:t>
      </w:r>
    </w:p>
    <w:p>
      <w:pPr>
        <w:pStyle w:val="FirstParagraph"/>
      </w:pPr>
      <w:r>
        <w:t xml:space="preserve">Owns partner registry, partner-account links, partner opportunity participation, and channel governance workflow.</w:t>
      </w:r>
    </w:p>
    <w:p>
      <w:r>
        <w:pict>
          <v:rect style="width:0;height:1.5pt" o:hralign="center" o:hrstd="t" o:hr="t"/>
        </w:pict>
      </w:r>
    </w:p>
    <w:bookmarkEnd w:id="189"/>
    <w:bookmarkEnd w:id="190"/>
    <w:bookmarkStart w:id="191" w:name="architectural-guardrails"/>
    <w:p>
      <w:pPr>
        <w:pStyle w:val="Heading2"/>
      </w:pPr>
      <w:r>
        <w:t xml:space="preserve">Architectural Guardrails</w:t>
      </w:r>
    </w:p>
    <w:p>
      <w:pPr>
        <w:pStyle w:val="Compact"/>
        <w:numPr>
          <w:ilvl w:val="0"/>
          <w:numId w:val="1069"/>
        </w:numPr>
      </w:pPr>
      <w:r>
        <w:t xml:space="preserve">CRM must never be the source of financial truth.</w:t>
      </w:r>
    </w:p>
    <w:p>
      <w:pPr>
        <w:pStyle w:val="Compact"/>
        <w:numPr>
          <w:ilvl w:val="0"/>
          <w:numId w:val="1069"/>
        </w:numPr>
      </w:pPr>
      <w:r>
        <w:t xml:space="preserve">Opportunity forecasts must exclude or flag deals that are missing required commercial approvals.</w:t>
      </w:r>
    </w:p>
    <w:p>
      <w:pPr>
        <w:pStyle w:val="Compact"/>
        <w:numPr>
          <w:ilvl w:val="0"/>
          <w:numId w:val="1069"/>
        </w:numPr>
      </w:pPr>
      <w:r>
        <w:t xml:space="preserve">Case SLA clocks must run from governed policy definitions, not from ad hoc manual interpretation.</w:t>
      </w:r>
    </w:p>
    <w:p>
      <w:pPr>
        <w:pStyle w:val="Compact"/>
        <w:numPr>
          <w:ilvl w:val="0"/>
          <w:numId w:val="1069"/>
        </w:numPr>
      </w:pPr>
      <w:r>
        <w:t xml:space="preserve">Customer financial context shown in CRM must be time-stamped and attributable to ERP source data.</w:t>
      </w:r>
    </w:p>
    <w:p>
      <w:pPr>
        <w:pStyle w:val="Compact"/>
        <w:numPr>
          <w:ilvl w:val="0"/>
          <w:numId w:val="1069"/>
        </w:numPr>
      </w:pPr>
      <w:r>
        <w:t xml:space="preserve">Quote-to-cash handoff must be idempotent and auditable.</w:t>
      </w:r>
    </w:p>
    <w:p>
      <w:pPr>
        <w:pStyle w:val="Compact"/>
        <w:numPr>
          <w:ilvl w:val="0"/>
          <w:numId w:val="1069"/>
        </w:numPr>
      </w:pPr>
      <w:r>
        <w:t xml:space="preserve">Customer hierarchy and duplication controls must prevent fragmented views of the same enterprise account.</w:t>
      </w:r>
    </w:p>
    <w:p>
      <w:pPr>
        <w:pStyle w:val="Compact"/>
        <w:numPr>
          <w:ilvl w:val="0"/>
          <w:numId w:val="1069"/>
        </w:numPr>
      </w:pPr>
      <w:r>
        <w:t xml:space="preserve">Partner relationships must not weaken direct customer ownership, financial controls, or reporting integrity.</w:t>
      </w:r>
    </w:p>
    <w:p>
      <w:r>
        <w:pict>
          <v:rect style="width:0;height:1.5pt" o:hralign="center" o:hrstd="t" o:hr="t"/>
        </w:pict>
      </w:r>
    </w:p>
    <w:bookmarkEnd w:id="191"/>
    <w:bookmarkStart w:id="192" w:name="outcome"/>
    <w:p>
      <w:pPr>
        <w:pStyle w:val="Heading2"/>
      </w:pPr>
      <w:r>
        <w:t xml:space="preserve">Outcome</w:t>
      </w:r>
    </w:p>
    <w:p>
      <w:pPr>
        <w:pStyle w:val="FirstParagraph"/>
      </w:pPr>
      <w:r>
        <w:t xml:space="preserve">With this architecture, KraalCode CRM becomes a first-class customer workflow layer for both growth and service operations while preserving the integrity of ERP execution and finance.</w:t>
      </w:r>
    </w:p>
    <w:bookmarkEnd w:id="192"/>
    <w:bookmarkEnd w:id="193"/>
    <w:bookmarkStart w:id="209" w:name="Xad2db5479209e0dfb936657c36cd0476370edf5"/>
    <w:p>
      <w:pPr>
        <w:pStyle w:val="Heading1"/>
      </w:pPr>
      <w:r>
        <w:t xml:space="preserve">Workforce, Planning, and Asset Operations Architecture</w:t>
      </w:r>
    </w:p>
    <w:bookmarkStart w:id="194" w:name="X72ef568b04d9e2c49f57ee0a3f1aa5cba873e10"/>
    <w:p>
      <w:pPr>
        <w:pStyle w:val="Heading2"/>
      </w:pPr>
      <w:r>
        <w:t xml:space="preserve">15.1 Purpose</w:t>
      </w:r>
    </w:p>
    <w:p>
      <w:pPr>
        <w:pStyle w:val="FirstParagraph"/>
      </w:pPr>
      <w:r>
        <w:t xml:space="preserve">This section defines the high-level architecture for 3 cross-functional operating domains strengthened in this revision:</w:t>
      </w:r>
    </w:p>
    <w:p>
      <w:pPr>
        <w:pStyle w:val="Compact"/>
        <w:numPr>
          <w:ilvl w:val="0"/>
          <w:numId w:val="1070"/>
        </w:numPr>
      </w:pPr>
      <w:r>
        <w:t xml:space="preserve">governed workforce operations inside</w:t>
      </w:r>
      <w:r>
        <w:t xml:space="preserve"> </w:t>
      </w:r>
      <w:r>
        <w:rPr>
          <w:rStyle w:val="VerbatimChar"/>
        </w:rPr>
        <w:t xml:space="preserve">HR_PAYROLL</w:t>
      </w:r>
    </w:p>
    <w:p>
      <w:pPr>
        <w:pStyle w:val="Compact"/>
        <w:numPr>
          <w:ilvl w:val="0"/>
          <w:numId w:val="1070"/>
        </w:numPr>
      </w:pPr>
      <w:r>
        <w:t xml:space="preserve">forward-looking planning inside</w:t>
      </w:r>
      <w:r>
        <w:t xml:space="preserve"> </w:t>
      </w:r>
      <w:r>
        <w:rPr>
          <w:rStyle w:val="VerbatimChar"/>
        </w:rPr>
        <w:t xml:space="preserve">SUPPLY_CHAIN_PLANNING</w:t>
      </w:r>
    </w:p>
    <w:p>
      <w:pPr>
        <w:pStyle w:val="Compact"/>
        <w:numPr>
          <w:ilvl w:val="0"/>
          <w:numId w:val="1070"/>
        </w:numPr>
      </w:pPr>
      <w:r>
        <w:t xml:space="preserve">enterprise asset work management and reliability inside</w:t>
      </w:r>
      <w:r>
        <w:t xml:space="preserve"> </w:t>
      </w:r>
      <w:r>
        <w:rPr>
          <w:rStyle w:val="VerbatimChar"/>
        </w:rPr>
        <w:t xml:space="preserve">ASSETS</w:t>
      </w:r>
    </w:p>
    <w:p>
      <w:pPr>
        <w:pStyle w:val="FirstParagraph"/>
      </w:pPr>
      <w:r>
        <w:t xml:space="preserve">These domains remain peers of the existing accounting, inventory, procurement, manufacturing, and transportation capabilities. None should be collapsed into generic admin screens or ungoverned side workflows.</w:t>
      </w:r>
    </w:p>
    <w:bookmarkEnd w:id="194"/>
    <w:bookmarkStart w:id="198" w:name="X98202791a456d887253cbc8cd0b8b493882bde4"/>
    <w:p>
      <w:pPr>
        <w:pStyle w:val="Heading2"/>
      </w:pPr>
      <w:r>
        <w:t xml:space="preserve">15.2 Bounded Contexts</w:t>
      </w:r>
    </w:p>
    <w:bookmarkStart w:id="195" w:name="X40004480a8f5bc9d8b93d6886bf37aea73cd6e1"/>
    <w:p>
      <w:pPr>
        <w:pStyle w:val="Heading3"/>
      </w:pPr>
      <w:r>
        <w:t xml:space="preserve">15.2.1 HR and Payroll Workforce Operations</w:t>
      </w:r>
    </w:p>
    <w:p>
      <w:pPr>
        <w:pStyle w:val="FirstParagraph"/>
      </w:pPr>
      <w:r>
        <w:rPr>
          <w:rStyle w:val="VerbatimChar"/>
        </w:rPr>
        <w:t xml:space="preserve">HR_PAYROLL</w:t>
      </w:r>
      <w:r>
        <w:t xml:space="preserve"> </w:t>
      </w:r>
      <w:r>
        <w:t xml:space="preserve">is the system of record for:</w:t>
      </w:r>
    </w:p>
    <w:p>
      <w:pPr>
        <w:pStyle w:val="Compact"/>
        <w:numPr>
          <w:ilvl w:val="0"/>
          <w:numId w:val="1071"/>
        </w:numPr>
      </w:pPr>
      <w:r>
        <w:t xml:space="preserve">worker and employment history</w:t>
      </w:r>
    </w:p>
    <w:p>
      <w:pPr>
        <w:pStyle w:val="Compact"/>
        <w:numPr>
          <w:ilvl w:val="0"/>
          <w:numId w:val="1071"/>
        </w:numPr>
      </w:pPr>
      <w:r>
        <w:t xml:space="preserve">job and position governance</w:t>
      </w:r>
    </w:p>
    <w:p>
      <w:pPr>
        <w:pStyle w:val="Compact"/>
        <w:numPr>
          <w:ilvl w:val="0"/>
          <w:numId w:val="1071"/>
        </w:numPr>
      </w:pPr>
      <w:r>
        <w:t xml:space="preserve">manager and employee self-service workflows</w:t>
      </w:r>
    </w:p>
    <w:p>
      <w:pPr>
        <w:pStyle w:val="Compact"/>
        <w:numPr>
          <w:ilvl w:val="0"/>
          <w:numId w:val="1071"/>
        </w:numPr>
      </w:pPr>
      <w:r>
        <w:t xml:space="preserve">payroll calendars, validation, and release controls</w:t>
      </w:r>
    </w:p>
    <w:p>
      <w:pPr>
        <w:pStyle w:val="Compact"/>
        <w:numPr>
          <w:ilvl w:val="0"/>
          <w:numId w:val="1071"/>
        </w:numPr>
      </w:pPr>
      <w:r>
        <w:t xml:space="preserve">workforce analytics and operational HR dashboards</w:t>
      </w:r>
    </w:p>
    <w:p>
      <w:pPr>
        <w:pStyle w:val="FirstParagraph"/>
      </w:pPr>
      <w:r>
        <w:rPr>
          <w:rStyle w:val="VerbatimChar"/>
        </w:rPr>
        <w:t xml:space="preserve">ACCOUNTING</w:t>
      </w:r>
      <w:r>
        <w:t xml:space="preserve"> </w:t>
      </w:r>
      <w:r>
        <w:t xml:space="preserve">remains the owner of the finance book of record.</w:t>
      </w:r>
      <w:r>
        <w:t xml:space="preserve"> </w:t>
      </w:r>
      <w:r>
        <w:rPr>
          <w:rStyle w:val="VerbatimChar"/>
        </w:rPr>
        <w:t xml:space="preserve">USER_MGMT</w:t>
      </w:r>
      <w:r>
        <w:t xml:space="preserve"> </w:t>
      </w:r>
      <w:r>
        <w:t xml:space="preserve">remains the owner of platform identity and permission enforcement.</w:t>
      </w:r>
    </w:p>
    <w:bookmarkEnd w:id="195"/>
    <w:bookmarkStart w:id="196" w:name="Xbd7f1d7139a4a182becbfb8090fd3782ff3425e"/>
    <w:p>
      <w:pPr>
        <w:pStyle w:val="Heading3"/>
      </w:pPr>
      <w:r>
        <w:t xml:space="preserve">15.2.2 Supply Chain Planning</w:t>
      </w:r>
    </w:p>
    <w:p>
      <w:pPr>
        <w:pStyle w:val="FirstParagraph"/>
      </w:pPr>
      <w:r>
        <w:rPr>
          <w:rStyle w:val="VerbatimChar"/>
        </w:rPr>
        <w:t xml:space="preserve">SUPPLY_CHAIN_PLANNING</w:t>
      </w:r>
      <w:r>
        <w:t xml:space="preserve"> </w:t>
      </w:r>
      <w:r>
        <w:t xml:space="preserve">is the system of record for:</w:t>
      </w:r>
    </w:p>
    <w:p>
      <w:pPr>
        <w:pStyle w:val="Compact"/>
        <w:numPr>
          <w:ilvl w:val="0"/>
          <w:numId w:val="1072"/>
        </w:numPr>
      </w:pPr>
      <w:r>
        <w:t xml:space="preserve">consensus demand versions</w:t>
      </w:r>
    </w:p>
    <w:p>
      <w:pPr>
        <w:pStyle w:val="Compact"/>
        <w:numPr>
          <w:ilvl w:val="0"/>
          <w:numId w:val="1072"/>
        </w:numPr>
      </w:pPr>
      <w:r>
        <w:t xml:space="preserve">supply-plan versions</w:t>
      </w:r>
    </w:p>
    <w:p>
      <w:pPr>
        <w:pStyle w:val="Compact"/>
        <w:numPr>
          <w:ilvl w:val="0"/>
          <w:numId w:val="1072"/>
        </w:numPr>
      </w:pPr>
      <w:r>
        <w:t xml:space="preserve">inventory-policy versions</w:t>
      </w:r>
    </w:p>
    <w:p>
      <w:pPr>
        <w:pStyle w:val="Compact"/>
        <w:numPr>
          <w:ilvl w:val="0"/>
          <w:numId w:val="1072"/>
        </w:numPr>
      </w:pPr>
      <w:r>
        <w:t xml:space="preserve">S&amp;OP / IBP cycle state</w:t>
      </w:r>
    </w:p>
    <w:p>
      <w:pPr>
        <w:pStyle w:val="Compact"/>
        <w:numPr>
          <w:ilvl w:val="0"/>
          <w:numId w:val="1072"/>
        </w:numPr>
      </w:pPr>
      <w:r>
        <w:t xml:space="preserve">planning scenarios and released plan views</w:t>
      </w:r>
    </w:p>
    <w:p>
      <w:pPr>
        <w:pStyle w:val="FirstParagraph"/>
      </w:pPr>
      <w:r>
        <w:t xml:space="preserve">Execution modules remain the owners of actual transactions:</w:t>
      </w:r>
    </w:p>
    <w:p>
      <w:pPr>
        <w:pStyle w:val="Compact"/>
        <w:numPr>
          <w:ilvl w:val="0"/>
          <w:numId w:val="1073"/>
        </w:numPr>
      </w:pPr>
      <w:r>
        <w:rPr>
          <w:rStyle w:val="VerbatimChar"/>
        </w:rPr>
        <w:t xml:space="preserve">PROCUREMENT</w:t>
      </w:r>
      <w:r>
        <w:t xml:space="preserve"> </w:t>
      </w:r>
      <w:r>
        <w:t xml:space="preserve">owns purchase execution</w:t>
      </w:r>
    </w:p>
    <w:p>
      <w:pPr>
        <w:pStyle w:val="Compact"/>
        <w:numPr>
          <w:ilvl w:val="0"/>
          <w:numId w:val="1073"/>
        </w:numPr>
      </w:pPr>
      <w:r>
        <w:rPr>
          <w:rStyle w:val="VerbatimChar"/>
        </w:rPr>
        <w:t xml:space="preserve">INVENTORY</w:t>
      </w:r>
      <w:r>
        <w:t xml:space="preserve"> </w:t>
      </w:r>
      <w:r>
        <w:t xml:space="preserve">and</w:t>
      </w:r>
      <w:r>
        <w:t xml:space="preserve"> </w:t>
      </w:r>
      <w:r>
        <w:rPr>
          <w:rStyle w:val="VerbatimChar"/>
        </w:rPr>
        <w:t xml:space="preserve">ADV_INVENTORY</w:t>
      </w:r>
      <w:r>
        <w:t xml:space="preserve"> </w:t>
      </w:r>
      <w:r>
        <w:t xml:space="preserve">own stock movements and location truth</w:t>
      </w:r>
    </w:p>
    <w:p>
      <w:pPr>
        <w:pStyle w:val="Compact"/>
        <w:numPr>
          <w:ilvl w:val="0"/>
          <w:numId w:val="1073"/>
        </w:numPr>
      </w:pPr>
      <w:r>
        <w:rPr>
          <w:rStyle w:val="VerbatimChar"/>
        </w:rPr>
        <w:t xml:space="preserve">MANUFACTURING</w:t>
      </w:r>
      <w:r>
        <w:t xml:space="preserve"> </w:t>
      </w:r>
      <w:r>
        <w:t xml:space="preserve">owns production execution</w:t>
      </w:r>
    </w:p>
    <w:p>
      <w:pPr>
        <w:pStyle w:val="Compact"/>
        <w:numPr>
          <w:ilvl w:val="0"/>
          <w:numId w:val="1073"/>
        </w:numPr>
      </w:pPr>
      <w:r>
        <w:rPr>
          <w:rStyle w:val="VerbatimChar"/>
        </w:rPr>
        <w:t xml:space="preserve">TRANSPORTATION</w:t>
      </w:r>
      <w:r>
        <w:t xml:space="preserve"> </w:t>
      </w:r>
      <w:r>
        <w:t xml:space="preserve">owns movement execution</w:t>
      </w:r>
    </w:p>
    <w:bookmarkEnd w:id="196"/>
    <w:bookmarkStart w:id="197" w:name="X8f91f95e91bc3ad604ad032ae3786d6610c65e5"/>
    <w:p>
      <w:pPr>
        <w:pStyle w:val="Heading3"/>
      </w:pPr>
      <w:r>
        <w:t xml:space="preserve">15.2.3 Enterprise Asset Management</w:t>
      </w:r>
    </w:p>
    <w:p>
      <w:pPr>
        <w:pStyle w:val="FirstParagraph"/>
      </w:pPr>
      <w:r>
        <w:rPr>
          <w:rStyle w:val="VerbatimChar"/>
        </w:rPr>
        <w:t xml:space="preserve">ASSETS</w:t>
      </w:r>
      <w:r>
        <w:t xml:space="preserve"> </w:t>
      </w:r>
      <w:r>
        <w:t xml:space="preserve">is the system of record for:</w:t>
      </w:r>
    </w:p>
    <w:p>
      <w:pPr>
        <w:pStyle w:val="Compact"/>
        <w:numPr>
          <w:ilvl w:val="0"/>
          <w:numId w:val="1074"/>
        </w:numPr>
      </w:pPr>
      <w:r>
        <w:t xml:space="preserve">asset registry and functional locations</w:t>
      </w:r>
    </w:p>
    <w:p>
      <w:pPr>
        <w:pStyle w:val="Compact"/>
        <w:numPr>
          <w:ilvl w:val="0"/>
          <w:numId w:val="1074"/>
        </w:numPr>
      </w:pPr>
      <w:r>
        <w:t xml:space="preserve">asset criticality and lifecycle status</w:t>
      </w:r>
    </w:p>
    <w:p>
      <w:pPr>
        <w:pStyle w:val="Compact"/>
        <w:numPr>
          <w:ilvl w:val="0"/>
          <w:numId w:val="1074"/>
        </w:numPr>
      </w:pPr>
      <w:r>
        <w:t xml:space="preserve">work requests, work orders, and shutdown packages</w:t>
      </w:r>
    </w:p>
    <w:p>
      <w:pPr>
        <w:pStyle w:val="Compact"/>
        <w:numPr>
          <w:ilvl w:val="0"/>
          <w:numId w:val="1074"/>
        </w:numPr>
      </w:pPr>
      <w:r>
        <w:t xml:space="preserve">maintenance history, failure evidence, and condition events</w:t>
      </w:r>
    </w:p>
    <w:p>
      <w:pPr>
        <w:pStyle w:val="Compact"/>
        <w:numPr>
          <w:ilvl w:val="0"/>
          <w:numId w:val="1074"/>
        </w:numPr>
      </w:pPr>
      <w:r>
        <w:t xml:space="preserve">asset-side reliability analytics</w:t>
      </w:r>
    </w:p>
    <w:p>
      <w:pPr>
        <w:pStyle w:val="FirstParagraph"/>
      </w:pPr>
      <w:r>
        <w:rPr>
          <w:rStyle w:val="VerbatimChar"/>
        </w:rPr>
        <w:t xml:space="preserve">INVENTORY</w:t>
      </w:r>
      <w:r>
        <w:t xml:space="preserve"> </w:t>
      </w:r>
      <w:r>
        <w:t xml:space="preserve">owns stocked-material balances and reservations.</w:t>
      </w:r>
      <w:r>
        <w:t xml:space="preserve"> </w:t>
      </w:r>
      <w:r>
        <w:rPr>
          <w:rStyle w:val="VerbatimChar"/>
        </w:rPr>
        <w:t xml:space="preserve">PROCUREMENT</w:t>
      </w:r>
      <w:r>
        <w:t xml:space="preserve"> </w:t>
      </w:r>
      <w:r>
        <w:t xml:space="preserve">owns purchasing and supplier obligations.</w:t>
      </w:r>
      <w:r>
        <w:t xml:space="preserve"> </w:t>
      </w:r>
      <w:r>
        <w:rPr>
          <w:rStyle w:val="VerbatimChar"/>
        </w:rPr>
        <w:t xml:space="preserve">TRANSPORTATION</w:t>
      </w:r>
      <w:r>
        <w:t xml:space="preserve"> </w:t>
      </w:r>
      <w:r>
        <w:t xml:space="preserve">remains the owner of live fleet dispatch and trip state.</w:t>
      </w:r>
    </w:p>
    <w:bookmarkEnd w:id="197"/>
    <w:bookmarkEnd w:id="198"/>
    <w:bookmarkStart w:id="202" w:name="X0881e267b5e4490895aa066ed36c6370d370d8f"/>
    <w:p>
      <w:pPr>
        <w:pStyle w:val="Heading2"/>
      </w:pPr>
      <w:r>
        <w:t xml:space="preserve">15.3 Component Model</w:t>
      </w:r>
    </w:p>
    <w:bookmarkStart w:id="199" w:name="hr-and-payroll-components"/>
    <w:p>
      <w:pPr>
        <w:pStyle w:val="Heading3"/>
      </w:pPr>
      <w:r>
        <w:t xml:space="preserve">HR and Payroll Components</w:t>
      </w:r>
    </w:p>
    <w:p>
      <w:pPr>
        <w:pStyle w:val="Compact"/>
        <w:numPr>
          <w:ilvl w:val="0"/>
          <w:numId w:val="1075"/>
        </w:numPr>
      </w:pPr>
      <w:r>
        <w:rPr>
          <w:rStyle w:val="VerbatimChar"/>
        </w:rPr>
        <w:t xml:space="preserve">PositionGovernance Service</w:t>
      </w:r>
      <w:r>
        <w:t xml:space="preserve"> </w:t>
      </w:r>
      <w:r>
        <w:t xml:space="preserve">- job families, positions, approvals, and effective-dated workforce changes</w:t>
      </w:r>
    </w:p>
    <w:p>
      <w:pPr>
        <w:pStyle w:val="Compact"/>
        <w:numPr>
          <w:ilvl w:val="0"/>
          <w:numId w:val="1075"/>
        </w:numPr>
      </w:pPr>
      <w:r>
        <w:rPr>
          <w:rStyle w:val="VerbatimChar"/>
        </w:rPr>
        <w:t xml:space="preserve">PayrollControl Service</w:t>
      </w:r>
      <w:r>
        <w:t xml:space="preserve"> </w:t>
      </w:r>
      <w:r>
        <w:t xml:space="preserve">- calendars, validation packs, variance review, shadow runs, and release checklists</w:t>
      </w:r>
    </w:p>
    <w:p>
      <w:pPr>
        <w:pStyle w:val="Compact"/>
        <w:numPr>
          <w:ilvl w:val="0"/>
          <w:numId w:val="1075"/>
        </w:numPr>
      </w:pPr>
      <w:r>
        <w:rPr>
          <w:rStyle w:val="VerbatimChar"/>
        </w:rPr>
        <w:t xml:space="preserve">ManagerSelfService Service</w:t>
      </w:r>
      <w:r>
        <w:t xml:space="preserve"> </w:t>
      </w:r>
      <w:r>
        <w:t xml:space="preserve">- manager approvals and scoped workforce actions</w:t>
      </w:r>
    </w:p>
    <w:p>
      <w:pPr>
        <w:pStyle w:val="Compact"/>
        <w:numPr>
          <w:ilvl w:val="0"/>
          <w:numId w:val="1075"/>
        </w:numPr>
      </w:pPr>
      <w:r>
        <w:rPr>
          <w:rStyle w:val="VerbatimChar"/>
        </w:rPr>
        <w:t xml:space="preserve">WorkforceAnalytics Service</w:t>
      </w:r>
      <w:r>
        <w:t xml:space="preserve"> </w:t>
      </w:r>
      <w:r>
        <w:t xml:space="preserve">- headcount, absenteeism, overtime, payroll, and change metrics</w:t>
      </w:r>
    </w:p>
    <w:bookmarkEnd w:id="199"/>
    <w:bookmarkStart w:id="200" w:name="supply-chain-planning-components"/>
    <w:p>
      <w:pPr>
        <w:pStyle w:val="Heading3"/>
      </w:pPr>
      <w:r>
        <w:t xml:space="preserve">Supply Chain Planning Components</w:t>
      </w:r>
    </w:p>
    <w:p>
      <w:pPr>
        <w:pStyle w:val="Compact"/>
        <w:numPr>
          <w:ilvl w:val="0"/>
          <w:numId w:val="1076"/>
        </w:numPr>
      </w:pPr>
      <w:r>
        <w:rPr>
          <w:rStyle w:val="VerbatimChar"/>
        </w:rPr>
        <w:t xml:space="preserve">DemandPlanning Service</w:t>
      </w:r>
      <w:r>
        <w:t xml:space="preserve"> </w:t>
      </w:r>
      <w:r>
        <w:t xml:space="preserve">- baseline forecasts, overrides, and consensus-demand governance</w:t>
      </w:r>
    </w:p>
    <w:p>
      <w:pPr>
        <w:pStyle w:val="Compact"/>
        <w:numPr>
          <w:ilvl w:val="0"/>
          <w:numId w:val="1076"/>
        </w:numPr>
      </w:pPr>
      <w:r>
        <w:rPr>
          <w:rStyle w:val="VerbatimChar"/>
        </w:rPr>
        <w:t xml:space="preserve">SupplyPlanning Service</w:t>
      </w:r>
      <w:r>
        <w:t xml:space="preserve"> </w:t>
      </w:r>
      <w:r>
        <w:t xml:space="preserve">- feasible supply, replenishment recommendations, and shortage exceptions</w:t>
      </w:r>
    </w:p>
    <w:p>
      <w:pPr>
        <w:pStyle w:val="Compact"/>
        <w:numPr>
          <w:ilvl w:val="0"/>
          <w:numId w:val="1076"/>
        </w:numPr>
      </w:pPr>
      <w:r>
        <w:rPr>
          <w:rStyle w:val="VerbatimChar"/>
        </w:rPr>
        <w:t xml:space="preserve">InventoryPolicy Service</w:t>
      </w:r>
      <w:r>
        <w:t xml:space="preserve"> </w:t>
      </w:r>
      <w:r>
        <w:t xml:space="preserve">- service classes, safety stock, and policy versioning</w:t>
      </w:r>
    </w:p>
    <w:p>
      <w:pPr>
        <w:pStyle w:val="Compact"/>
        <w:numPr>
          <w:ilvl w:val="0"/>
          <w:numId w:val="1076"/>
        </w:numPr>
      </w:pPr>
      <w:r>
        <w:rPr>
          <w:rStyle w:val="VerbatimChar"/>
        </w:rPr>
        <w:t xml:space="preserve">SopCycle Service</w:t>
      </w:r>
      <w:r>
        <w:t xml:space="preserve"> </w:t>
      </w:r>
      <w:r>
        <w:t xml:space="preserve">- demand review, supply review, executive review, and plan release</w:t>
      </w:r>
    </w:p>
    <w:p>
      <w:pPr>
        <w:pStyle w:val="Compact"/>
        <w:numPr>
          <w:ilvl w:val="0"/>
          <w:numId w:val="1076"/>
        </w:numPr>
      </w:pPr>
      <w:r>
        <w:rPr>
          <w:rStyle w:val="VerbatimChar"/>
        </w:rPr>
        <w:t xml:space="preserve">Scenario Service</w:t>
      </w:r>
      <w:r>
        <w:t xml:space="preserve"> </w:t>
      </w:r>
      <w:r>
        <w:t xml:space="preserve">- sandbox scenario creation, comparison, and decision capture</w:t>
      </w:r>
    </w:p>
    <w:bookmarkEnd w:id="200"/>
    <w:bookmarkStart w:id="201" w:name="asset-management-components"/>
    <w:p>
      <w:pPr>
        <w:pStyle w:val="Heading3"/>
      </w:pPr>
      <w:r>
        <w:t xml:space="preserve">Asset Management Components</w:t>
      </w:r>
    </w:p>
    <w:p>
      <w:pPr>
        <w:pStyle w:val="Compact"/>
        <w:numPr>
          <w:ilvl w:val="0"/>
          <w:numId w:val="1077"/>
        </w:numPr>
      </w:pPr>
      <w:r>
        <w:rPr>
          <w:rStyle w:val="VerbatimChar"/>
        </w:rPr>
        <w:t xml:space="preserve">AssetHierarchy Service</w:t>
      </w:r>
      <w:r>
        <w:t xml:space="preserve"> </w:t>
      </w:r>
      <w:r>
        <w:t xml:space="preserve">- functional locations, hierarchy, and asset criticality</w:t>
      </w:r>
    </w:p>
    <w:p>
      <w:pPr>
        <w:pStyle w:val="Compact"/>
        <w:numPr>
          <w:ilvl w:val="0"/>
          <w:numId w:val="1077"/>
        </w:numPr>
      </w:pPr>
      <w:r>
        <w:rPr>
          <w:rStyle w:val="VerbatimChar"/>
        </w:rPr>
        <w:t xml:space="preserve">WorkManagement Service</w:t>
      </w:r>
      <w:r>
        <w:t xml:space="preserve"> </w:t>
      </w:r>
      <w:r>
        <w:t xml:space="preserve">- work requests, planning packages, scheduling, and shutdown packages</w:t>
      </w:r>
    </w:p>
    <w:p>
      <w:pPr>
        <w:pStyle w:val="Compact"/>
        <w:numPr>
          <w:ilvl w:val="0"/>
          <w:numId w:val="1077"/>
        </w:numPr>
      </w:pPr>
      <w:r>
        <w:rPr>
          <w:rStyle w:val="VerbatimChar"/>
        </w:rPr>
        <w:t xml:space="preserve">Reliability Service</w:t>
      </w:r>
      <w:r>
        <w:t xml:space="preserve"> </w:t>
      </w:r>
      <w:r>
        <w:t xml:space="preserve">- failure coding, repeat-failure detection, and KPI computation</w:t>
      </w:r>
    </w:p>
    <w:p>
      <w:pPr>
        <w:pStyle w:val="Compact"/>
        <w:numPr>
          <w:ilvl w:val="0"/>
          <w:numId w:val="1077"/>
        </w:numPr>
      </w:pPr>
      <w:r>
        <w:rPr>
          <w:rStyle w:val="VerbatimChar"/>
        </w:rPr>
        <w:t xml:space="preserve">ConditionEvent Service</w:t>
      </w:r>
      <w:r>
        <w:t xml:space="preserve"> </w:t>
      </w:r>
      <w:r>
        <w:t xml:space="preserve">- inspection, meter, and telemetry threshold evaluation</w:t>
      </w:r>
    </w:p>
    <w:bookmarkEnd w:id="201"/>
    <w:bookmarkEnd w:id="202"/>
    <w:bookmarkStart w:id="206" w:name="X16fad5fa907b32c621a8ae857370c5b45bfa98d"/>
    <w:p>
      <w:pPr>
        <w:pStyle w:val="Heading2"/>
      </w:pPr>
      <w:r>
        <w:t xml:space="preserve">15.4 Cross-Module Integration Flows</w:t>
      </w:r>
    </w:p>
    <w:bookmarkStart w:id="203" w:name="Xe144b83c1fb6837e80427eba05dcf3f538cb95f"/>
    <w:p>
      <w:pPr>
        <w:pStyle w:val="Heading3"/>
      </w:pPr>
      <w:r>
        <w:t xml:space="preserve">15.4.1 Workforce to Finance and Access Control</w:t>
      </w:r>
    </w:p>
    <w:p>
      <w:pPr>
        <w:pStyle w:val="Compact"/>
        <w:numPr>
          <w:ilvl w:val="0"/>
          <w:numId w:val="1078"/>
        </w:numPr>
      </w:pPr>
      <w:r>
        <w:t xml:space="preserve">A manager or HR officer initiates a workforce or payroll control action.</w:t>
      </w:r>
    </w:p>
    <w:p>
      <w:pPr>
        <w:pStyle w:val="Compact"/>
        <w:numPr>
          <w:ilvl w:val="0"/>
          <w:numId w:val="1078"/>
        </w:numPr>
      </w:pPr>
      <w:r>
        <w:rPr>
          <w:rStyle w:val="VerbatimChar"/>
        </w:rPr>
        <w:t xml:space="preserve">HR_PAYROLL</w:t>
      </w:r>
      <w:r>
        <w:t xml:space="preserve"> </w:t>
      </w:r>
      <w:r>
        <w:t xml:space="preserve">validates reporting scope, position state, and payroll calendar state.</w:t>
      </w:r>
    </w:p>
    <w:p>
      <w:pPr>
        <w:pStyle w:val="Compact"/>
        <w:numPr>
          <w:ilvl w:val="0"/>
          <w:numId w:val="1078"/>
        </w:numPr>
      </w:pPr>
      <w:r>
        <w:t xml:space="preserve">Approved payroll runs publish GL-ready outcomes to</w:t>
      </w:r>
      <w:r>
        <w:t xml:space="preserve"> </w:t>
      </w:r>
      <w:r>
        <w:rPr>
          <w:rStyle w:val="VerbatimChar"/>
        </w:rPr>
        <w:t xml:space="preserve">ACCOUNTING</w:t>
      </w:r>
      <w:r>
        <w:t xml:space="preserve">.</w:t>
      </w:r>
    </w:p>
    <w:p>
      <w:pPr>
        <w:pStyle w:val="Compact"/>
        <w:numPr>
          <w:ilvl w:val="0"/>
          <w:numId w:val="1078"/>
        </w:numPr>
      </w:pPr>
      <w:r>
        <w:t xml:space="preserve">Access scope remains enforced through</w:t>
      </w:r>
      <w:r>
        <w:t xml:space="preserve"> </w:t>
      </w:r>
      <w:r>
        <w:rPr>
          <w:rStyle w:val="VerbatimChar"/>
        </w:rPr>
        <w:t xml:space="preserve">USER_MGMT</w:t>
      </w:r>
      <w:r>
        <w:t xml:space="preserve"> </w:t>
      </w:r>
      <w:r>
        <w:t xml:space="preserve">and RBAC claims.</w:t>
      </w:r>
    </w:p>
    <w:bookmarkEnd w:id="203"/>
    <w:bookmarkStart w:id="204" w:name="X51d565c1420fc3386dd036acd0441f06b258121"/>
    <w:p>
      <w:pPr>
        <w:pStyle w:val="Heading3"/>
      </w:pPr>
      <w:r>
        <w:t xml:space="preserve">15.4.2 Planning to Execution</w:t>
      </w:r>
    </w:p>
    <w:p>
      <w:pPr>
        <w:pStyle w:val="Compact"/>
        <w:numPr>
          <w:ilvl w:val="0"/>
          <w:numId w:val="1079"/>
        </w:numPr>
      </w:pPr>
      <w:r>
        <w:rPr>
          <w:rStyle w:val="VerbatimChar"/>
        </w:rPr>
        <w:t xml:space="preserve">SUPPLY_CHAIN_PLANNING</w:t>
      </w:r>
      <w:r>
        <w:t xml:space="preserve"> </w:t>
      </w:r>
      <w:r>
        <w:t xml:space="preserve">ingests demand, inventory, procurement, manufacturing, and transport context.</w:t>
      </w:r>
    </w:p>
    <w:p>
      <w:pPr>
        <w:pStyle w:val="Compact"/>
        <w:numPr>
          <w:ilvl w:val="0"/>
          <w:numId w:val="1079"/>
        </w:numPr>
      </w:pPr>
      <w:r>
        <w:t xml:space="preserve">Demand, supply, and inventory-policy versions are generated and reviewed.</w:t>
      </w:r>
    </w:p>
    <w:p>
      <w:pPr>
        <w:pStyle w:val="Compact"/>
        <w:numPr>
          <w:ilvl w:val="0"/>
          <w:numId w:val="1079"/>
        </w:numPr>
      </w:pPr>
      <w:r>
        <w:t xml:space="preserve">Approved plans are released as recommendations.</w:t>
      </w:r>
    </w:p>
    <w:p>
      <w:pPr>
        <w:pStyle w:val="Compact"/>
        <w:numPr>
          <w:ilvl w:val="0"/>
          <w:numId w:val="1079"/>
        </w:numPr>
      </w:pPr>
      <w:r>
        <w:t xml:space="preserve">Downstream execution modules decide whether and when to turn those recommendations into live transactions.</w:t>
      </w:r>
    </w:p>
    <w:bookmarkEnd w:id="204"/>
    <w:bookmarkStart w:id="205" w:name="X88fee95a32b2b04eeedd34de39fb50bbb074953"/>
    <w:p>
      <w:pPr>
        <w:pStyle w:val="Heading3"/>
      </w:pPr>
      <w:r>
        <w:t xml:space="preserve">15.4.3 Assets to Materials and Supply</w:t>
      </w:r>
    </w:p>
    <w:p>
      <w:pPr>
        <w:pStyle w:val="Compact"/>
        <w:numPr>
          <w:ilvl w:val="0"/>
          <w:numId w:val="1080"/>
        </w:numPr>
      </w:pPr>
      <w:r>
        <w:rPr>
          <w:rStyle w:val="VerbatimChar"/>
        </w:rPr>
        <w:t xml:space="preserve">ASSETS</w:t>
      </w:r>
      <w:r>
        <w:t xml:space="preserve"> </w:t>
      </w:r>
      <w:r>
        <w:t xml:space="preserve">creates or plans work orders.</w:t>
      </w:r>
    </w:p>
    <w:p>
      <w:pPr>
        <w:pStyle w:val="Compact"/>
        <w:numPr>
          <w:ilvl w:val="0"/>
          <w:numId w:val="1080"/>
        </w:numPr>
      </w:pPr>
      <w:r>
        <w:t xml:space="preserve">Required materials are reserved against</w:t>
      </w:r>
      <w:r>
        <w:t xml:space="preserve"> </w:t>
      </w:r>
      <w:r>
        <w:rPr>
          <w:rStyle w:val="VerbatimChar"/>
        </w:rPr>
        <w:t xml:space="preserve">INVENTORY</w:t>
      </w:r>
      <w:r>
        <w:t xml:space="preserve"> </w:t>
      </w:r>
      <w:r>
        <w:t xml:space="preserve">when available.</w:t>
      </w:r>
    </w:p>
    <w:p>
      <w:pPr>
        <w:pStyle w:val="Compact"/>
        <w:numPr>
          <w:ilvl w:val="0"/>
          <w:numId w:val="1080"/>
        </w:numPr>
      </w:pPr>
      <w:r>
        <w:t xml:space="preserve">Shortages raise procurement or transfer demand through controlled handoff.</w:t>
      </w:r>
    </w:p>
    <w:p>
      <w:pPr>
        <w:pStyle w:val="Compact"/>
        <w:numPr>
          <w:ilvl w:val="0"/>
          <w:numId w:val="1080"/>
        </w:numPr>
      </w:pPr>
      <w:r>
        <w:t xml:space="preserve">Closeout data and reliability events remain owned by</w:t>
      </w:r>
      <w:r>
        <w:t xml:space="preserve"> </w:t>
      </w:r>
      <w:r>
        <w:rPr>
          <w:rStyle w:val="VerbatimChar"/>
        </w:rPr>
        <w:t xml:space="preserve">ASSETS</w:t>
      </w:r>
      <w:r>
        <w:t xml:space="preserve">.</w:t>
      </w:r>
    </w:p>
    <w:bookmarkEnd w:id="205"/>
    <w:bookmarkEnd w:id="206"/>
    <w:bookmarkStart w:id="207" w:name="X187d1401beb1e88bc5be52f55ab99928d5fe0f5"/>
    <w:p>
      <w:pPr>
        <w:pStyle w:val="Heading2"/>
      </w:pPr>
      <w:r>
        <w:t xml:space="preserve">15.5 Data Ownership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Owning Module</w:t>
            </w:r>
          </w:p>
        </w:tc>
      </w:tr>
      <w:tr>
        <w:tc>
          <w:tcPr/>
          <w:p>
            <w:pPr>
              <w:pStyle w:val="Compact"/>
            </w:pPr>
            <w:r>
              <w:t xml:space="preserve">Effective-dated worker history</w:t>
            </w:r>
          </w:p>
        </w:tc>
        <w:tc>
          <w:tcPr/>
          <w:p>
            <w:pPr>
              <w:pStyle w:val="Compact"/>
            </w:pPr>
            <w:r>
              <w:rPr>
                <w:rStyle w:val="VerbatimChar"/>
              </w:rPr>
              <w:t xml:space="preserve">HR_PAYROLL</w:t>
            </w:r>
          </w:p>
        </w:tc>
      </w:tr>
      <w:tr>
        <w:tc>
          <w:tcPr/>
          <w:p>
            <w:pPr>
              <w:pStyle w:val="Compact"/>
            </w:pPr>
            <w:r>
              <w:t xml:space="preserve">Payroll release checklist and shadow-run evidence</w:t>
            </w:r>
          </w:p>
        </w:tc>
        <w:tc>
          <w:tcPr/>
          <w:p>
            <w:pPr>
              <w:pStyle w:val="Compact"/>
            </w:pPr>
            <w:r>
              <w:rPr>
                <w:rStyle w:val="VerbatimChar"/>
              </w:rPr>
              <w:t xml:space="preserve">HR_PAYROLL</w:t>
            </w:r>
          </w:p>
        </w:tc>
      </w:tr>
      <w:tr>
        <w:tc>
          <w:tcPr/>
          <w:p>
            <w:pPr>
              <w:pStyle w:val="Compact"/>
            </w:pPr>
            <w:r>
              <w:t xml:space="preserve">Consensus demand version</w:t>
            </w:r>
          </w:p>
        </w:tc>
        <w:tc>
          <w:tcPr/>
          <w:p>
            <w:pPr>
              <w:pStyle w:val="Compact"/>
            </w:pPr>
            <w:r>
              <w:rPr>
                <w:rStyle w:val="VerbatimChar"/>
              </w:rPr>
              <w:t xml:space="preserve">SUPPLY_CHAIN_PLANNING</w:t>
            </w:r>
          </w:p>
        </w:tc>
      </w:tr>
      <w:tr>
        <w:tc>
          <w:tcPr/>
          <w:p>
            <w:pPr>
              <w:pStyle w:val="Compact"/>
            </w:pPr>
            <w:r>
              <w:t xml:space="preserve">Released replenishment recommendation</w:t>
            </w:r>
          </w:p>
        </w:tc>
        <w:tc>
          <w:tcPr/>
          <w:p>
            <w:pPr>
              <w:pStyle w:val="Compact"/>
            </w:pPr>
            <w:r>
              <w:rPr>
                <w:rStyle w:val="VerbatimChar"/>
              </w:rPr>
              <w:t xml:space="preserve">SUPPLY_CHAIN_PLANNING</w:t>
            </w:r>
          </w:p>
        </w:tc>
      </w:tr>
      <w:tr>
        <w:tc>
          <w:tcPr/>
          <w:p>
            <w:pPr>
              <w:pStyle w:val="Compact"/>
            </w:pPr>
            <w:r>
              <w:t xml:space="preserve">Purchase order and goods receipt</w:t>
            </w:r>
          </w:p>
        </w:tc>
        <w:tc>
          <w:tcPr/>
          <w:p>
            <w:pPr>
              <w:pStyle w:val="Compact"/>
            </w:pPr>
            <w:r>
              <w:rPr>
                <w:rStyle w:val="VerbatimChar"/>
              </w:rPr>
              <w:t xml:space="preserve">PROCUREMENT</w:t>
            </w:r>
            <w:r>
              <w:t xml:space="preserve"> </w:t>
            </w:r>
            <w:r>
              <w:t xml:space="preserve">/</w:t>
            </w:r>
            <w:r>
              <w:t xml:space="preserve"> </w:t>
            </w:r>
            <w:r>
              <w:rPr>
                <w:rStyle w:val="VerbatimChar"/>
              </w:rPr>
              <w:t xml:space="preserve">INVENTORY</w:t>
            </w:r>
          </w:p>
        </w:tc>
      </w:tr>
      <w:tr>
        <w:tc>
          <w:tcPr/>
          <w:p>
            <w:pPr>
              <w:pStyle w:val="Compact"/>
            </w:pPr>
            <w:r>
              <w:t xml:space="preserve">Functional location and asset criticality</w:t>
            </w:r>
          </w:p>
        </w:tc>
        <w:tc>
          <w:tcPr/>
          <w:p>
            <w:pPr>
              <w:pStyle w:val="Compact"/>
            </w:pPr>
            <w:r>
              <w:rPr>
                <w:rStyle w:val="VerbatimChar"/>
              </w:rPr>
              <w:t xml:space="preserve">ASSETS</w:t>
            </w:r>
          </w:p>
        </w:tc>
      </w:tr>
      <w:tr>
        <w:tc>
          <w:tcPr/>
          <w:p>
            <w:pPr>
              <w:pStyle w:val="Compact"/>
            </w:pPr>
            <w:r>
              <w:t xml:space="preserve">Work-request and work-order closeout evidence</w:t>
            </w:r>
          </w:p>
        </w:tc>
        <w:tc>
          <w:tcPr/>
          <w:p>
            <w:pPr>
              <w:pStyle w:val="Compact"/>
            </w:pPr>
            <w:r>
              <w:rPr>
                <w:rStyle w:val="VerbatimChar"/>
              </w:rPr>
              <w:t xml:space="preserve">ASSETS</w:t>
            </w:r>
          </w:p>
        </w:tc>
      </w:tr>
      <w:tr>
        <w:tc>
          <w:tcPr/>
          <w:p>
            <w:pPr>
              <w:pStyle w:val="Compact"/>
            </w:pPr>
            <w:r>
              <w:t xml:space="preserve">Stock balance and reserved quantity</w:t>
            </w:r>
          </w:p>
        </w:tc>
        <w:tc>
          <w:tcPr/>
          <w:p>
            <w:pPr>
              <w:pStyle w:val="Compact"/>
            </w:pPr>
            <w:r>
              <w:rPr>
                <w:rStyle w:val="VerbatimChar"/>
              </w:rPr>
              <w:t xml:space="preserve">INVENTORY</w:t>
            </w:r>
          </w:p>
        </w:tc>
      </w:tr>
    </w:tbl>
    <w:bookmarkEnd w:id="207"/>
    <w:bookmarkStart w:id="208" w:name="Xb2a881a2a48064f85d002dfcfadba8d2fffef0a"/>
    <w:p>
      <w:pPr>
        <w:pStyle w:val="Heading2"/>
      </w:pPr>
      <w:r>
        <w:t xml:space="preserve">15.6 Failure and Recovery Boundaries</w:t>
      </w:r>
    </w:p>
    <w:p>
      <w:pPr>
        <w:pStyle w:val="Compact"/>
        <w:numPr>
          <w:ilvl w:val="0"/>
          <w:numId w:val="1081"/>
        </w:numPr>
      </w:pPr>
      <w:r>
        <w:t xml:space="preserve">Failure of a shadow payroll run shall not affect live payroll postings, payslips, or disbursement artifacts.</w:t>
      </w:r>
    </w:p>
    <w:p>
      <w:pPr>
        <w:pStyle w:val="Compact"/>
        <w:numPr>
          <w:ilvl w:val="0"/>
          <w:numId w:val="1081"/>
        </w:numPr>
      </w:pPr>
      <w:r>
        <w:t xml:space="preserve">Failure of plan release shall not create duplicate downstream recommendations; release retry remains idempotent.</w:t>
      </w:r>
    </w:p>
    <w:p>
      <w:pPr>
        <w:pStyle w:val="Compact"/>
        <w:numPr>
          <w:ilvl w:val="0"/>
          <w:numId w:val="1081"/>
        </w:numPr>
      </w:pPr>
      <w:r>
        <w:t xml:space="preserve">Failure of external telemetry ingestion shall not block manual inspection or work-order workflows inside</w:t>
      </w:r>
      <w:r>
        <w:t xml:space="preserve"> </w:t>
      </w:r>
      <w:r>
        <w:rPr>
          <w:rStyle w:val="VerbatimChar"/>
        </w:rPr>
        <w:t xml:space="preserve">ASSETS</w:t>
      </w:r>
      <w:r>
        <w:t xml:space="preserve">.</w:t>
      </w:r>
    </w:p>
    <w:p>
      <w:pPr>
        <w:pStyle w:val="Compact"/>
        <w:numPr>
          <w:ilvl w:val="0"/>
          <w:numId w:val="1081"/>
        </w:numPr>
      </w:pPr>
      <w:r>
        <w:t xml:space="preserve">Failure of inventory reservation during asset work planning shall create a shortage exception rather than silently dropping required materials.</w:t>
      </w:r>
    </w:p>
    <w:bookmarkEnd w:id="208"/>
    <w:bookmarkEnd w:id="209"/>
    <w:bookmarkStart w:id="216" w:name="X40ff09769ec79055940de2a3a993a35ae242660"/>
    <w:p>
      <w:pPr>
        <w:pStyle w:val="Heading1"/>
      </w:pPr>
      <w:r>
        <w:t xml:space="preserve">16. Code-Grounded Implementation Baseline</w:t>
      </w:r>
    </w:p>
    <w:bookmarkStart w:id="210" w:name="X1c65361367d07de8266bf1147e2b4f250a466a0"/>
    <w:p>
      <w:pPr>
        <w:pStyle w:val="Heading2"/>
      </w:pPr>
      <w:r>
        <w:t xml:space="preserve">16.1 Purpose and authority</w:t>
      </w:r>
    </w:p>
    <w:p>
      <w:pPr>
        <w:pStyle w:val="FirstParagraph"/>
      </w:pPr>
      <w:r>
        <w:t xml:space="preserve">This section reconciles the design with the implementation at</w:t>
      </w:r>
      <w:r>
        <w:t xml:space="preserve"> </w:t>
      </w:r>
      <w:r>
        <w:rPr>
          <w:rStyle w:val="VerbatimChar"/>
        </w:rPr>
        <w:t xml:space="preserve">C:\wamp64\www\longhorn-erp</w:t>
      </w:r>
      <w:r>
        <w:t xml:space="preserve"> </w:t>
      </w:r>
      <w:r>
        <w:t xml:space="preserve">as inspected on 2026-07-21. It supersedes</w:t>
      </w:r>
      <w:r>
        <w:t xml:space="preserve"> </w:t>
      </w:r>
      <w:r>
        <w:t xml:space="preserve">unverified statements that describe planned files as implemented. The source</w:t>
      </w:r>
      <w:r>
        <w:t xml:space="preserve"> </w:t>
      </w:r>
      <w:r>
        <w:t xml:space="preserve">tree is PHP 8.3/PHP-DI/MySQL 9.1 with server-rendered PHP, REST-style APIs,</w:t>
      </w:r>
      <w:r>
        <w:t xml:space="preserve"> </w:t>
      </w:r>
      <w:r>
        <w:t xml:space="preserve">service classes, stored procedures, and a shared-database tenant model.</w:t>
      </w:r>
    </w:p>
    <w:p>
      <w:pPr>
        <w:pStyle w:val="BodyText"/>
      </w:pPr>
      <w:r>
        <w:rPr>
          <w:rStyle w:val="VerbatimChar"/>
        </w:rPr>
        <w:t xml:space="preserve">single-tenant reference ERP</w:t>
      </w:r>
      <w:r>
        <w:t xml:space="preserve"> </w:t>
      </w:r>
      <w:r>
        <w:t xml:space="preserve">remains a feature donor and test oracle source. It is not a runtime</w:t>
      </w:r>
      <w:r>
        <w:t xml:space="preserve"> </w:t>
      </w:r>
      <w:r>
        <w:t xml:space="preserve">dependency and its single-tenant context must not be copied into Kraal Code.</w:t>
      </w:r>
    </w:p>
    <w:bookmarkEnd w:id="210"/>
    <w:bookmarkStart w:id="211" w:name="X43ae109729efa830cc20ef4cff9ad5a9af395a3"/>
    <w:p>
      <w:pPr>
        <w:pStyle w:val="Heading2"/>
      </w:pPr>
      <w:r>
        <w:t xml:space="preserve">16.2 Runtime boundaries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Authority</w:t>
            </w:r>
          </w:p>
        </w:tc>
        <w:tc>
          <w:tcPr/>
          <w:p>
            <w:pPr>
              <w:pStyle w:val="Compact"/>
            </w:pPr>
            <w:r>
              <w:t xml:space="preserve">Required invariant</w:t>
            </w:r>
          </w:p>
        </w:tc>
      </w:tr>
      <w:tr>
        <w:tc>
          <w:tcPr/>
          <w:p>
            <w:pPr>
              <w:pStyle w:val="Compact"/>
            </w:pPr>
            <w:r>
              <w:t xml:space="preserve">Tenant workspace</w:t>
            </w:r>
          </w:p>
        </w:tc>
        <w:tc>
          <w:tcPr/>
          <w:p>
            <w:pPr>
              <w:pStyle w:val="Compact"/>
            </w:pPr>
            <w:r>
              <w:rPr>
                <w:rStyle w:val="VerbatimChar"/>
              </w:rPr>
              <w:t xml:space="preserve">public/</w:t>
            </w:r>
            <w:r>
              <w:t xml:space="preserve">,</w:t>
            </w:r>
            <w:r>
              <w:t xml:space="preserve"> </w:t>
            </w:r>
            <w:r>
              <w:rPr>
                <w:rStyle w:val="VerbatimChar"/>
              </w:rPr>
              <w:t xml:space="preserve">bootstrap/</w:t>
            </w:r>
            <w:r>
              <w:t xml:space="preserve">,</w:t>
            </w:r>
            <w:r>
              <w:t xml:space="preserve"> </w:t>
            </w:r>
            <w:r>
              <w:rPr>
                <w:rStyle w:val="VerbatimChar"/>
              </w:rPr>
              <w:t xml:space="preserve">src/Core/Tenant</w:t>
            </w:r>
          </w:p>
        </w:tc>
        <w:tc>
          <w:tcPr/>
          <w:p>
            <w:pPr>
              <w:pStyle w:val="Compact"/>
            </w:pPr>
            <w:r>
              <w:t xml:space="preserve">Tenant context comes from authenticated server state and is present before operational data access.</w:t>
            </w:r>
          </w:p>
        </w:tc>
      </w:tr>
      <w:tr>
        <w:tc>
          <w:tcPr/>
          <w:p>
            <w:pPr>
              <w:pStyle w:val="Compact"/>
            </w:pPr>
            <w:r>
              <w:t xml:space="preserve">Platform control plane</w:t>
            </w:r>
          </w:p>
        </w:tc>
        <w:tc>
          <w:tcPr/>
          <w:p>
            <w:pPr>
              <w:pStyle w:val="Compact"/>
            </w:pPr>
            <w:r>
              <w:rPr>
                <w:rStyle w:val="VerbatimChar"/>
              </w:rPr>
              <w:t xml:space="preserve">public/superadmin/</w:t>
            </w:r>
            <w:r>
              <w:t xml:space="preserve">,</w:t>
            </w:r>
            <w:r>
              <w:t xml:space="preserve"> </w:t>
            </w:r>
            <w:r>
              <w:rPr>
                <w:rStyle w:val="VerbatimChar"/>
              </w:rPr>
              <w:t xml:space="preserve">src/Services/SuperAdmin</w:t>
            </w:r>
          </w:p>
        </w:tc>
        <w:tc>
          <w:tcPr/>
          <w:p>
            <w:pPr>
              <w:pStyle w:val="Compact"/>
            </w:pPr>
            <w:r>
              <w:t xml:space="preserve">Cross-tenant operations are explicit, least-privilege, and audit logged with actor, target, reason, request ID, and outcome.</w:t>
            </w:r>
          </w:p>
        </w:tc>
      </w:tr>
      <w:tr>
        <w:tc>
          <w:tcPr/>
          <w:p>
            <w:pPr>
              <w:pStyle w:val="Compact"/>
            </w:pPr>
            <w:r>
              <w:t xml:space="preserve">Portal</w:t>
            </w:r>
          </w:p>
        </w:tc>
        <w:tc>
          <w:tcPr/>
          <w:p>
            <w:pPr>
              <w:pStyle w:val="Compact"/>
            </w:pPr>
            <w:r>
              <w:rPr>
                <w:rStyle w:val="VerbatimChar"/>
              </w:rPr>
              <w:t xml:space="preserve">public/portal/</w:t>
            </w:r>
          </w:p>
        </w:tc>
        <w:tc>
          <w:tcPr/>
          <w:p>
            <w:pPr>
              <w:pStyle w:val="Compact"/>
            </w:pPr>
            <w:r>
              <w:t xml:space="preserve">A portal user sees only own permitted records and cannot enter tenant administration or super-admin surfaces.</w:t>
            </w:r>
          </w:p>
        </w:tc>
      </w:tr>
      <w:tr>
        <w:tc>
          <w:tcPr/>
          <w:p>
            <w:pPr>
              <w:pStyle w:val="Compact"/>
            </w:pPr>
            <w:r>
              <w:t xml:space="preserve">Mobile API</w:t>
            </w:r>
          </w:p>
        </w:tc>
        <w:tc>
          <w:tcPr/>
          <w:p>
            <w:pPr>
              <w:pStyle w:val="Compact"/>
            </w:pPr>
            <w:r>
              <w:rPr>
                <w:rStyle w:val="VerbatimChar"/>
              </w:rPr>
              <w:t xml:space="preserve">public/api/</w:t>
            </w:r>
            <w:r>
              <w:t xml:space="preserve">,</w:t>
            </w:r>
            <w:r>
              <w:t xml:space="preserve"> </w:t>
            </w:r>
            <w:r>
              <w:rPr>
                <w:rStyle w:val="VerbatimChar"/>
              </w:rPr>
              <w:t xml:space="preserve">api/</w:t>
            </w:r>
            <w:r>
              <w:t xml:space="preserve">,</w:t>
            </w:r>
            <w:r>
              <w:t xml:space="preserve"> </w:t>
            </w:r>
            <w:r>
              <w:rPr>
                <w:rStyle w:val="VerbatimChar"/>
              </w:rPr>
              <w:t xml:space="preserve">src/Services/Mobile</w:t>
            </w:r>
            <w:r>
              <w:t xml:space="preserve">, JWT services</w:t>
            </w:r>
          </w:p>
        </w:tc>
        <w:tc>
          <w:tcPr/>
          <w:p>
            <w:pPr>
              <w:pStyle w:val="Compact"/>
            </w:pPr>
            <w:r>
              <w:t xml:space="preserve">JWT claims, membership, module entitlement, permission, and server-side tenant scope are checked on every request.</w:t>
            </w:r>
          </w:p>
        </w:tc>
      </w:tr>
      <w:tr>
        <w:tc>
          <w:tcPr/>
          <w:p>
            <w:pPr>
              <w:pStyle w:val="Compact"/>
            </w:pPr>
            <w:r>
              <w:t xml:space="preserve">Domain services</w:t>
            </w:r>
          </w:p>
        </w:tc>
        <w:tc>
          <w:tcPr/>
          <w:p>
            <w:pPr>
              <w:pStyle w:val="Compact"/>
            </w:pPr>
            <w:r>
              <w:rPr>
                <w:rStyle w:val="VerbatimChar"/>
              </w:rPr>
              <w:t xml:space="preserve">src/Accounting</w:t>
            </w:r>
            <w:r>
              <w:t xml:space="preserve">,</w:t>
            </w:r>
            <w:r>
              <w:t xml:space="preserve"> </w:t>
            </w:r>
            <w:r>
              <w:rPr>
                <w:rStyle w:val="VerbatimChar"/>
              </w:rPr>
              <w:t xml:space="preserve">src/Inventory</w:t>
            </w:r>
            <w:r>
              <w:t xml:space="preserve">,</w:t>
            </w:r>
            <w:r>
              <w:t xml:space="preserve"> </w:t>
            </w:r>
            <w:r>
              <w:rPr>
                <w:rStyle w:val="VerbatimChar"/>
              </w:rPr>
              <w:t xml:space="preserve">src/Sales</w:t>
            </w:r>
            <w:r>
              <w:t xml:space="preserve">,</w:t>
            </w:r>
            <w:r>
              <w:t xml:space="preserve"> </w:t>
            </w:r>
            <w:r>
              <w:rPr>
                <w:rStyle w:val="VerbatimChar"/>
              </w:rPr>
              <w:t xml:space="preserve">src/Services</w:t>
            </w:r>
          </w:p>
        </w:tc>
        <w:tc>
          <w:tcPr/>
          <w:p>
            <w:pPr>
              <w:pStyle w:val="Compact"/>
            </w:pPr>
            <w:r>
              <w:t xml:space="preserve">Business rules do not depend on client-supplied tenant IDs, UI state, or unvalidated request arrays.</w:t>
            </w:r>
          </w:p>
        </w:tc>
      </w:tr>
      <w:tr>
        <w:tc>
          <w:tcPr/>
          <w:p>
            <w:pPr>
              <w:pStyle w:val="Compact"/>
            </w:pPr>
            <w:r>
              <w:t xml:space="preserve">Persistence</w:t>
            </w:r>
          </w:p>
        </w:tc>
        <w:tc>
          <w:tcPr/>
          <w:p>
            <w:pPr>
              <w:pStyle w:val="Compact"/>
            </w:pPr>
            <w:r>
              <w:t xml:space="preserve">MySQL tables, procedures, views, migration runner</w:t>
            </w:r>
          </w:p>
        </w:tc>
        <w:tc>
          <w:tcPr/>
          <w:p>
            <w:pPr>
              <w:pStyle w:val="Compact"/>
            </w:pPr>
            <w:r>
              <w:t xml:space="preserve">Tenant-leading keys, foreign keys, immutable financial evidence, and deterministic migration history are preserved.</w:t>
            </w:r>
          </w:p>
        </w:tc>
      </w:tr>
    </w:tbl>
    <w:bookmarkEnd w:id="211"/>
    <w:bookmarkStart w:id="212" w:name="X66c18630455bdf7293d254c3c843073fb2fc5e9"/>
    <w:p>
      <w:pPr>
        <w:pStyle w:val="Heading2"/>
      </w:pPr>
      <w:r>
        <w:t xml:space="preserve">16.3 Multi-tenant isolation design</w:t>
      </w:r>
    </w:p>
    <w:p>
      <w:pPr>
        <w:pStyle w:val="FirstParagraph"/>
      </w:pPr>
      <w:r>
        <w:t xml:space="preserve">Kraal Code uses shared-database row-level isolation. The design is acceptable only</w:t>
      </w:r>
      <w:r>
        <w:t xml:space="preserve"> </w:t>
      </w:r>
      <w:r>
        <w:t xml:space="preserve">when all three controls are present together:</w:t>
      </w:r>
    </w:p>
    <w:p>
      <w:pPr>
        <w:pStyle w:val="Compact"/>
        <w:numPr>
          <w:ilvl w:val="0"/>
          <w:numId w:val="1082"/>
        </w:numPr>
      </w:pPr>
      <w:r>
        <w:rPr>
          <w:rStyle w:val="VerbatimChar"/>
        </w:rPr>
        <w:t xml:space="preserve">TenantContextResolver</w:t>
      </w:r>
      <w:r>
        <w:t xml:space="preserve"> </w:t>
      </w:r>
      <w:r>
        <w:t xml:space="preserve">derives a valid tenant from authenticated membership</w:t>
      </w:r>
      <w:r>
        <w:t xml:space="preserve"> </w:t>
      </w:r>
      <w:r>
        <w:t xml:space="preserve">or an explicit, authorised tenant selection flow.</w:t>
      </w:r>
    </w:p>
    <w:p>
      <w:pPr>
        <w:pStyle w:val="Compact"/>
        <w:numPr>
          <w:ilvl w:val="0"/>
          <w:numId w:val="1082"/>
        </w:numPr>
      </w:pPr>
      <w:r>
        <w:rPr>
          <w:rStyle w:val="VerbatimChar"/>
        </w:rPr>
        <w:t xml:space="preserve">TenantContext</w:t>
      </w:r>
      <w:r>
        <w:t xml:space="preserve"> </w:t>
      </w:r>
      <w:r>
        <w:t xml:space="preserve">is injected into services and is not constructed from request</w:t>
      </w:r>
      <w:r>
        <w:t xml:space="preserve"> </w:t>
      </w:r>
      <w:r>
        <w:t xml:space="preserve">input.</w:t>
      </w:r>
    </w:p>
    <w:p>
      <w:pPr>
        <w:pStyle w:val="Compact"/>
        <w:numPr>
          <w:ilvl w:val="0"/>
          <w:numId w:val="1082"/>
        </w:numPr>
      </w:pPr>
      <w:r>
        <w:t xml:space="preserve">Queries and stored procedures use tenant scope, with tenant-leading indexes</w:t>
      </w:r>
      <w:r>
        <w:t xml:space="preserve"> </w:t>
      </w:r>
      <w:r>
        <w:t xml:space="preserve">and foreign keys where operational data is shared.</w:t>
      </w:r>
    </w:p>
    <w:p>
      <w:pPr>
        <w:pStyle w:val="FirstParagraph"/>
      </w:pPr>
      <w:r>
        <w:t xml:space="preserve">The 2026-07 tenant-retrofit migration is a schema-enforcement step, not proof</w:t>
      </w:r>
      <w:r>
        <w:t xml:space="preserve"> </w:t>
      </w:r>
      <w:r>
        <w:t xml:space="preserve">that every historical query is safe. Release evidence must include negative</w:t>
      </w:r>
      <w:r>
        <w:t xml:space="preserve"> </w:t>
      </w:r>
      <w:r>
        <w:t xml:space="preserve">cross-tenant tests for reads, writes, reports, exports, jobs, and mobile sync.</w:t>
      </w:r>
    </w:p>
    <w:bookmarkEnd w:id="212"/>
    <w:bookmarkStart w:id="213" w:name="X27b3e007b64b209470546394eee3f5da496731c"/>
    <w:p>
      <w:pPr>
        <w:pStyle w:val="Heading2"/>
      </w:pPr>
      <w:r>
        <w:t xml:space="preserve">16.4 Module and entitlement boundary</w:t>
      </w:r>
    </w:p>
    <w:p>
      <w:pPr>
        <w:pStyle w:val="FirstParagraph"/>
      </w:pPr>
      <w:r>
        <w:t xml:space="preserve">Core modules are always available to an active tenant. Add-ons are enabled by</w:t>
      </w:r>
      <w:r>
        <w:t xml:space="preserve"> </w:t>
      </w:r>
      <w:r>
        <w:rPr>
          <w:rStyle w:val="VerbatimChar"/>
        </w:rPr>
        <w:t xml:space="preserve">ModuleRegistry</w:t>
      </w:r>
      <w:r>
        <w:t xml:space="preserve"> </w:t>
      </w:r>
      <w:r>
        <w:t xml:space="preserve">and</w:t>
      </w:r>
      <w:r>
        <w:t xml:space="preserve"> </w:t>
      </w:r>
      <w:r>
        <w:rPr>
          <w:rStyle w:val="VerbatimChar"/>
        </w:rPr>
        <w:t xml:space="preserve">tenant_modules</w:t>
      </w:r>
      <w:r>
        <w:t xml:space="preserve">; page navigation is not a security</w:t>
      </w:r>
      <w:r>
        <w:t xml:space="preserve"> </w:t>
      </w:r>
      <w:r>
        <w:t xml:space="preserve">boundary. APIs and services must repeat entitlement and permission checks.</w:t>
      </w:r>
      <w:r>
        <w:t xml:space="preserve"> </w:t>
      </w:r>
      <w:r>
        <w:t xml:space="preserve">Disabling a module must preserve data, stop new writes, retain read/export</w:t>
      </w:r>
      <w:r>
        <w:t xml:space="preserve"> </w:t>
      </w:r>
      <w:r>
        <w:t xml:space="preserve">policy, and produce an audit event. A module may not silently reassign its</w:t>
      </w:r>
      <w:r>
        <w:t xml:space="preserve"> </w:t>
      </w:r>
      <w:r>
        <w:t xml:space="preserve">records to another module or tenant.</w:t>
      </w:r>
    </w:p>
    <w:bookmarkEnd w:id="213"/>
    <w:bookmarkStart w:id="214" w:name="Xfef0b7a034beeab6a792d65693af1165825dbf7"/>
    <w:p>
      <w:pPr>
        <w:pStyle w:val="Heading2"/>
      </w:pPr>
      <w:r>
        <w:t xml:space="preserve">16.5 Financial boundary</w:t>
      </w:r>
    </w:p>
    <w:p>
      <w:pPr>
        <w:pStyle w:val="FirstParagraph"/>
      </w:pPr>
      <w:r>
        <w:t xml:space="preserve">The tenant GL is the financial book of record. Sales, procurement, inventory,</w:t>
      </w:r>
      <w:r>
        <w:t xml:space="preserve"> </w:t>
      </w:r>
      <w:r>
        <w:t xml:space="preserve">POS, payroll, assets, cooperative purchases, agent commissions, remittances,</w:t>
      </w:r>
      <w:r>
        <w:t xml:space="preserve"> </w:t>
      </w:r>
      <w:r>
        <w:t xml:space="preserve">and payment integrations require explicit posting and reconciliation contracts.</w:t>
      </w:r>
      <w:r>
        <w:t xml:space="preserve"> </w:t>
      </w:r>
      <w:r>
        <w:t xml:space="preserve">Kraal Code platform subscription billing is a control-plane concern and must not</w:t>
      </w:r>
      <w:r>
        <w:t xml:space="preserve"> </w:t>
      </w:r>
      <w:r>
        <w:t xml:space="preserve">be described as a tenant journal posting unless a separate platform ledger</w:t>
      </w:r>
      <w:r>
        <w:t xml:space="preserve"> </w:t>
      </w:r>
      <w:r>
        <w:t xml:space="preserve">decision is approved.</w:t>
      </w:r>
    </w:p>
    <w:bookmarkEnd w:id="214"/>
    <w:bookmarkStart w:id="215" w:name="X6e709f1410417dc7696910a42ea03f86ad962b3"/>
    <w:p>
      <w:pPr>
        <w:pStyle w:val="Heading2"/>
      </w:pPr>
      <w:r>
        <w:t xml:space="preserve">16.6 Design corrections carried into implementation</w:t>
      </w:r>
    </w:p>
    <w:p>
      <w:pPr>
        <w:pStyle w:val="Compact"/>
        <w:numPr>
          <w:ilvl w:val="0"/>
          <w:numId w:val="1083"/>
        </w:numPr>
      </w:pPr>
      <w:r>
        <w:t xml:space="preserve">Use the actual PHP-DI container and standalone CLI migration scripts; do not</w:t>
      </w:r>
      <w:r>
        <w:t xml:space="preserve"> </w:t>
      </w:r>
      <w:r>
        <w:t xml:space="preserve">document Laravel commands, Eloquent, Blade, Redis, or framework middleware that</w:t>
      </w:r>
      <w:r>
        <w:t xml:space="preserve"> </w:t>
      </w:r>
      <w:r>
        <w:t xml:space="preserve">is not present in the source.</w:t>
      </w:r>
    </w:p>
    <w:p>
      <w:pPr>
        <w:pStyle w:val="Compact"/>
        <w:numPr>
          <w:ilvl w:val="0"/>
          <w:numId w:val="1083"/>
        </w:numPr>
      </w:pPr>
      <w:r>
        <w:t xml:space="preserve">Treat the migration directory as a classified corpus rather than an ordered</w:t>
      </w:r>
      <w:r>
        <w:t xml:space="preserve"> </w:t>
      </w:r>
      <w:r>
        <w:t xml:space="preserve">list of executable files.</w:t>
      </w:r>
    </w:p>
    <w:p>
      <w:pPr>
        <w:pStyle w:val="Compact"/>
        <w:numPr>
          <w:ilvl w:val="0"/>
          <w:numId w:val="1083"/>
        </w:numPr>
      </w:pPr>
      <w:r>
        <w:t xml:space="preserve">Keep integer IDs and actual API payload shapes where implemented; UUIDs may be</w:t>
      </w:r>
      <w:r>
        <w:t xml:space="preserve"> </w:t>
      </w:r>
      <w:r>
        <w:t xml:space="preserve">introduced only through a versioned contract and migration plan.</w:t>
      </w:r>
    </w:p>
    <w:p>
      <w:pPr>
        <w:pStyle w:val="Compact"/>
        <w:numPr>
          <w:ilvl w:val="0"/>
          <w:numId w:val="1083"/>
        </w:numPr>
      </w:pPr>
      <w:r>
        <w:t xml:space="preserve">Remove single-tenant reference ERP branding and secrets from release artefacts without changing</w:t>
      </w:r>
      <w:r>
        <w:t xml:space="preserve"> </w:t>
      </w:r>
      <w:r>
        <w:t xml:space="preserve">source evidence into a fictional greenfield product.</w:t>
      </w:r>
    </w:p>
    <w:bookmarkEnd w:id="215"/>
    <w:bookmarkEnd w:id="216"/>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Architecture Document</dc:title>
  <dc:creator/>
  <cp:keywords/>
  <dcterms:created xsi:type="dcterms:W3CDTF">2026-08-08T22:02:38Z</dcterms:created>
  <dcterms:modified xsi:type="dcterms:W3CDTF">2026-08-08T22:02:38Z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