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97149d9644b1c6694722f02f7890d4f4f847f2f"/>
    <w:p>
      <w:pPr>
        <w:pStyle w:val="Heading1"/>
      </w:pPr>
      <w:r>
        <w:t xml:space="preserve">Infrastructure and Incident-Response Architecture — Kraal Code</w:t>
      </w:r>
    </w:p>
    <w:p>
      <w:pPr>
        <w:pStyle w:val="FirstParagraph"/>
      </w:pPr>
      <w:r>
        <w:t xml:space="preserve">This document describes the production infrastructure and the incident-response flow, per IEEE Std</w:t>
      </w:r>
      <w:r>
        <w:t xml:space="preserve"> </w:t>
      </w:r>
      <w:r>
        <w:t xml:space="preserve">1062-2015 §6.3.</w:t>
      </w:r>
    </w:p>
    <w:bookmarkStart w:id="9" w:name="topology"/>
    <w:p>
      <w:pPr>
        <w:pStyle w:val="Heading2"/>
      </w:pPr>
      <w:r>
        <w:t xml:space="preserve">Topology</w:t>
      </w:r>
    </w:p>
    <w:p>
      <w:pPr>
        <w:pStyle w:val="Compact"/>
        <w:numPr>
          <w:ilvl w:val="0"/>
          <w:numId w:val="1001"/>
        </w:numPr>
      </w:pPr>
      <w:r>
        <w:t xml:space="preserve">Apache/PHP 8.3 application tier (horizontally scalable, stateless behind a load balancer).</w:t>
      </w:r>
    </w:p>
    <w:p>
      <w:pPr>
        <w:pStyle w:val="Compact"/>
        <w:numPr>
          <w:ilvl w:val="0"/>
          <w:numId w:val="1001"/>
        </w:numPr>
      </w:pPr>
      <w:r>
        <w:t xml:space="preserve">MySQL 9.1 InnoDB primary with a read replica and point-in-time recovery via binary logs.</w:t>
      </w:r>
    </w:p>
    <w:p>
      <w:pPr>
        <w:pStyle w:val="Compact"/>
        <w:numPr>
          <w:ilvl w:val="0"/>
          <w:numId w:val="1001"/>
        </w:numPr>
      </w:pPr>
      <w:r>
        <w:t xml:space="preserve">Background workers for disbursements and statutory exports.</w:t>
      </w:r>
    </w:p>
    <w:p>
      <w:pPr>
        <w:pStyle w:val="Compact"/>
        <w:numPr>
          <w:ilvl w:val="0"/>
          <w:numId w:val="1001"/>
        </w:numPr>
      </w:pPr>
      <w:r>
        <w:t xml:space="preserve">Object storage for generated documents (invoices, payslips, reports).</w:t>
      </w:r>
    </w:p>
    <w:bookmarkEnd w:id="9"/>
    <w:bookmarkStart w:id="10" w:name="incident-response-flow"/>
    <w:p>
      <w:pPr>
        <w:pStyle w:val="Heading2"/>
      </w:pPr>
      <w:r>
        <w:t xml:space="preserve">Incident-Response Flow</w:t>
      </w:r>
    </w:p>
    <w:p>
      <w:pPr>
        <w:pStyle w:val="FirstParagraph"/>
      </w:pPr>
      <w:r>
        <w:t xml:space="preserve">The incident-response diagram below shows detection through resolution: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A[Monitoring alert or tenant report] --&gt; B{Severity?}</w:t>
      </w:r>
      <w:r>
        <w:br/>
      </w:r>
      <w:r>
        <w:rPr>
          <w:rStyle w:val="VerbatimChar"/>
        </w:rPr>
        <w:t xml:space="preserve">    B -- Sev-1 --&gt; C[Page on-call + escalate to Lead, Finance, DPO]</w:t>
      </w:r>
      <w:r>
        <w:br/>
      </w:r>
      <w:r>
        <w:rPr>
          <w:rStyle w:val="VerbatimChar"/>
        </w:rPr>
        <w:t xml:space="preserve">    B -- Sev-2/3 --&gt; D[On-call triage]</w:t>
      </w:r>
      <w:r>
        <w:br/>
      </w:r>
      <w:r>
        <w:rPr>
          <w:rStyle w:val="VerbatimChar"/>
        </w:rPr>
        <w:t xml:space="preserve">    C --&gt; E[Contain: isolate tenant / pause queue / freeze deploy]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F[Diagnose root cause]</w:t>
      </w:r>
      <w:r>
        <w:br/>
      </w:r>
      <w:r>
        <w:rPr>
          <w:rStyle w:val="VerbatimChar"/>
        </w:rPr>
        <w:t xml:space="preserve">    F --&gt; G{Deploy-related?}</w:t>
      </w:r>
      <w:r>
        <w:br/>
      </w:r>
      <w:r>
        <w:rPr>
          <w:rStyle w:val="VerbatimChar"/>
        </w:rPr>
        <w:t xml:space="preserve">    G -- Yes --&gt; H[Execute rollback within change window]</w:t>
      </w:r>
      <w:r>
        <w:br/>
      </w:r>
      <w:r>
        <w:rPr>
          <w:rStyle w:val="VerbatimChar"/>
        </w:rPr>
        <w:t xml:space="preserve">    G -- No --&gt; I[Apply fix or mitigation]</w:t>
      </w:r>
      <w:r>
        <w:br/>
      </w:r>
      <w:r>
        <w:rPr>
          <w:rStyle w:val="VerbatimChar"/>
        </w:rPr>
        <w:t xml:space="preserve">    H --&gt; J[Verify smoke checks]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rPr>
          <w:rStyle w:val="VerbatimChar"/>
        </w:rPr>
        <w:t xml:space="preserve">    J --&gt; K[Post-incident review + risk-register update]</w:t>
      </w:r>
    </w:p>
    <w:bookmarkEnd w:id="10"/>
    <w:bookmarkStart w:id="11" w:name="recovery-objectives"/>
    <w:p>
      <w:pPr>
        <w:pStyle w:val="Heading2"/>
      </w:pPr>
      <w:r>
        <w:t xml:space="preserve">Recovery Objectives</w:t>
      </w:r>
    </w:p>
    <w:p>
      <w:pPr>
        <w:pStyle w:val="Compact"/>
        <w:numPr>
          <w:ilvl w:val="0"/>
          <w:numId w:val="1002"/>
        </w:numPr>
      </w:pPr>
      <w:r>
        <w:t xml:space="preserve">Recovery Point Objective (RPO): ≤ 15 minutes (binary-log shipping).</w:t>
      </w:r>
    </w:p>
    <w:p>
      <w:pPr>
        <w:pStyle w:val="Compact"/>
        <w:numPr>
          <w:ilvl w:val="0"/>
          <w:numId w:val="1002"/>
        </w:numPr>
      </w:pPr>
      <w:r>
        <w:t xml:space="preserve">Recovery Time Objective (RTO): ≤ 1 hour for a single-tenant restore.</w:t>
      </w:r>
    </w:p>
    <w:p>
      <w:pPr>
        <w:pStyle w:val="FirstParagraph"/>
      </w:pPr>
      <w:r>
        <w:t xml:space="preserve">The incident-response procedure and escalation tiers are operated from the runbook.</w:t>
      </w:r>
    </w:p>
    <w:bookmarkEnd w:id="11"/>
    <w:bookmarkEnd w:id="12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2026-08-08T22:02:39Z</dcterms:created>
  <dcterms:modified xsi:type="dcterms:W3CDTF">2026-08-08T22:02:39Z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