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ot-signal-inventory--kraal-code"/>
    <w:p>
      <w:pPr>
        <w:pStyle w:val="Heading1"/>
      </w:pPr>
      <w:r>
        <w:t xml:space="preserve">IoT Signal Inventory — Kraal Code</w:t>
      </w:r>
    </w:p>
    <w:p>
      <w:pPr>
        <w:pStyle w:val="FirstParagraph"/>
      </w:pPr>
      <w:r>
        <w:t xml:space="preserve">Kraal Code integrates a small set of operational-technology peripherals. This inventory enumerates</w:t>
      </w:r>
      <w:r>
        <w:t xml:space="preserve"> </w:t>
      </w:r>
      <w:r>
        <w:t xml:space="preserve">each device signal, its transport, direction, frequency, and the consuming module. It is the</w:t>
      </w:r>
      <w:r>
        <w:t xml:space="preserve"> </w:t>
      </w:r>
      <w:r>
        <w:t xml:space="preserve">signal-inventory artifact required under ISO/IEC/IEEE 42010:2011 §5.5.</w:t>
      </w:r>
    </w:p>
    <w:bookmarkStart w:id="9" w:name="in-scope-signals-phase-1"/>
    <w:p>
      <w:pPr>
        <w:pStyle w:val="Heading2"/>
      </w:pPr>
      <w:r>
        <w:t xml:space="preserve">In-Scope Signals (Phase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Source device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Consuming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weight reading</w:t>
            </w:r>
          </w:p>
        </w:tc>
        <w:tc>
          <w:tcPr/>
          <w:p>
            <w:pPr>
              <w:pStyle w:val="Compact"/>
            </w:pPr>
            <w:r>
              <w:t xml:space="preserve">Weighbridge / platform scale indicator</w:t>
            </w:r>
          </w:p>
        </w:tc>
        <w:tc>
          <w:tcPr/>
          <w:p>
            <w:pPr>
              <w:pStyle w:val="Compact"/>
            </w:pPr>
            <w:r>
              <w:t xml:space="preserve">RS-232 serial (configurable baud, frame, parse pattern)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On capture request</w:t>
            </w:r>
          </w:p>
        </w:tc>
        <w:tc>
          <w:tcPr/>
          <w:p>
            <w:pPr>
              <w:pStyle w:val="Compact"/>
            </w:pPr>
            <w:r>
              <w:t xml:space="preserve">Outgrower &amp; Farmer Operations (intake)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 flag</w:t>
            </w:r>
          </w:p>
        </w:tc>
        <w:tc>
          <w:tcPr/>
          <w:p>
            <w:pPr>
              <w:pStyle w:val="Compact"/>
            </w:pPr>
            <w:r>
              <w:t xml:space="preserve">Weighbridge indicator</w:t>
            </w:r>
          </w:p>
        </w:tc>
        <w:tc>
          <w:tcPr/>
          <w:p>
            <w:pPr>
              <w:pStyle w:val="Compact"/>
            </w:pPr>
            <w:r>
              <w:t xml:space="preserve">RS-232 serial (configurable byte position; default none)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With each weight frame</w:t>
            </w:r>
          </w:p>
        </w:tc>
        <w:tc>
          <w:tcPr/>
          <w:p>
            <w:pPr>
              <w:pStyle w:val="Compact"/>
            </w:pPr>
            <w:r>
              <w:t xml:space="preserve">Outgrower &amp; Farmer Operations (intake)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 / QR scan</w:t>
            </w:r>
          </w:p>
        </w:tc>
        <w:tc>
          <w:tcPr/>
          <w:p>
            <w:pPr>
              <w:pStyle w:val="Compact"/>
            </w:pPr>
            <w:r>
              <w:t xml:space="preserve">Handheld or camera scanner</w:t>
            </w:r>
          </w:p>
        </w:tc>
        <w:tc>
          <w:tcPr/>
          <w:p>
            <w:pPr>
              <w:pStyle w:val="Compact"/>
            </w:pPr>
            <w:r>
              <w:t xml:space="preserve">USB-HID / keyboard wedge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On scan</w:t>
            </w:r>
          </w:p>
        </w:tc>
        <w:tc>
          <w:tcPr/>
          <w:p>
            <w:pPr>
              <w:pStyle w:val="Compact"/>
            </w:pPr>
            <w:r>
              <w:t xml:space="preserve">Inventory, POS, Asset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receipt print job</w:t>
            </w:r>
          </w:p>
        </w:tc>
        <w:tc>
          <w:tcPr/>
          <w:p>
            <w:pPr>
              <w:pStyle w:val="Compact"/>
            </w:pPr>
            <w:r>
              <w:t xml:space="preserve">Thermal receipt printer</w:t>
            </w:r>
          </w:p>
        </w:tc>
        <w:tc>
          <w:tcPr/>
          <w:p>
            <w:pPr>
              <w:pStyle w:val="Compact"/>
            </w:pPr>
            <w:r>
              <w:t xml:space="preserve">ESC/POS over USB or network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Per transaction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attendance event</w:t>
            </w:r>
          </w:p>
        </w:tc>
        <w:tc>
          <w:tcPr/>
          <w:p>
            <w:pPr>
              <w:pStyle w:val="Compact"/>
            </w:pPr>
            <w:r>
              <w:t xml:space="preserve">Biometric terminal (device-agnostic adapter)</w:t>
            </w:r>
          </w:p>
        </w:tc>
        <w:tc>
          <w:tcPr/>
          <w:p>
            <w:pPr>
              <w:pStyle w:val="Compact"/>
            </w:pPr>
            <w:r>
              <w:t xml:space="preserve">Vendor SDK / device API (configurable)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On clock-in/out</w:t>
            </w:r>
          </w:p>
        </w:tc>
        <w:tc>
          <w:tcPr/>
          <w:p>
            <w:pPr>
              <w:pStyle w:val="Compact"/>
            </w:pPr>
            <w:r>
              <w:t xml:space="preserve">HR &amp; Payroll (attendance)</w:t>
            </w:r>
          </w:p>
        </w:tc>
      </w:tr>
    </w:tbl>
    <w:bookmarkEnd w:id="9"/>
    <w:bookmarkStart w:id="10" w:name="out-of-scope-roadmap"/>
    <w:p>
      <w:pPr>
        <w:pStyle w:val="Heading2"/>
      </w:pPr>
      <w:r>
        <w:t xml:space="preserve">Out-of-Scope (Roadmap)</w:t>
      </w:r>
    </w:p>
    <w:p>
      <w:pPr>
        <w:pStyle w:val="FirstParagraph"/>
      </w:pPr>
      <w:r>
        <w:t xml:space="preserve">Vehicle telematics and live fleet sensor streams are owned by the Transportation &amp; Fleet module,</w:t>
      </w:r>
      <w:r>
        <w:t xml:space="preserve"> </w:t>
      </w:r>
      <w:r>
        <w:t xml:space="preserve">which is Roadmap (see the feature register). Direct meter telemetry ingestion for asset</w:t>
      </w:r>
      <w:r>
        <w:t xml:space="preserve"> </w:t>
      </w:r>
      <w:r>
        <w:t xml:space="preserve">condition-based maintenance is a Roadmap extension of the Asset Management module; Phase 1 captures</w:t>
      </w:r>
      <w:r>
        <w:t xml:space="preserve"> </w:t>
      </w:r>
      <w:r>
        <w:t xml:space="preserve">condition events through manual inspection and mobile meter entry.</w:t>
      </w:r>
    </w:p>
    <w:bookmarkEnd w:id="10"/>
    <w:bookmarkStart w:id="11" w:name="signal-handling-principles"/>
    <w:p>
      <w:pPr>
        <w:pStyle w:val="Heading2"/>
      </w:pPr>
      <w:r>
        <w:t xml:space="preserve">Signal Handling Principles</w:t>
      </w:r>
    </w:p>
    <w:p>
      <w:pPr>
        <w:pStyle w:val="Compact"/>
        <w:numPr>
          <w:ilvl w:val="0"/>
          <w:numId w:val="1001"/>
        </w:numPr>
      </w:pPr>
      <w:r>
        <w:t xml:space="preserve">All device interfaces are hardware-agnostic: serial parameters, parse patterns, and device</w:t>
      </w:r>
      <w:r>
        <w:t xml:space="preserve"> </w:t>
      </w:r>
      <w:r>
        <w:t xml:space="preserve">adapters are tenant configuration, not hard-coded per model.</w:t>
      </w:r>
    </w:p>
    <w:p>
      <w:pPr>
        <w:pStyle w:val="Compact"/>
        <w:numPr>
          <w:ilvl w:val="0"/>
          <w:numId w:val="1001"/>
        </w:numPr>
      </w:pPr>
      <w:r>
        <w:t xml:space="preserve">Inbound signals are validated and, where they create financial or inventory effect (weighbridge</w:t>
      </w:r>
      <w:r>
        <w:t xml:space="preserve"> </w:t>
      </w:r>
      <w:r>
        <w:t xml:space="preserve">intake), are recorded with operator confirmation and an audit trail entry.</w:t>
      </w:r>
    </w:p>
    <w:bookmarkEnd w:id="11"/>
    <w:bookmarkEnd w:id="12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2026-08-08T22:02:41Z</dcterms:created>
  <dcterms:modified xsi:type="dcterms:W3CDTF">2026-08-08T22:02:41Z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