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Lean Canvas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2" w:name="lean-canvas"/>
    <w:p>
      <w:pPr>
        <w:pStyle w:val="Heading1"/>
      </w:pPr>
      <w:r>
        <w:t xml:space="preserve">Lean Canvas</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p>
      <w:r>
        <w:pict>
          <v:rect style="width:0;height:1.5pt" o:hralign="center" o:hrstd="t" o:hr="t"/>
        </w:pict>
      </w:r>
    </w:p>
    <w:bookmarkStart w:id="11" w:name="title-lean-canvas--kraal-code"/>
    <w:p>
      <w:pPr>
        <w:pStyle w:val="Heading2"/>
      </w:pPr>
      <w:r>
        <w:t xml:space="preserve">title: "Lean Canvas — Kraal Code"</w:t>
      </w:r>
    </w:p>
    <w:bookmarkEnd w:id="11"/>
    <w:bookmarkEnd w:id="12"/>
    <w:bookmarkStart w:id="25" w:name="lean-canvas--kraal-code"/>
    <w:p>
      <w:pPr>
        <w:pStyle w:val="Heading1"/>
      </w:pPr>
      <w:r>
        <w:t xml:space="preserve">Lean Canvas — Kraal Code</w:t>
      </w:r>
    </w:p>
    <w:p>
      <w:pPr>
        <w:pStyle w:val="FirstParagraph"/>
      </w:pPr>
      <w:r>
        <w:t xml:space="preserve">This document presents the Lean Canvas for Kraal Code, structured across the 9 standard blocks of the Lean Canvas framework (Maurya, 2012). Each block captures the prospective business model hypothesis that will be validated through phased market entry.</w:t>
      </w:r>
    </w:p>
    <w:p>
      <w:r>
        <w:pict>
          <v:rect style="width:0;height:1.5pt" o:hralign="center" o:hrstd="t" o:hr="t"/>
        </w:pict>
      </w:r>
    </w:p>
    <w:bookmarkStart w:id="13" w:name="X6d9fbacfbf3367085303cec60a1fd6ce526df1c"/>
    <w:p>
      <w:pPr>
        <w:pStyle w:val="Heading2"/>
      </w:pPr>
      <w:r>
        <w:t xml:space="preserve">1. Problem</w:t>
      </w:r>
    </w:p>
    <w:p>
      <w:pPr>
        <w:pStyle w:val="FirstParagraph"/>
      </w:pPr>
      <w:r>
        <w:t xml:space="preserve">The 3 highest-priority problems that Kraal Code will address:</w:t>
      </w:r>
    </w:p>
    <w:p>
      <w:pPr>
        <w:pStyle w:val="Compact"/>
        <w:numPr>
          <w:ilvl w:val="0"/>
          <w:numId w:val="1001"/>
        </w:numPr>
      </w:pPr>
      <w:r>
        <w:t xml:space="preserve">Enterprise Resource Planning (ERP) software is unaffordable for East African Small and Medium Enterprises (SMEs). SAP Business One carries a licence cost of approximately UGX 145M plus UGX 110M–375M in implementation fees. Oracle NetSuite runs approximately UGX 14.9M/month. Even Odoo Enterprise costs approximately UGX 4.3M/month before implementation. These prices place ERPs 4–100× above what a Ugandan SME can sustain.</w:t>
      </w:r>
    </w:p>
    <w:p>
      <w:pPr>
        <w:pStyle w:val="Compact"/>
        <w:numPr>
          <w:ilvl w:val="0"/>
          <w:numId w:val="1001"/>
        </w:numPr>
      </w:pPr>
      <w:r>
        <w:t xml:space="preserve">Implementation requires expensive third-party consultants. The typical Ugandan implementation of an off-the-shelf ERP costs UGX 75M–375M in consulting fees alone — often exceeding the software licence — and takes 6–18 months to complete. Smaller organisations cannot absorb this cost or timeline.</w:t>
      </w:r>
    </w:p>
    <w:p>
      <w:pPr>
        <w:pStyle w:val="Compact"/>
        <w:numPr>
          <w:ilvl w:val="0"/>
          <w:numId w:val="1001"/>
        </w:numPr>
      </w:pPr>
      <w:r>
        <w:t xml:space="preserve">No commercially available ERP natively integrates with Uganda's Electronic Fiscal Receipting and Invoicing System (EFRIS), MTN MoMo, or Airtel Money. Organisations must build or commission custom bridges, each adding cost, maintenance risk, and compliance uncertainty.</w:t>
      </w:r>
    </w:p>
    <w:p>
      <w:r>
        <w:pict>
          <v:rect style="width:0;height:1.5pt" o:hralign="center" o:hrstd="t" o:hr="t"/>
        </w:pict>
      </w:r>
    </w:p>
    <w:bookmarkEnd w:id="13"/>
    <w:bookmarkStart w:id="16" w:name="Xfa2834367ce8189b659aea6224e9d91c2774a1b"/>
    <w:p>
      <w:pPr>
        <w:pStyle w:val="Heading2"/>
      </w:pPr>
      <w:r>
        <w:t xml:space="preserve">2. Customer Segments</w:t>
      </w:r>
    </w:p>
    <w:bookmarkStart w:id="14" w:name="early-adopters"/>
    <w:p>
      <w:pPr>
        <w:pStyle w:val="Heading3"/>
      </w:pPr>
      <w:r>
        <w:t xml:space="preserve">Early Adopters</w:t>
      </w:r>
    </w:p>
    <w:p>
      <w:pPr>
        <w:pStyle w:val="Compact"/>
        <w:numPr>
          <w:ilvl w:val="0"/>
          <w:numId w:val="1002"/>
        </w:numPr>
      </w:pPr>
      <w:r>
        <w:t xml:space="preserve">Uganda manufacturing companies (food processing, agro-processing, beverages, dairy, flour milling) that currently run on Microsoft Excel or QuickBooks and have outgrown both.</w:t>
      </w:r>
    </w:p>
    <w:p>
      <w:pPr>
        <w:pStyle w:val="Compact"/>
        <w:numPr>
          <w:ilvl w:val="0"/>
          <w:numId w:val="1002"/>
        </w:numPr>
      </w:pPr>
      <w:r>
        <w:t xml:space="preserve">Finance managers and System Administrators at organisations with 5–30 employees who make the software-purchasing decision and are actively seeking an ERP alternative.</w:t>
      </w:r>
    </w:p>
    <w:bookmarkEnd w:id="14"/>
    <w:bookmarkStart w:id="15" w:name="mass-market"/>
    <w:p>
      <w:pPr>
        <w:pStyle w:val="Heading3"/>
      </w:pPr>
      <w:r>
        <w:t xml:space="preserve">Mass Market</w:t>
      </w:r>
    </w:p>
    <w:p>
      <w:pPr>
        <w:pStyle w:val="Compact"/>
        <w:numPr>
          <w:ilvl w:val="0"/>
          <w:numId w:val="1003"/>
        </w:numPr>
      </w:pPr>
      <w:r>
        <w:t xml:space="preserve">All mid-sized organisations in Uganda with 5–500 employees, across all sectors: manufacturing, trading and distribution, retail, professional services, hospitality, Non-Governmental Organisations (NGOs), and cooperatives.</w:t>
      </w:r>
    </w:p>
    <w:p>
      <w:pPr>
        <w:pStyle w:val="Compact"/>
        <w:numPr>
          <w:ilvl w:val="0"/>
          <w:numId w:val="1003"/>
        </w:numPr>
      </w:pPr>
      <w:r>
        <w:t xml:space="preserve">East African NGOs and donor-funded organisations requiring project accounting, logframe reporting, and multi-currency financials.</w:t>
      </w:r>
    </w:p>
    <w:p>
      <w:pPr>
        <w:pStyle w:val="Compact"/>
        <w:numPr>
          <w:ilvl w:val="0"/>
          <w:numId w:val="1003"/>
        </w:numPr>
      </w:pPr>
      <w:r>
        <w:t xml:space="preserve">Agricultural cooperatives managing farmer intake, mobile money payments, and input loan deductions.</w:t>
      </w:r>
    </w:p>
    <w:p>
      <w:pPr>
        <w:pStyle w:val="Compact"/>
        <w:numPr>
          <w:ilvl w:val="0"/>
          <w:numId w:val="1003"/>
        </w:numPr>
      </w:pPr>
      <w:r>
        <w:t xml:space="preserve">Retail chains requiring a Point of Sale (POS) terminal integrated with back-office inventory and accounting.</w:t>
      </w:r>
    </w:p>
    <w:p>
      <w:r>
        <w:pict>
          <v:rect style="width:0;height:1.5pt" o:hralign="center" o:hrstd="t" o:hr="t"/>
        </w:pict>
      </w:r>
    </w:p>
    <w:bookmarkEnd w:id="15"/>
    <w:bookmarkEnd w:id="16"/>
    <w:bookmarkStart w:id="17" w:name="Xd1bd115b974d874fc9ee74b278c7ea87e492416"/>
    <w:p>
      <w:pPr>
        <w:pStyle w:val="Heading2"/>
      </w:pPr>
      <w:r>
        <w:t xml:space="preserve">3. Unique Value Proposition</w:t>
      </w:r>
    </w:p>
    <w:p>
      <w:pPr>
        <w:pStyle w:val="FirstParagraph"/>
      </w:pPr>
      <w:r>
        <w:rPr>
          <w:b/>
          <w:bCs/>
        </w:rPr>
        <w:t xml:space="preserve">Headline:</w:t>
      </w:r>
      <w:r>
        <w:t xml:space="preserve"> </w:t>
      </w:r>
      <w:r>
        <w:t xml:space="preserve">"The ERP your team can use without training."</w:t>
      </w:r>
    </w:p>
    <w:p>
      <w:pPr>
        <w:pStyle w:val="BodyText"/>
      </w:pPr>
      <w:r>
        <w:rPr>
          <w:b/>
          <w:bCs/>
        </w:rPr>
        <w:t xml:space="preserve">Sub-headline:</w:t>
      </w:r>
      <w:r>
        <w:t xml:space="preserve"> </w:t>
      </w:r>
      <w:r>
        <w:t xml:space="preserve">"From UGX 250,000/month for the whole organisation. No consultants. No per-seat fees. Built for East Africa."</w:t>
      </w:r>
    </w:p>
    <w:p>
      <w:pPr>
        <w:pStyle w:val="BodyText"/>
      </w:pPr>
      <w:r>
        <w:t xml:space="preserve">The core promise is the Golden Rule: if a user would need a manual or a consultant to complete a task, the interface will be redesigned until they do not. This guarantee — enforced by a ≥ 85% unassisted task success rate target — is the differentiating commitment no incumbent ERP vendor makes.</w:t>
      </w:r>
    </w:p>
    <w:p>
      <w:r>
        <w:pict>
          <v:rect style="width:0;height:1.5pt" o:hralign="center" o:hrstd="t" o:hr="t"/>
        </w:pict>
      </w:r>
    </w:p>
    <w:bookmarkEnd w:id="17"/>
    <w:bookmarkStart w:id="18" w:name="X008f2781e01ead52e57063eefd4b59d4ddae4b8"/>
    <w:p>
      <w:pPr>
        <w:pStyle w:val="Heading2"/>
      </w:pPr>
      <w:r>
        <w:t xml:space="preserve">4. Solution</w:t>
      </w:r>
    </w:p>
    <w:p>
      <w:pPr>
        <w:pStyle w:val="FirstParagraph"/>
      </w:pPr>
      <w:r>
        <w:t xml:space="preserve">The 3 features that directly address the problems identified in Block 1:</w:t>
      </w:r>
    </w:p>
    <w:p>
      <w:pPr>
        <w:pStyle w:val="Compact"/>
        <w:numPr>
          <w:ilvl w:val="0"/>
          <w:numId w:val="1004"/>
        </w:numPr>
      </w:pPr>
      <w:r>
        <w:rPr>
          <w:b/>
          <w:bCs/>
        </w:rPr>
        <w:t xml:space="preserve">Org-wide subscription pricing from UGX 250,000/month.</w:t>
      </w:r>
      <w:r>
        <w:t xml:space="preserve"> </w:t>
      </w:r>
      <w:r>
        <w:t xml:space="preserve">All 16 modules are available from the Starter tier. No per-seat fees. A 50-person company pays the same as a 5-person company at the same tier, removing the affordability barrier entirely.</w:t>
      </w:r>
    </w:p>
    <w:p>
      <w:pPr>
        <w:pStyle w:val="Compact"/>
        <w:numPr>
          <w:ilvl w:val="0"/>
          <w:numId w:val="1004"/>
        </w:numPr>
      </w:pPr>
      <w:r>
        <w:rPr>
          <w:b/>
          <w:bCs/>
        </w:rPr>
        <w:t xml:space="preserve">Zero-training User Experience (UX) enforced by the Golden Rule.</w:t>
      </w:r>
      <w:r>
        <w:t xml:space="preserve"> </w:t>
      </w:r>
      <w:r>
        <w:t xml:space="preserve">Every workflow will be tested against a ≥ 85% unassisted task success threshold before release. No feature will ship if it requires a manual to operate. This removes the consultant dependency for day-to-day use.</w:t>
      </w:r>
    </w:p>
    <w:p>
      <w:pPr>
        <w:pStyle w:val="Compact"/>
        <w:numPr>
          <w:ilvl w:val="0"/>
          <w:numId w:val="1004"/>
        </w:numPr>
      </w:pPr>
      <w:r>
        <w:rPr>
          <w:b/>
          <w:bCs/>
        </w:rPr>
        <w:t xml:space="preserve">Built-in EFRIS, MTN MoMo, Airtel Money, and M-Pesa integrations from day one.</w:t>
      </w:r>
      <w:r>
        <w:t xml:space="preserve"> </w:t>
      </w:r>
      <w:r>
        <w:t xml:space="preserve">These integrations will be part of the platform Integration Layer — not optional add-ons — so every tenant benefits from compliant, real-time fiscal and payment connectivity without custom development.</w:t>
      </w:r>
    </w:p>
    <w:p>
      <w:r>
        <w:pict>
          <v:rect style="width:0;height:1.5pt" o:hralign="center" o:hrstd="t" o:hr="t"/>
        </w:pict>
      </w:r>
    </w:p>
    <w:bookmarkEnd w:id="18"/>
    <w:bookmarkStart w:id="19" w:name="Xaf5e953e79e377dfddbe60bcbaacdb7c2716a00"/>
    <w:p>
      <w:pPr>
        <w:pStyle w:val="Heading2"/>
      </w:pPr>
      <w:r>
        <w:t xml:space="preserve">5. Channels</w:t>
      </w:r>
    </w:p>
    <w:p>
      <w:pPr>
        <w:pStyle w:val="FirstParagraph"/>
      </w:pPr>
      <w:r>
        <w:t xml:space="preserve">The channels through which Kraal Code will acquire, activate, and retain customers:</w:t>
      </w:r>
    </w:p>
    <w:p>
      <w:pPr>
        <w:pStyle w:val="Compact"/>
        <w:numPr>
          <w:ilvl w:val="0"/>
          <w:numId w:val="1005"/>
        </w:numPr>
      </w:pPr>
      <w:r>
        <w:rPr>
          <w:b/>
          <w:bCs/>
        </w:rPr>
        <w:t xml:space="preserve">Direct sales</w:t>
      </w:r>
      <w:r>
        <w:t xml:space="preserve"> </w:t>
      </w:r>
      <w:r>
        <w:t xml:space="preserve">— The Chwezi sales team will handle Enterprise and Business-tier prospects through discovery calls, demos, and assisted onboarding.</w:t>
      </w:r>
    </w:p>
    <w:p>
      <w:pPr>
        <w:pStyle w:val="Compact"/>
        <w:numPr>
          <w:ilvl w:val="0"/>
          <w:numId w:val="1005"/>
        </w:numPr>
      </w:pPr>
      <w:r>
        <w:rPr>
          <w:b/>
          <w:bCs/>
        </w:rPr>
        <w:t xml:space="preserve">Website self-signup</w:t>
      </w:r>
      <w:r>
        <w:t xml:space="preserve"> </w:t>
      </w:r>
      <w:r>
        <w:t xml:space="preserve">— Starter and Small Business tier customers will onboard via chwezicore.com without sales assistance. The self-service flow will include a 14-day free trial.</w:t>
      </w:r>
    </w:p>
    <w:p>
      <w:pPr>
        <w:pStyle w:val="Compact"/>
        <w:numPr>
          <w:ilvl w:val="0"/>
          <w:numId w:val="1005"/>
        </w:numPr>
      </w:pPr>
      <w:r>
        <w:rPr>
          <w:b/>
          <w:bCs/>
        </w:rPr>
        <w:t xml:space="preserve">Accountant and consultant referral programme</w:t>
      </w:r>
      <w:r>
        <w:t xml:space="preserve"> </w:t>
      </w:r>
      <w:r>
        <w:t xml:space="preserve">— Chartered accountants, bookkeepers, and IT consultants who recommend Kraal Code to their clients will earn a recurring referral commission. This channel targets the people who currently advise SMEs on financial software choices.</w:t>
      </w:r>
    </w:p>
    <w:p>
      <w:pPr>
        <w:pStyle w:val="Compact"/>
        <w:numPr>
          <w:ilvl w:val="0"/>
          <w:numId w:val="1005"/>
        </w:numPr>
      </w:pPr>
      <w:r>
        <w:rPr>
          <w:b/>
          <w:bCs/>
        </w:rPr>
        <w:t xml:space="preserve">Integration with Uganda's business registration ecosystem</w:t>
      </w:r>
      <w:r>
        <w:t xml:space="preserve"> </w:t>
      </w:r>
      <w:r>
        <w:t xml:space="preserve">— Partnerships with Uganda Registration Services Bureau (URSB) and URA onboarding journeys will position Kraal Code as the recommended accounting and compliance tool at the point of business formation.</w:t>
      </w:r>
    </w:p>
    <w:p>
      <w:pPr>
        <w:pStyle w:val="Compact"/>
        <w:numPr>
          <w:ilvl w:val="0"/>
          <w:numId w:val="1005"/>
        </w:numPr>
      </w:pPr>
      <w:r>
        <w:rPr>
          <w:b/>
          <w:bCs/>
        </w:rPr>
        <w:t xml:space="preserve">Africa's Talking and WhatsApp for onboarding communication</w:t>
      </w:r>
      <w:r>
        <w:t xml:space="preserve"> </w:t>
      </w:r>
      <w:r>
        <w:t xml:space="preserve">— Onboarding sequences, payment reminders, and support escalations will use WhatsApp Business API and Africa's Talking SMS, meeting users on the channels they already use daily.</w:t>
      </w:r>
    </w:p>
    <w:p>
      <w:r>
        <w:pict>
          <v:rect style="width:0;height:1.5pt" o:hralign="center" o:hrstd="t" o:hr="t"/>
        </w:pict>
      </w:r>
    </w:p>
    <w:bookmarkEnd w:id="19"/>
    <w:bookmarkStart w:id="20" w:name="X2633c60a5fce756e00dc1ba37ab2ce4569231b2"/>
    <w:p>
      <w:pPr>
        <w:pStyle w:val="Heading2"/>
      </w:pPr>
      <w:r>
        <w:t xml:space="preserve">6. Revenue Streams</w:t>
      </w:r>
    </w:p>
    <w:p>
      <w:pPr>
        <w:pStyle w:val="FirstParagraph"/>
      </w:pPr>
      <w:r>
        <w:t xml:space="preserve">The revenue mechanisms that will fund Kraal Code operations and growth:</w:t>
      </w:r>
    </w:p>
    <w:p>
      <w:pPr>
        <w:pStyle w:val="Compact"/>
        <w:numPr>
          <w:ilvl w:val="0"/>
          <w:numId w:val="1006"/>
        </w:numPr>
      </w:pPr>
      <w:r>
        <w:rPr>
          <w:b/>
          <w:bCs/>
        </w:rPr>
        <w:t xml:space="preserve">Monthly subscriptions</w:t>
      </w:r>
      <w:r>
        <w:t xml:space="preserve"> </w:t>
      </w:r>
      <w:r>
        <w:t xml:space="preserve">— Recurring UGX-denominated subscription fees across 5 tiers: Starter (UGX 250,000/month), Small Business (UGX 500,000/month), Professional (UGX 1,000,000/month), Business (UGX 1,750,000/month), and Enterprise (UGX 2,500,000/month).</w:t>
      </w:r>
    </w:p>
    <w:p>
      <w:pPr>
        <w:pStyle w:val="Compact"/>
        <w:numPr>
          <w:ilvl w:val="0"/>
          <w:numId w:val="1006"/>
        </w:numPr>
      </w:pPr>
      <w:r>
        <w:rPr>
          <w:b/>
          <w:bCs/>
        </w:rPr>
        <w:t xml:space="preserve">Annual billing plans</w:t>
      </w:r>
      <w:r>
        <w:t xml:space="preserve"> </w:t>
      </w:r>
      <w:r>
        <w:t xml:space="preserve">— Tenants who pay annually will receive 12 months of access billed at 10 months' cost, generating upfront cash flow and reducing monthly churn risk.</w:t>
      </w:r>
    </w:p>
    <w:p>
      <w:pPr>
        <w:pStyle w:val="Compact"/>
        <w:numPr>
          <w:ilvl w:val="0"/>
          <w:numId w:val="1006"/>
        </w:numPr>
      </w:pPr>
      <w:r>
        <w:rPr>
          <w:b/>
          <w:bCs/>
        </w:rPr>
        <w:t xml:space="preserve">A-la-carte add-on modules</w:t>
      </w:r>
      <w:r>
        <w:t xml:space="preserve"> </w:t>
      </w:r>
      <w:r>
        <w:t xml:space="preserve">— Small Business and Professional tier tenants may activate individual add-on modules (e.g., HR &amp; Payroll at UGX 150,000/month, Manufacturing at UGX 250,000/month) above their base plan.</w:t>
      </w:r>
    </w:p>
    <w:p>
      <w:pPr>
        <w:pStyle w:val="Compact"/>
        <w:numPr>
          <w:ilvl w:val="0"/>
          <w:numId w:val="1006"/>
        </w:numPr>
      </w:pPr>
      <w:r>
        <w:rPr>
          <w:b/>
          <w:bCs/>
        </w:rPr>
        <w:t xml:space="preserve">Custom Enterprise plans</w:t>
      </w:r>
      <w:r>
        <w:t xml:space="preserve"> </w:t>
      </w:r>
      <w:r>
        <w:t xml:space="preserve">— Large organisations with negotiated terms, dedicated infrastructure, white-labelling requirements, or non-standard support Service Level Agreements (SLAs) will be invoiced under custom commercial agreements.</w:t>
      </w:r>
    </w:p>
    <w:p>
      <w:r>
        <w:pict>
          <v:rect style="width:0;height:1.5pt" o:hralign="center" o:hrstd="t" o:hr="t"/>
        </w:pict>
      </w:r>
    </w:p>
    <w:bookmarkEnd w:id="20"/>
    <w:bookmarkStart w:id="21" w:name="X8ce91db151a2e1e45c82f6e08bbac279e0f5a77"/>
    <w:p>
      <w:pPr>
        <w:pStyle w:val="Heading2"/>
      </w:pPr>
      <w:r>
        <w:t xml:space="preserve">7. Cost Structure</w:t>
      </w:r>
    </w:p>
    <w:p>
      <w:pPr>
        <w:pStyle w:val="FirstParagraph"/>
      </w:pPr>
      <w:r>
        <w:t xml:space="preserve">The primary cost categories that will determine unit economics and pricing sustainability:</w:t>
      </w:r>
    </w:p>
    <w:p>
      <w:pPr>
        <w:pStyle w:val="Compact"/>
        <w:numPr>
          <w:ilvl w:val="0"/>
          <w:numId w:val="1007"/>
        </w:numPr>
      </w:pPr>
      <w:r>
        <w:rPr>
          <w:b/>
          <w:bCs/>
        </w:rPr>
        <w:t xml:space="preserve">Cloud hosting and infrastructure</w:t>
      </w:r>
      <w:r>
        <w:t xml:space="preserve"> </w:t>
      </w:r>
      <w:r>
        <w:t xml:space="preserve">— Multi-tenant application servers, managed database clusters, object storage, Content Delivery Network (CDN), and backup infrastructure.</w:t>
      </w:r>
    </w:p>
    <w:p>
      <w:pPr>
        <w:pStyle w:val="Compact"/>
        <w:numPr>
          <w:ilvl w:val="0"/>
          <w:numId w:val="1007"/>
        </w:numPr>
      </w:pPr>
      <w:r>
        <w:rPr>
          <w:b/>
          <w:bCs/>
        </w:rPr>
        <w:t xml:space="preserve">Development team</w:t>
      </w:r>
      <w:r>
        <w:t xml:space="preserve"> </w:t>
      </w:r>
      <w:r>
        <w:t xml:space="preserve">— Salaries or contract fees for 2–5 full-stack PHP + MySQL developers and mobile developers for Android (Kotlin/Jetpack Compose) and iOS (Swift/SwiftUI).</w:t>
      </w:r>
    </w:p>
    <w:p>
      <w:pPr>
        <w:pStyle w:val="Compact"/>
        <w:numPr>
          <w:ilvl w:val="0"/>
          <w:numId w:val="1007"/>
        </w:numPr>
      </w:pPr>
      <w:r>
        <w:rPr>
          <w:b/>
          <w:bCs/>
        </w:rPr>
        <w:t xml:space="preserve">Integration fees</w:t>
      </w:r>
      <w:r>
        <w:t xml:space="preserve"> </w:t>
      </w:r>
      <w:r>
        <w:t xml:space="preserve">— URA EFRIS API access, MTN MoMo Developer fees, Airtel Money API costs, Africa's Talking SMS/USSD credits, and KRA iTax connection fees.</w:t>
      </w:r>
    </w:p>
    <w:p>
      <w:pPr>
        <w:pStyle w:val="Compact"/>
        <w:numPr>
          <w:ilvl w:val="0"/>
          <w:numId w:val="1007"/>
        </w:numPr>
      </w:pPr>
      <w:r>
        <w:rPr>
          <w:b/>
          <w:bCs/>
        </w:rPr>
        <w:t xml:space="preserve">Sales and marketing</w:t>
      </w:r>
      <w:r>
        <w:t xml:space="preserve"> </w:t>
      </w:r>
      <w:r>
        <w:t xml:space="preserve">— Website hosting, digital advertising, content production, referral programme payouts, and conference attendance.</w:t>
      </w:r>
    </w:p>
    <w:p>
      <w:pPr>
        <w:pStyle w:val="Compact"/>
        <w:numPr>
          <w:ilvl w:val="0"/>
          <w:numId w:val="1007"/>
        </w:numPr>
      </w:pPr>
      <w:r>
        <w:rPr>
          <w:b/>
          <w:bCs/>
        </w:rPr>
        <w:t xml:space="preserve">Customer support</w:t>
      </w:r>
      <w:r>
        <w:t xml:space="preserve"> </w:t>
      </w:r>
      <w:r>
        <w:t xml:space="preserve">— Support staff, helpdesk tooling, and knowledge base authoring.</w:t>
      </w:r>
    </w:p>
    <w:p>
      <w:pPr>
        <w:pStyle w:val="Compact"/>
        <w:numPr>
          <w:ilvl w:val="0"/>
          <w:numId w:val="1007"/>
        </w:numPr>
      </w:pPr>
      <w:r>
        <w:rPr>
          <w:b/>
          <w:bCs/>
        </w:rPr>
        <w:t xml:space="preserve">Legal and compliance</w:t>
      </w:r>
      <w:r>
        <w:t xml:space="preserve"> </w:t>
      </w:r>
      <w:r>
        <w:t xml:space="preserve">— Uganda Data Protection and Privacy Act 2019 (DPPA) compliance audits, National Information Technology Authority Uganda (NITA-U) SaaS registration, and commercial legal review.</w:t>
      </w:r>
    </w:p>
    <w:p>
      <w:r>
        <w:pict>
          <v:rect style="width:0;height:1.5pt" o:hralign="center" o:hrstd="t" o:hr="t"/>
        </w:pict>
      </w:r>
    </w:p>
    <w:bookmarkEnd w:id="21"/>
    <w:bookmarkStart w:id="22" w:name="Xda2bdd11917da02aa434545399b3a838120e206"/>
    <w:p>
      <w:pPr>
        <w:pStyle w:val="Heading2"/>
      </w:pPr>
      <w:r>
        <w:t xml:space="preserve">8. Key Metrics</w:t>
      </w:r>
    </w:p>
    <w:p>
      <w:pPr>
        <w:pStyle w:val="FirstParagraph"/>
      </w:pPr>
      <w:r>
        <w:t xml:space="preserve">The quantitative indicators that will determine whether the business model is working:</w:t>
      </w:r>
    </w:p>
    <w:p>
      <w:pPr>
        <w:pStyle w:val="Compact"/>
        <w:numPr>
          <w:ilvl w:val="0"/>
          <w:numId w:val="1008"/>
        </w:numPr>
      </w:pPr>
      <w:r>
        <w:rPr>
          <w:b/>
          <w:bCs/>
        </w:rPr>
        <w:t xml:space="preserve">Monthly Recurring Revenue (MRR) in UGX</w:t>
      </w:r>
      <w:r>
        <w:t xml:space="preserve"> </w:t>
      </w:r>
      <w:r>
        <w:t xml:space="preserve">— Target: UGX 56M by the end of Phase 1 (Uganda market). This is the primary commercial health indicator.</w:t>
      </w:r>
    </w:p>
    <w:p>
      <w:pPr>
        <w:pStyle w:val="Compact"/>
        <w:numPr>
          <w:ilvl w:val="0"/>
          <w:numId w:val="1008"/>
        </w:numPr>
      </w:pPr>
      <w:r>
        <w:rPr>
          <w:b/>
          <w:bCs/>
        </w:rPr>
        <w:t xml:space="preserve">Monthly Active Tenants</w:t>
      </w:r>
      <w:r>
        <w:t xml:space="preserve"> </w:t>
      </w:r>
      <w:r>
        <w:t xml:space="preserve">— Count of tenants who log at least 1 session per month. Declining active tenants signal churn risk before it appears in revenue.</w:t>
      </w:r>
    </w:p>
    <w:p>
      <w:pPr>
        <w:pStyle w:val="Compact"/>
        <w:numPr>
          <w:ilvl w:val="0"/>
          <w:numId w:val="1008"/>
        </w:numPr>
      </w:pPr>
      <w:r>
        <w:rPr>
          <w:b/>
          <w:bCs/>
        </w:rPr>
        <w:t xml:space="preserve">Monthly churn rate</w:t>
      </w:r>
      <w:r>
        <w:t xml:space="preserve"> </w:t>
      </w:r>
      <w:r>
        <w:t xml:space="preserve">— Target: ≤ 5% monthly tenant churn. At ≤ 5%, average tenant lifetime exceeds 20 months and the business achieves positive unit economics.</w:t>
      </w:r>
    </w:p>
    <w:p>
      <w:pPr>
        <w:pStyle w:val="Compact"/>
        <w:numPr>
          <w:ilvl w:val="0"/>
          <w:numId w:val="1008"/>
        </w:numPr>
      </w:pPr>
      <w:r>
        <w:rPr>
          <w:b/>
          <w:bCs/>
        </w:rPr>
        <w:t xml:space="preserve">Time to first productive use</w:t>
      </w:r>
      <w:r>
        <w:t xml:space="preserve"> </w:t>
      </w:r>
      <w:r>
        <w:t xml:space="preserve">— Target: ≤ 1 business day from account creation to first live transaction processed. Measures the effectiveness of the self-serve onboarding flow.</w:t>
      </w:r>
    </w:p>
    <w:p>
      <w:pPr>
        <w:pStyle w:val="Compact"/>
        <w:numPr>
          <w:ilvl w:val="0"/>
          <w:numId w:val="1008"/>
        </w:numPr>
      </w:pPr>
      <w:r>
        <w:rPr>
          <w:b/>
          <w:bCs/>
        </w:rPr>
        <w:t xml:space="preserve">Support ticket volume per tenant per month</w:t>
      </w:r>
      <w:r>
        <w:t xml:space="preserve"> </w:t>
      </w:r>
      <w:r>
        <w:t xml:space="preserve">— Target: decreasing month-on-month as the product matures. High ticket volume is a UX failure signal.</w:t>
      </w:r>
    </w:p>
    <w:p>
      <w:pPr>
        <w:pStyle w:val="Compact"/>
        <w:numPr>
          <w:ilvl w:val="0"/>
          <w:numId w:val="1008"/>
        </w:numPr>
      </w:pPr>
      <w:r>
        <w:rPr>
          <w:b/>
          <w:bCs/>
        </w:rPr>
        <w:t xml:space="preserve">Golden Rule compliance rate</w:t>
      </w:r>
      <w:r>
        <w:t xml:space="preserve"> </w:t>
      </w:r>
      <w:r>
        <w:t xml:space="preserve">— Target: ≥ 85% unassisted task success across core workflows in usability testing. This is the primary UX health metric and the operational definition of the platform's central promise.</w:t>
      </w:r>
    </w:p>
    <w:p>
      <w:r>
        <w:pict>
          <v:rect style="width:0;height:1.5pt" o:hralign="center" o:hrstd="t" o:hr="t"/>
        </w:pict>
      </w:r>
    </w:p>
    <w:bookmarkEnd w:id="22"/>
    <w:bookmarkStart w:id="23" w:name="Xfb3416337555e696954868692f0a620c1c8abbd"/>
    <w:p>
      <w:pPr>
        <w:pStyle w:val="Heading2"/>
      </w:pPr>
      <w:r>
        <w:t xml:space="preserve">9. Unfair Advantage</w:t>
      </w:r>
    </w:p>
    <w:p>
      <w:pPr>
        <w:pStyle w:val="FirstParagraph"/>
      </w:pPr>
      <w:r>
        <w:t xml:space="preserve">The assets and capabilities that will be difficult for competitors to copy or acquire:</w:t>
      </w:r>
    </w:p>
    <w:p>
      <w:pPr>
        <w:pStyle w:val="Compact"/>
        <w:numPr>
          <w:ilvl w:val="0"/>
          <w:numId w:val="1009"/>
        </w:numPr>
      </w:pPr>
      <w:r>
        <w:rPr>
          <w:b/>
          <w:bCs/>
        </w:rPr>
        <w:t xml:space="preserve">First ERP natively built for Uganda's full regulatory stack.</w:t>
      </w:r>
      <w:r>
        <w:t xml:space="preserve"> </w:t>
      </w:r>
      <w:r>
        <w:t xml:space="preserve">Kraal Code will ship with native, tested integrations for EFRIS, Uganda Revenue Authority (URA) PAYE e-returns, National Social Security Fund (NSSF) Uganda employer upload, and Public Procurement and Disposal of Public Assets Authority (PPDA) compliance workflows. No equivalent product exists in the Ugandan market with all of these built in from launch.</w:t>
      </w:r>
    </w:p>
    <w:p>
      <w:pPr>
        <w:pStyle w:val="Compact"/>
        <w:numPr>
          <w:ilvl w:val="0"/>
          <w:numId w:val="1009"/>
        </w:numPr>
      </w:pPr>
      <w:r>
        <w:rPr>
          <w:b/>
          <w:bCs/>
        </w:rPr>
        <w:t xml:space="preserve">Configuration-driven Localisation Engine.</w:t>
      </w:r>
      <w:r>
        <w:t xml:space="preserve"> </w:t>
      </w:r>
      <w:r>
        <w:t xml:space="preserve">Adding a new country or jurisdiction will require only a localisation configuration profile — no code changes, no separate product variant. This means the platform can enter a new East African or Francophone African market in weeks rather than years, compounding the first-mover advantage.</w:t>
      </w:r>
    </w:p>
    <w:p>
      <w:pPr>
        <w:pStyle w:val="Compact"/>
        <w:numPr>
          <w:ilvl w:val="0"/>
          <w:numId w:val="1009"/>
        </w:numPr>
      </w:pPr>
      <w:r>
        <w:rPr>
          <w:b/>
          <w:bCs/>
        </w:rPr>
        <w:t xml:space="preserve">Part of the Chwezi Core product family.</w:t>
      </w:r>
      <w:r>
        <w:t xml:space="preserve"> </w:t>
      </w:r>
      <w:r>
        <w:t xml:space="preserve">Kraal Code shares infrastructure, user management, and billing systems with Academia Pro (school management), Medic8 (healthcare management), and Kulima (farm management). Cross-product integrations — such as a school billing into Kraal Code accounting, or a farm cooperative paying farmers via Kraal Code payroll — create switching costs and network effects that standalone competitors cannot replicate.</w:t>
      </w:r>
    </w:p>
    <w:p>
      <w:pPr>
        <w:pStyle w:val="Compact"/>
        <w:numPr>
          <w:ilvl w:val="0"/>
          <w:numId w:val="1009"/>
        </w:numPr>
      </w:pPr>
      <w:r>
        <w:rPr>
          <w:b/>
          <w:bCs/>
        </w:rPr>
        <w:t xml:space="preserve">Peter Bamuhigire's domain expertise.</w:t>
      </w:r>
      <w:r>
        <w:t xml:space="preserve"> </w:t>
      </w:r>
      <w:r>
        <w:t xml:space="preserve">The Lead Architect combines direct experience in East African ERP implementations, SaaS architecture, and Uganda's regulatory environment. This knowledge is embedded in product decisions, not recoverable by copying the feature set.</w:t>
      </w:r>
    </w:p>
    <w:p>
      <w:r>
        <w:pict>
          <v:rect style="width:0;height:1.5pt" o:hralign="center" o:hrstd="t" o:hr="t"/>
        </w:pict>
      </w:r>
    </w:p>
    <w:bookmarkEnd w:id="23"/>
    <w:bookmarkStart w:id="24" w:name="title-lean-canvas--key-assumptions"/>
    <w:p>
      <w:pPr>
        <w:pStyle w:val="Heading2"/>
      </w:pPr>
      <w:r>
        <w:t xml:space="preserve">title: "Lean Canvas — Key Assumptions"</w:t>
      </w:r>
    </w:p>
    <w:bookmarkEnd w:id="24"/>
    <w:bookmarkEnd w:id="25"/>
    <w:bookmarkStart w:id="31" w:name="X39a7b3a3e58d2fdc935304024e416ca57c93836"/>
    <w:p>
      <w:pPr>
        <w:pStyle w:val="Heading1"/>
      </w:pPr>
      <w:r>
        <w:t xml:space="preserve">Key Assumptions Underlying the Lean Canvas</w:t>
      </w:r>
    </w:p>
    <w:p>
      <w:pPr>
        <w:pStyle w:val="FirstParagraph"/>
      </w:pPr>
      <w:r>
        <w:t xml:space="preserve">The Lean Canvas encodes hypotheses, not facts. The following assumptions are the highest-risk beliefs embedded in the model. Each must be validated before scaling decisions are made. Assumptions are listed in descending order of risk to the business model.</w:t>
      </w:r>
    </w:p>
    <w:p>
      <w:r>
        <w:pict>
          <v:rect style="width:0;height:1.5pt" o:hralign="center" o:hrstd="t" o:hr="t"/>
        </w:pict>
      </w:r>
    </w:p>
    <w:bookmarkStart w:id="26" w:name="X474306d82efbb562ea6f01e9e6235fd1c265f8a"/>
    <w:p>
      <w:pPr>
        <w:pStyle w:val="Heading2"/>
      </w:pPr>
      <w:r>
        <w:t xml:space="preserve">Assumption 1 — Price Sensitivity: East African SMEs Will Pay UGX 250,000–2,500,000/Month for a SaaS ERP</w:t>
      </w:r>
    </w:p>
    <w:p>
      <w:pPr>
        <w:pStyle w:val="FirstParagraph"/>
      </w:pPr>
      <w:r>
        <w:rPr>
          <w:b/>
          <w:bCs/>
        </w:rPr>
        <w:t xml:space="preserve">Statement of the assumption:</w:t>
      </w:r>
      <w:r>
        <w:t xml:space="preserve"> </w:t>
      </w:r>
      <w:r>
        <w:t xml:space="preserve">Mid-sized organisations in Uganda with 5–500 employees will regard UGX 250,000–2,500,000/month as an acceptable and sustainable software expense when positioned as a replacement for Excel, QuickBooks, or manual processes. The Starter tier at UGX 250,000 is the critical price threshold — if this price point encounters significant resistance, the mass-market acquisition model fails.</w:t>
      </w:r>
    </w:p>
    <w:p>
      <w:pPr>
        <w:pStyle w:val="BodyText"/>
      </w:pPr>
      <w:r>
        <w:rPr>
          <w:b/>
          <w:bCs/>
        </w:rPr>
        <w:t xml:space="preserve">Minimum viable test:</w:t>
      </w:r>
      <w:r>
        <w:t xml:space="preserve"> </w:t>
      </w:r>
      <w:r>
        <w:t xml:space="preserve">Run a 30-day pricing discovery sprint: conduct structured price-sensitivity interviews (Van Westendorp method) with 20 Finance Managers and business owners at target companies. Offer 10 Starter-tier trials at UGX 250,000/month and record conversion rate, time-to-pay, and unprompted objections. A conversion rate of ≥ 50% of trialists to paid confirms willingness to pay.</w:t>
      </w:r>
    </w:p>
    <w:p>
      <w:pPr>
        <w:pStyle w:val="BodyText"/>
      </w:pPr>
      <w:r>
        <w:rPr>
          <w:b/>
          <w:bCs/>
        </w:rPr>
        <w:t xml:space="preserve">If this assumption is false:</w:t>
      </w:r>
      <w:r>
        <w:t xml:space="preserve"> </w:t>
      </w:r>
      <w:r>
        <w:t xml:space="preserve">The pricing model will require restructuring before Phase 1 launch. Options include: reducing the Starter price to UGX 150,000/month, extending the free trial to 30 days, or introducing a freemium tier (core modules free, add-ons paid). Revenue milestones for Phase 1 will need revision. Do not invest in sales team expansion until this assumption is confirmed.</w:t>
      </w:r>
    </w:p>
    <w:p>
      <w:r>
        <w:pict>
          <v:rect style="width:0;height:1.5pt" o:hralign="center" o:hrstd="t" o:hr="t"/>
        </w:pict>
      </w:r>
    </w:p>
    <w:bookmarkEnd w:id="26"/>
    <w:bookmarkStart w:id="27" w:name="X326ac99727f18c337f1ab7583e456f55107443c"/>
    <w:p>
      <w:pPr>
        <w:pStyle w:val="Heading2"/>
      </w:pPr>
      <w:r>
        <w:t xml:space="preserve">Assumption 2 — Usability: Zero-Training UX Is Achievable for Complex ERP Workflows</w:t>
      </w:r>
    </w:p>
    <w:p>
      <w:pPr>
        <w:pStyle w:val="FirstParagraph"/>
      </w:pPr>
      <w:r>
        <w:rPr>
          <w:b/>
          <w:bCs/>
        </w:rPr>
        <w:t xml:space="preserve">Statement of the assumption:</w:t>
      </w:r>
      <w:r>
        <w:t xml:space="preserve"> </w:t>
      </w:r>
      <w:r>
        <w:t xml:space="preserve">It is technically and design-feasibly possible to build ERP workflows — including double-entry bookkeeping, three-way purchase matching, payroll processing, and manufacturing Bill of Materials (BOM) management — such that a first-time user with no ERP training can complete the task successfully, unaided, within a reasonable time. The Golden Rule target of ≥ 85% unassisted task success is achievable within the scope of this platform's UX investment.</w:t>
      </w:r>
    </w:p>
    <w:p>
      <w:pPr>
        <w:pStyle w:val="BodyText"/>
      </w:pPr>
      <w:r>
        <w:rPr>
          <w:b/>
          <w:bCs/>
        </w:rPr>
        <w:t xml:space="preserve">Minimum viable test:</w:t>
      </w:r>
      <w:r>
        <w:t xml:space="preserve"> </w:t>
      </w:r>
      <w:r>
        <w:t xml:space="preserve">Before Phase 1 launch, conduct moderated usability testing of the 5 highest-complexity workflows (payroll run, purchase order approval, EFRIS invoice submission, GL journal entry, stock physical count) with 10 participants who have no prior ERP experience. Measure unassisted task completion rate and time-on-task. If the ≥ 85% threshold is not met, iterate and retest. A failed second round triggers a redesign gate — no launch until the threshold is cleared.</w:t>
      </w:r>
    </w:p>
    <w:p>
      <w:pPr>
        <w:pStyle w:val="BodyText"/>
      </w:pPr>
      <w:r>
        <w:rPr>
          <w:b/>
          <w:bCs/>
        </w:rPr>
        <w:t xml:space="preserve">If this assumption is false:</w:t>
      </w:r>
      <w:r>
        <w:t xml:space="preserve"> </w:t>
      </w:r>
      <w:r>
        <w:t xml:space="preserve">The Golden Rule — the platform's central value proposition and the primary differentiator from all competing ERPs — is unachievable at the feature set currently scoped. The product strategy will require re-scoping: either reduce the feature set to only workflows that pass the ≥ 85% threshold at launch, or acknowledge that some modules will require guided onboarding (which invalidates the "no consultants" promise for those modules). Competitor positioning claims must be revised accordingly.</w:t>
      </w:r>
    </w:p>
    <w:p>
      <w:r>
        <w:pict>
          <v:rect style="width:0;height:1.5pt" o:hralign="center" o:hrstd="t" o:hr="t"/>
        </w:pict>
      </w:r>
    </w:p>
    <w:bookmarkEnd w:id="27"/>
    <w:bookmarkStart w:id="28" w:name="X29e5f11a5c56509d6cb6632d35f4dd0a68fce03"/>
    <w:p>
      <w:pPr>
        <w:pStyle w:val="Heading2"/>
      </w:pPr>
      <w:r>
        <w:t xml:space="preserve">Assumption 3 — Integration Stability: The EFRIS Integration Will Be Reliable Enough for Daily Production Use</w:t>
      </w:r>
    </w:p>
    <w:p>
      <w:pPr>
        <w:pStyle w:val="FirstParagraph"/>
      </w:pPr>
      <w:r>
        <w:rPr>
          <w:b/>
          <w:bCs/>
        </w:rPr>
        <w:t xml:space="preserve">Statement of the assumption:</w:t>
      </w:r>
      <w:r>
        <w:t xml:space="preserve"> </w:t>
      </w:r>
      <w:r>
        <w:t xml:space="preserve">Uganda Revenue Authority (URA)'s EFRIS application programming interface (API) will be stable, well-documented, and available at ≥ 99.5% uptime during business hours. Kraal Code's fiscal compliance depends entirely on this integration for VAT invoice submission. An unreliable EFRIS API will create compliance risk for every tenant who issues VAT invoices.</w:t>
      </w:r>
    </w:p>
    <w:p>
      <w:pPr>
        <w:pStyle w:val="BodyText"/>
      </w:pPr>
      <w:r>
        <w:rPr>
          <w:b/>
          <w:bCs/>
        </w:rPr>
        <w:t xml:space="preserve">Minimum viable test:</w:t>
      </w:r>
      <w:r>
        <w:t xml:space="preserve"> </w:t>
      </w:r>
      <w:r>
        <w:t xml:space="preserve">Integrate against the URA EFRIS sandbox API and run 1,000 automated test submissions over a 30-day period. Measure API availability, error rate, response time distribution, and error message clarity. Review the EFRIS developer documentation for completeness and currency. Interview 3 developers who have previously integrated EFRIS in production to capture known failure modes. If availability falls below 99% in testing, design an offline queue and retry mechanism before launch — not after.</w:t>
      </w:r>
    </w:p>
    <w:p>
      <w:pPr>
        <w:pStyle w:val="BodyText"/>
      </w:pPr>
      <w:r>
        <w:rPr>
          <w:b/>
          <w:bCs/>
        </w:rPr>
        <w:t xml:space="preserve">If this assumption is false:</w:t>
      </w:r>
      <w:r>
        <w:t xml:space="preserve"> </w:t>
      </w:r>
      <w:r>
        <w:t xml:space="preserve">If EFRIS is unreliable or its API is insufficiently documented for automated integration, all tenants who issue VAT invoices face compliance exposure. Mitigation: build an offline queue that holds fiscal submissions and retries on recovery, with a manual override for emergency submissions. Prominently disclose the dependency in the Service Level Agreement (SLA) so tenants understand that EFRIS downtime is outside Chwezi's control. Escalate API reliability concerns to URA through formal channels.</w:t>
      </w:r>
    </w:p>
    <w:p>
      <w:r>
        <w:pict>
          <v:rect style="width:0;height:1.5pt" o:hralign="center" o:hrstd="t" o:hr="t"/>
        </w:pict>
      </w:r>
    </w:p>
    <w:bookmarkEnd w:id="28"/>
    <w:bookmarkStart w:id="29" w:name="Xff7be70019d934083752032fca7cf714dd7042e"/>
    <w:p>
      <w:pPr>
        <w:pStyle w:val="Heading2"/>
      </w:pPr>
      <w:r>
        <w:t xml:space="preserve">Assumption 4 — Payment Method: Mobile Money Is Sufficient for SaaS Billing in Uganda</w:t>
      </w:r>
    </w:p>
    <w:p>
      <w:pPr>
        <w:pStyle w:val="FirstParagraph"/>
      </w:pPr>
      <w:r>
        <w:rPr>
          <w:b/>
          <w:bCs/>
        </w:rPr>
        <w:t xml:space="preserve">Statement of the assumption:</w:t>
      </w:r>
      <w:r>
        <w:t xml:space="preserve"> </w:t>
      </w:r>
      <w:r>
        <w:t xml:space="preserve">The majority of Kraal Code's target customers — Ugandan SMEs — will be willing and able to pay their monthly subscription fee via MTN Mobile Money (MoMo) or Airtel Money. A significant proportion will not require bank transfer or card payment options to convert. Mobile money is the primary payment rail for the Ugandan SME market.</w:t>
      </w:r>
    </w:p>
    <w:p>
      <w:pPr>
        <w:pStyle w:val="BodyText"/>
      </w:pPr>
      <w:r>
        <w:rPr>
          <w:b/>
          <w:bCs/>
        </w:rPr>
        <w:t xml:space="preserve">Minimum viable test:</w:t>
      </w:r>
      <w:r>
        <w:t xml:space="preserve"> </w:t>
      </w:r>
      <w:r>
        <w:t xml:space="preserve">During the pricing discovery sprint (see Assumption 1), ask each participant their preferred payment method for a recurring monthly software subscription. Record the distribution across mobile money, bank transfer, corporate credit card, and cheque. If fewer than 50% prefer mobile money as primary method, prioritise bank transfer integration ahead of the Phase 1 commercial launch. Test an end-to-end MTN MoMo recurring billing flow with 5 beta tenants and record payment success rate over 3 consecutive billing cycles.</w:t>
      </w:r>
    </w:p>
    <w:p>
      <w:pPr>
        <w:pStyle w:val="BodyText"/>
      </w:pPr>
      <w:r>
        <w:rPr>
          <w:b/>
          <w:bCs/>
        </w:rPr>
        <w:t xml:space="preserve">If this assumption is false:</w:t>
      </w:r>
      <w:r>
        <w:t xml:space="preserve"> </w:t>
      </w:r>
      <w:r>
        <w:t xml:space="preserve">If mobile money proves unreliable or insufficient as a billing channel, the Billing &amp; Subscriptions platform service must integrate bank transfer (direct debit or bank-to-bank) and optionally card payments (via Flutterwave or Pesapal) before Phase 1 launch. This adds integration scope, increases Payment Card Industry Data Security Standard (PCI DSS) compliance surface, and delays launch. Budget a 4-week contingency for payment gateway integration if this assumption fails validation.</w:t>
      </w:r>
    </w:p>
    <w:p>
      <w:r>
        <w:pict>
          <v:rect style="width:0;height:1.5pt" o:hralign="center" o:hrstd="t" o:hr="t"/>
        </w:pict>
      </w:r>
    </w:p>
    <w:bookmarkEnd w:id="29"/>
    <w:bookmarkStart w:id="30" w:name="X3f2dd6375da6998bfd3c577a8c4e98638877552"/>
    <w:p>
      <w:pPr>
        <w:pStyle w:val="Heading2"/>
      </w:pPr>
      <w:r>
        <w:t xml:space="preserve">Assumption 5 — Self-Service: Small Businesses Will Complete Onboarding Without Consultant Support</w:t>
      </w:r>
    </w:p>
    <w:p>
      <w:pPr>
        <w:pStyle w:val="FirstParagraph"/>
      </w:pPr>
      <w:r>
        <w:rPr>
          <w:b/>
          <w:bCs/>
        </w:rPr>
        <w:t xml:space="preserve">Statement of the assumption:</w:t>
      </w:r>
      <w:r>
        <w:t xml:space="preserve"> </w:t>
      </w:r>
      <w:r>
        <w:t xml:space="preserve">Starter and Small Business tier customers — the primary self-signup segment — will successfully configure their tenant (chart of accounts, user setup, module activation, opening balances, and first live transaction) within 1 business day, unaided, using in-product guidance alone. No human consultant or Chwezi support agent will be required for the standard onboarding journey.</w:t>
      </w:r>
    </w:p>
    <w:p>
      <w:pPr>
        <w:pStyle w:val="BodyText"/>
      </w:pPr>
      <w:r>
        <w:rPr>
          <w:b/>
          <w:bCs/>
        </w:rPr>
        <w:t xml:space="preserve">Minimum viable test:</w:t>
      </w:r>
      <w:r>
        <w:t xml:space="preserve"> </w:t>
      </w:r>
      <w:r>
        <w:t xml:space="preserve">Recruit 10 participants who match the target Starter/Small Business persona (office managers, bookkeepers, or business owners at 3–15-person companies with no prior ERP experience). Ask each to onboard a test tenant from signup through first invoice using only in-product guidance and the knowledge base. Measure time to first productive use (target: ≤ 1 business day), number of support tickets raised during onboarding, and self-reported confidence score at completion. A score of ≥ 70% completing unaided within 1 business day confirms the assumption.</w:t>
      </w:r>
    </w:p>
    <w:p>
      <w:pPr>
        <w:pStyle w:val="BodyText"/>
      </w:pPr>
      <w:r>
        <w:rPr>
          <w:b/>
          <w:bCs/>
        </w:rPr>
        <w:t xml:space="preserve">If this assumption is false:</w:t>
      </w:r>
      <w:r>
        <w:t xml:space="preserve"> </w:t>
      </w:r>
      <w:r>
        <w:t xml:space="preserve">If self-service onboarding fails to achieve the 1-business-day target, the "no consultants" promise breaks down for the mass-market segment. Mitigation options in order of cost: (1) improve in-product onboarding flows and contextual help before launch; (2) introduce a mandatory live onboarding session for Starter/Small Business tiers (adds support cost but preserves the zero-consultant promise for ongoing use); (3) partner with a network of affordable local accountants trained on Kraal Code to deliver 2-hour onboarding sessions at a fixed fee below UGX 100,000. Option 3 is acceptable only if the session is positioned as optional and time-bounded — the platform must not require ongoing consultant dependency.</w:t>
      </w:r>
    </w:p>
    <w:bookmarkEnd w:id="30"/>
    <w:bookmarkEnd w:id="31"/>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Canvas</dc:title>
  <dc:creator/>
  <cp:keywords/>
  <dcterms:created xsi:type="dcterms:W3CDTF">2026-08-08T22:02:41Z</dcterms:created>
  <dcterms:modified xsi:type="dcterms:W3CDTF">2026-08-08T22:02:41Z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