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monitoring-and-observability--kraal-code"/>
    <w:p>
      <w:pPr>
        <w:pStyle w:val="Heading1"/>
      </w:pPr>
      <w:r>
        <w:t xml:space="preserve">Monitoring and Observability — Kraal Code</w:t>
      </w:r>
    </w:p>
    <w:p>
      <w:pPr>
        <w:pStyle w:val="FirstParagraph"/>
      </w:pPr>
      <w:r>
        <w:t xml:space="preserve">This document defines the service-level objectives and the monitoring that verifies them, per IEEE</w:t>
      </w:r>
      <w:r>
        <w:t xml:space="preserve"> </w:t>
      </w:r>
      <w:r>
        <w:t xml:space="preserve">Std 1062-2015 §6.3.</w:t>
      </w:r>
    </w:p>
    <w:bookmarkStart w:id="9" w:name="service-level-objectives-slo"/>
    <w:p>
      <w:pPr>
        <w:pStyle w:val="Heading2"/>
      </w:pPr>
      <w:r>
        <w:t xml:space="preserve">Service-Level Objectives (SLO)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availability</w:t>
            </w:r>
          </w:p>
        </w:tc>
        <w:tc>
          <w:tcPr/>
          <w:p>
            <w:pPr>
              <w:pStyle w:val="Compact"/>
            </w:pPr>
            <w:r>
              <w:t xml:space="preserve">Successful responses / total</w:t>
            </w:r>
          </w:p>
        </w:tc>
        <w:tc>
          <w:tcPr/>
          <w:p>
            <w:pPr>
              <w:pStyle w:val="Compact"/>
            </w:pPr>
            <w:r>
              <w:t xml:space="preserve">≥ 99.5%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latency</w:t>
            </w:r>
          </w:p>
        </w:tc>
        <w:tc>
          <w:tcPr/>
          <w:p>
            <w:pPr>
              <w:pStyle w:val="Compact"/>
            </w:pPr>
            <w:r>
              <w:t xml:space="preserve">P95 request duration</w:t>
            </w:r>
          </w:p>
        </w:tc>
        <w:tc>
          <w:tcPr/>
          <w:p>
            <w:pPr>
              <w:pStyle w:val="Compact"/>
            </w:pPr>
            <w:r>
              <w:t xml:space="preserve">≤ 500 ms under normal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 posting</w:t>
            </w:r>
          </w:p>
        </w:tc>
        <w:tc>
          <w:tcPr/>
          <w:p>
            <w:pPr>
              <w:pStyle w:val="Compact"/>
            </w:pPr>
            <w:r>
              <w:t xml:space="preserve">Posting success rate</w:t>
            </w:r>
          </w:p>
        </w:tc>
        <w:tc>
          <w:tcPr/>
          <w:p>
            <w:pPr>
              <w:pStyle w:val="Compact"/>
            </w:pPr>
            <w:r>
              <w:t xml:space="preserve">≥ 99.9%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Disbursement queue</w:t>
            </w:r>
          </w:p>
        </w:tc>
        <w:tc>
          <w:tcPr/>
          <w:p>
            <w:pPr>
              <w:pStyle w:val="Compact"/>
            </w:pPr>
            <w:r>
              <w:t xml:space="preserve">Time to dispatch a queued payment</w:t>
            </w:r>
          </w:p>
        </w:tc>
        <w:tc>
          <w:tcPr/>
          <w:p>
            <w:pPr>
              <w:pStyle w:val="Compact"/>
            </w:pPr>
            <w:r>
              <w:t xml:space="preserve">P95 ≤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Nightly backup success</w:t>
            </w:r>
          </w:p>
        </w:tc>
        <w:tc>
          <w:tcPr/>
          <w:p>
            <w:pPr>
              <w:pStyle w:val="Compact"/>
            </w:pPr>
            <w:r>
              <w:t xml:space="preserve">100%; monthly restore test passes</w:t>
            </w:r>
          </w:p>
        </w:tc>
      </w:tr>
    </w:tbl>
    <w:p>
      <w:pPr>
        <w:pStyle w:val="BodyText"/>
      </w:pPr>
      <w:r>
        <w:t xml:space="preserve">An SLA with tenants is derived from the availability SLO; sustained SLO breach triggers an SLA</w:t>
      </w:r>
      <w:r>
        <w:t xml:space="preserve"> </w:t>
      </w:r>
      <w:r>
        <w:t xml:space="preserve">review.</w:t>
      </w:r>
    </w:p>
    <w:bookmarkEnd w:id="9"/>
    <w:bookmarkStart w:id="10" w:name="signals-monitored"/>
    <w:p>
      <w:pPr>
        <w:pStyle w:val="Heading2"/>
      </w:pPr>
      <w:r>
        <w:t xml:space="preserve">Signals Monitored</w:t>
      </w:r>
    </w:p>
    <w:p>
      <w:pPr>
        <w:pStyle w:val="Compact"/>
        <w:numPr>
          <w:ilvl w:val="0"/>
          <w:numId w:val="1001"/>
        </w:numPr>
      </w:pPr>
      <w:r>
        <w:t xml:space="preserve">Request rate, error rate, and P95 latency per endpoint (from the API audit log and rate limiter).</w:t>
      </w:r>
    </w:p>
    <w:p>
      <w:pPr>
        <w:pStyle w:val="Compact"/>
        <w:numPr>
          <w:ilvl w:val="0"/>
          <w:numId w:val="1001"/>
        </w:numPr>
      </w:pPr>
      <w:r>
        <w:t xml:space="preserve">Per-tenant query-isolation alerts (any query returning foreign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rows raises Sev-1).</w:t>
      </w:r>
    </w:p>
    <w:p>
      <w:pPr>
        <w:pStyle w:val="Compact"/>
        <w:numPr>
          <w:ilvl w:val="0"/>
          <w:numId w:val="1001"/>
        </w:numPr>
      </w:pPr>
      <w:r>
        <w:t xml:space="preserve">Queue depth and age for disbursement and statutory-export workers.</w:t>
      </w:r>
    </w:p>
    <w:p>
      <w:pPr>
        <w:pStyle w:val="Compact"/>
        <w:numPr>
          <w:ilvl w:val="0"/>
          <w:numId w:val="1001"/>
        </w:numPr>
      </w:pPr>
      <w:r>
        <w:t xml:space="preserve">Database replication lag, connection saturation, and slow-query count.</w:t>
      </w:r>
    </w:p>
    <w:bookmarkEnd w:id="10"/>
    <w:bookmarkStart w:id="11" w:name="alerting"/>
    <w:p>
      <w:pPr>
        <w:pStyle w:val="Heading2"/>
      </w:pPr>
      <w:r>
        <w:t xml:space="preserve">Alerting</w:t>
      </w:r>
    </w:p>
    <w:p>
      <w:pPr>
        <w:pStyle w:val="FirstParagraph"/>
      </w:pPr>
      <w:r>
        <w:t xml:space="preserve">Alerts page the on-call engineer per the runbook severity model. SLO burn-rate alerts fire before</w:t>
      </w:r>
      <w:r>
        <w:t xml:space="preserve"> </w:t>
      </w:r>
      <w:r>
        <w:t xml:space="preserve">the monthly budget is exhausted so remediation precedes an SLA breach.</w:t>
      </w:r>
    </w:p>
    <w:bookmarkEnd w:id="11"/>
    <w:bookmarkEnd w:id="12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2026-08-08T22:02:45Z</dcterms:created>
  <dcterms:modified xsi:type="dcterms:W3CDTF">2026-08-08T22:02:45Z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