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Risk Assessment</w:t>
      </w:r>
    </w:p>
    <w:p>
      <w:pPr>
        <w:pStyle w:val="Subtitle"/>
      </w:pPr>
      <w:r>
        <w:t xml:space="preserve">Governance and Compliance — Project and Operational Risk Register</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7" w:name="X23a56154745ee77beabe0e467f928be9373e42b"/>
    <w:p>
      <w:pPr>
        <w:pStyle w:val="Heading1"/>
      </w:pPr>
      <w:r>
        <w:t xml:space="preserve">Risk Assessment — Introduction and Methodology</w:t>
      </w:r>
    </w:p>
    <w:bookmarkStart w:id="9" w:name="Xe94c4103db6bb764aa3b798144b782dac27f424"/>
    <w:p>
      <w:pPr>
        <w:pStyle w:val="Heading2"/>
      </w:pPr>
      <w:r>
        <w:t xml:space="preserve">1.1 Purpose</w:t>
      </w:r>
    </w:p>
    <w:p>
      <w:pPr>
        <w:pStyle w:val="FirstParagraph"/>
      </w:pPr>
      <w:r>
        <w:t xml:space="preserve">This Risk Assessment Register documents all identified risks to the Kraal Code project and platform. It serves as the primary governance artifact for tracking threats to schedule, compliance, data integrity, and commercial viability. Risks are derived from 2 sources:</w:t>
      </w:r>
    </w:p>
    <w:p>
      <w:pPr>
        <w:pStyle w:val="Compact"/>
        <w:numPr>
          <w:ilvl w:val="0"/>
          <w:numId w:val="1001"/>
        </w:numPr>
      </w:pPr>
      <w:r>
        <w:t xml:space="preserve">Open design gaps catalogued in</w:t>
      </w:r>
      <w:r>
        <w:t xml:space="preserve"> </w:t>
      </w:r>
      <w:r>
        <w:rPr>
          <w:rStyle w:val="VerbatimChar"/>
        </w:rPr>
        <w:t xml:space="preserve">_context/gaps.md</w:t>
      </w:r>
      <w:r>
        <w:t xml:space="preserve"> </w:t>
      </w:r>
      <w:r>
        <w:t xml:space="preserve">(RISK-001 through RISK-018).</w:t>
      </w:r>
    </w:p>
    <w:p>
      <w:pPr>
        <w:pStyle w:val="Compact"/>
        <w:numPr>
          <w:ilvl w:val="0"/>
          <w:numId w:val="1001"/>
        </w:numPr>
      </w:pPr>
      <w:r>
        <w:t xml:space="preserve">Operational and strategic risks identified through architecture review (RISK-019 through RISK-024).</w:t>
      </w:r>
    </w:p>
    <w:p>
      <w:pPr>
        <w:pStyle w:val="FirstParagraph"/>
      </w:pPr>
      <w:r>
        <w:t xml:space="preserve">Each risk entry specifies a probability rating, impact rating, composite score, mitigation action, accountable owner, and target resolution date. This register is a living document; the accountable owner must update it when risk status changes.</w:t>
      </w:r>
    </w:p>
    <w:bookmarkEnd w:id="9"/>
    <w:bookmarkStart w:id="10" w:name="Xa2ef7d6137b46fd7650bba15856e1c9dca2c9b2"/>
    <w:p>
      <w:pPr>
        <w:pStyle w:val="Heading2"/>
      </w:pPr>
      <w:r>
        <w:t xml:space="preserve">1.2 Risk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Definition</w:t>
            </w:r>
          </w:p>
        </w:tc>
      </w:tr>
      <w:tr>
        <w:tc>
          <w:tcPr/>
          <w:p>
            <w:pPr>
              <w:pStyle w:val="Compact"/>
            </w:pPr>
            <w:r>
              <w:t xml:space="preserve">Technical</w:t>
            </w:r>
          </w:p>
        </w:tc>
        <w:tc>
          <w:tcPr/>
          <w:p>
            <w:pPr>
              <w:pStyle w:val="Compact"/>
            </w:pPr>
            <w:r>
              <w:t xml:space="preserve">Risks arising from architecture decisions, implementation choices, or software defects.</w:t>
            </w:r>
          </w:p>
        </w:tc>
      </w:tr>
      <w:tr>
        <w:tc>
          <w:tcPr/>
          <w:p>
            <w:pPr>
              <w:pStyle w:val="Compact"/>
            </w:pPr>
            <w:r>
              <w:t xml:space="preserve">Regulatory / Compliance</w:t>
            </w:r>
          </w:p>
        </w:tc>
        <w:tc>
          <w:tcPr/>
          <w:p>
            <w:pPr>
              <w:pStyle w:val="Compact"/>
            </w:pPr>
            <w:r>
              <w:t xml:space="preserve">Risks arising from failure to meet statutory obligations under Ugandan or regional law.</w:t>
            </w:r>
          </w:p>
        </w:tc>
      </w:tr>
      <w:tr>
        <w:tc>
          <w:tcPr/>
          <w:p>
            <w:pPr>
              <w:pStyle w:val="Compact"/>
            </w:pPr>
            <w:r>
              <w:t xml:space="preserve">Integration</w:t>
            </w:r>
          </w:p>
        </w:tc>
        <w:tc>
          <w:tcPr/>
          <w:p>
            <w:pPr>
              <w:pStyle w:val="Compact"/>
            </w:pPr>
            <w:r>
              <w:t xml:space="preserve">Risks arising from dependence on third-party APIs, portals, or external systems.</w:t>
            </w:r>
          </w:p>
        </w:tc>
      </w:tr>
      <w:tr>
        <w:tc>
          <w:tcPr/>
          <w:p>
            <w:pPr>
              <w:pStyle w:val="Compact"/>
            </w:pPr>
            <w:r>
              <w:t xml:space="preserve">Operational</w:t>
            </w:r>
          </w:p>
        </w:tc>
        <w:tc>
          <w:tcPr/>
          <w:p>
            <w:pPr>
              <w:pStyle w:val="Compact"/>
            </w:pPr>
            <w:r>
              <w:t xml:space="preserve">Risks arising from day-to-day system operation, infrastructure, or staffing constraints.</w:t>
            </w:r>
          </w:p>
        </w:tc>
      </w:tr>
      <w:tr>
        <w:tc>
          <w:tcPr/>
          <w:p>
            <w:pPr>
              <w:pStyle w:val="Compact"/>
            </w:pPr>
            <w:r>
              <w:t xml:space="preserve">Strategic</w:t>
            </w:r>
          </w:p>
        </w:tc>
        <w:tc>
          <w:tcPr/>
          <w:p>
            <w:pPr>
              <w:pStyle w:val="Compact"/>
            </w:pPr>
            <w:r>
              <w:t xml:space="preserve">Risks arising from undecided business or product strategy decisions.</w:t>
            </w:r>
          </w:p>
        </w:tc>
      </w:tr>
    </w:tbl>
    <w:bookmarkEnd w:id="10"/>
    <w:bookmarkStart w:id="15" w:name="X1774db3a92d161838f9757c084d5af66f236517"/>
    <w:p>
      <w:pPr>
        <w:pStyle w:val="Heading2"/>
      </w:pPr>
      <w:r>
        <w:t xml:space="preserve">1.3 Risk Scoring Methodology</w:t>
      </w:r>
    </w:p>
    <w:p>
      <w:pPr>
        <w:pStyle w:val="FirstParagraph"/>
      </w:pPr>
      <w:r>
        <w:t xml:space="preserve">Risk is scored using a 3×3 probability-impact matrix. Scores are expressed as integers from 1 (Minimal) to 9 (Critical).</w:t>
      </w:r>
    </w:p>
    <w:bookmarkStart w:id="11" w:name="probability-scale"/>
    <w:p>
      <w:pPr>
        <w:pStyle w:val="Heading3"/>
      </w:pPr>
      <w:r>
        <w:t xml:space="preserve">Probability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Label</w:t>
            </w:r>
          </w:p>
        </w:tc>
        <w:tc>
          <w:tcPr/>
          <w:p>
            <w:pPr>
              <w:pStyle w:val="Compact"/>
            </w:pPr>
            <w:r>
              <w:t xml:space="preserve">Definition</w:t>
            </w:r>
          </w:p>
        </w:tc>
      </w:tr>
      <w:tr>
        <w:tc>
          <w:tcPr/>
          <w:p>
            <w:pPr>
              <w:pStyle w:val="Compact"/>
            </w:pPr>
            <w:r>
              <w:t xml:space="preserve">H</w:t>
            </w:r>
          </w:p>
        </w:tc>
        <w:tc>
          <w:tcPr/>
          <w:p>
            <w:pPr>
              <w:pStyle w:val="Compact"/>
            </w:pPr>
            <w:r>
              <w:t xml:space="preserve">High</w:t>
            </w:r>
          </w:p>
        </w:tc>
        <w:tc>
          <w:tcPr/>
          <w:p>
            <w:pPr>
              <w:pStyle w:val="Compact"/>
            </w:pPr>
            <w:r>
              <w:t xml:space="preserve">The event is likely to occur within the planning horizon (&gt; 60% probability).</w:t>
            </w:r>
          </w:p>
        </w:tc>
      </w:tr>
      <w:tr>
        <w:tc>
          <w:tcPr/>
          <w:p>
            <w:pPr>
              <w:pStyle w:val="Compact"/>
            </w:pPr>
            <w:r>
              <w:t xml:space="preserve">M</w:t>
            </w:r>
          </w:p>
        </w:tc>
        <w:tc>
          <w:tcPr/>
          <w:p>
            <w:pPr>
              <w:pStyle w:val="Compact"/>
            </w:pPr>
            <w:r>
              <w:t xml:space="preserve">Medium</w:t>
            </w:r>
          </w:p>
        </w:tc>
        <w:tc>
          <w:tcPr/>
          <w:p>
            <w:pPr>
              <w:pStyle w:val="Compact"/>
            </w:pPr>
            <w:r>
              <w:t xml:space="preserve">The event may occur (30%–60% probability).</w:t>
            </w:r>
          </w:p>
        </w:tc>
      </w:tr>
      <w:tr>
        <w:tc>
          <w:tcPr/>
          <w:p>
            <w:pPr>
              <w:pStyle w:val="Compact"/>
            </w:pPr>
            <w:r>
              <w:t xml:space="preserve">L</w:t>
            </w:r>
          </w:p>
        </w:tc>
        <w:tc>
          <w:tcPr/>
          <w:p>
            <w:pPr>
              <w:pStyle w:val="Compact"/>
            </w:pPr>
            <w:r>
              <w:t xml:space="preserve">Low</w:t>
            </w:r>
          </w:p>
        </w:tc>
        <w:tc>
          <w:tcPr/>
          <w:p>
            <w:pPr>
              <w:pStyle w:val="Compact"/>
            </w:pPr>
            <w:r>
              <w:t xml:space="preserve">The event is unlikely to occur (&lt; 30% probability).</w:t>
            </w:r>
          </w:p>
        </w:tc>
      </w:tr>
    </w:tbl>
    <w:bookmarkEnd w:id="11"/>
    <w:bookmarkStart w:id="12" w:name="impact-scale"/>
    <w:p>
      <w:pPr>
        <w:pStyle w:val="Heading3"/>
      </w:pPr>
      <w:r>
        <w:t xml:space="preserve">Impact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Label</w:t>
            </w:r>
          </w:p>
        </w:tc>
        <w:tc>
          <w:tcPr/>
          <w:p>
            <w:pPr>
              <w:pStyle w:val="Compact"/>
            </w:pPr>
            <w:r>
              <w:t xml:space="preserve">Definition</w:t>
            </w:r>
          </w:p>
        </w:tc>
      </w:tr>
      <w:tr>
        <w:tc>
          <w:tcPr/>
          <w:p>
            <w:pPr>
              <w:pStyle w:val="Compact"/>
            </w:pPr>
            <w:r>
              <w:t xml:space="preserve">H</w:t>
            </w:r>
          </w:p>
        </w:tc>
        <w:tc>
          <w:tcPr/>
          <w:p>
            <w:pPr>
              <w:pStyle w:val="Compact"/>
            </w:pPr>
            <w:r>
              <w:t xml:space="preserve">High</w:t>
            </w:r>
          </w:p>
        </w:tc>
        <w:tc>
          <w:tcPr/>
          <w:p>
            <w:pPr>
              <w:pStyle w:val="Compact"/>
            </w:pPr>
            <w:r>
              <w:t xml:space="preserve">The event threatens the project, product launch, or legal standing of the company.</w:t>
            </w:r>
          </w:p>
        </w:tc>
      </w:tr>
      <w:tr>
        <w:tc>
          <w:tcPr/>
          <w:p>
            <w:pPr>
              <w:pStyle w:val="Compact"/>
            </w:pPr>
            <w:r>
              <w:t xml:space="preserve">M</w:t>
            </w:r>
          </w:p>
        </w:tc>
        <w:tc>
          <w:tcPr/>
          <w:p>
            <w:pPr>
              <w:pStyle w:val="Compact"/>
            </w:pPr>
            <w:r>
              <w:t xml:space="preserve">Medium</w:t>
            </w:r>
          </w:p>
        </w:tc>
        <w:tc>
          <w:tcPr/>
          <w:p>
            <w:pPr>
              <w:pStyle w:val="Compact"/>
            </w:pPr>
            <w:r>
              <w:t xml:space="preserve">The event causes significant delay (&gt; 2 weeks), cost overrun, or degraded quality.</w:t>
            </w:r>
          </w:p>
        </w:tc>
      </w:tr>
      <w:tr>
        <w:tc>
          <w:tcPr/>
          <w:p>
            <w:pPr>
              <w:pStyle w:val="Compact"/>
            </w:pPr>
            <w:r>
              <w:t xml:space="preserve">L</w:t>
            </w:r>
          </w:p>
        </w:tc>
        <w:tc>
          <w:tcPr/>
          <w:p>
            <w:pPr>
              <w:pStyle w:val="Compact"/>
            </w:pPr>
            <w:r>
              <w:t xml:space="preserve">Low</w:t>
            </w:r>
          </w:p>
        </w:tc>
        <w:tc>
          <w:tcPr/>
          <w:p>
            <w:pPr>
              <w:pStyle w:val="Compact"/>
            </w:pPr>
            <w:r>
              <w:t xml:space="preserve">The event causes minor inconvenience, resolvable within 1 sprint with no external consequence.</w:t>
            </w:r>
          </w:p>
        </w:tc>
      </w:tr>
    </w:tbl>
    <w:bookmarkEnd w:id="12"/>
    <w:bookmarkStart w:id="13" w:name="risk-score-matrix"/>
    <w:p>
      <w:pPr>
        <w:pStyle w:val="Heading3"/>
      </w:pPr>
      <w:r>
        <w:t xml:space="preserve">Risk Score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Impact: H</w:t>
            </w:r>
          </w:p>
        </w:tc>
        <w:tc>
          <w:tcPr/>
          <w:p>
            <w:pPr>
              <w:pStyle w:val="Compact"/>
            </w:pPr>
            <w:r>
              <w:t xml:space="preserve">Impact: M</w:t>
            </w:r>
          </w:p>
        </w:tc>
        <w:tc>
          <w:tcPr/>
          <w:p>
            <w:pPr>
              <w:pStyle w:val="Compact"/>
            </w:pPr>
            <w:r>
              <w:t xml:space="preserve">Impact: L</w:t>
            </w:r>
          </w:p>
        </w:tc>
      </w:tr>
      <w:tr>
        <w:tc>
          <w:tcPr/>
          <w:p>
            <w:pPr>
              <w:pStyle w:val="Compact"/>
            </w:pPr>
            <w:r>
              <w:rPr>
                <w:b/>
                <w:bCs/>
              </w:rPr>
              <w:t xml:space="preserve">Prob: H</w:t>
            </w:r>
          </w:p>
        </w:tc>
        <w:tc>
          <w:tcPr/>
          <w:p>
            <w:pPr>
              <w:pStyle w:val="Compact"/>
            </w:pPr>
            <w:r>
              <w:t xml:space="preserve">Critical (9)</w:t>
            </w:r>
          </w:p>
        </w:tc>
        <w:tc>
          <w:tcPr/>
          <w:p>
            <w:pPr>
              <w:pStyle w:val="Compact"/>
            </w:pPr>
            <w:r>
              <w:t xml:space="preserve">High (6)</w:t>
            </w:r>
          </w:p>
        </w:tc>
        <w:tc>
          <w:tcPr/>
          <w:p>
            <w:pPr>
              <w:pStyle w:val="Compact"/>
            </w:pPr>
            <w:r>
              <w:t xml:space="preserve">Medium (4)</w:t>
            </w:r>
          </w:p>
        </w:tc>
      </w:tr>
      <w:tr>
        <w:tc>
          <w:tcPr/>
          <w:p>
            <w:pPr>
              <w:pStyle w:val="Compact"/>
            </w:pPr>
            <w:r>
              <w:rPr>
                <w:b/>
                <w:bCs/>
              </w:rPr>
              <w:t xml:space="preserve">Prob: M</w:t>
            </w:r>
          </w:p>
        </w:tc>
        <w:tc>
          <w:tcPr/>
          <w:p>
            <w:pPr>
              <w:pStyle w:val="Compact"/>
            </w:pPr>
            <w:r>
              <w:t xml:space="preserve">High (6)</w:t>
            </w:r>
          </w:p>
        </w:tc>
        <w:tc>
          <w:tcPr/>
          <w:p>
            <w:pPr>
              <w:pStyle w:val="Compact"/>
            </w:pPr>
            <w:r>
              <w:t xml:space="preserve">Medium (4)</w:t>
            </w:r>
          </w:p>
        </w:tc>
        <w:tc>
          <w:tcPr/>
          <w:p>
            <w:pPr>
              <w:pStyle w:val="Compact"/>
            </w:pPr>
            <w:r>
              <w:t xml:space="preserve">Low (2)</w:t>
            </w:r>
          </w:p>
        </w:tc>
      </w:tr>
      <w:tr>
        <w:tc>
          <w:tcPr/>
          <w:p>
            <w:pPr>
              <w:pStyle w:val="Compact"/>
            </w:pPr>
            <w:r>
              <w:rPr>
                <w:b/>
                <w:bCs/>
              </w:rPr>
              <w:t xml:space="preserve">Prob: L</w:t>
            </w:r>
          </w:p>
        </w:tc>
        <w:tc>
          <w:tcPr/>
          <w:p>
            <w:pPr>
              <w:pStyle w:val="Compact"/>
            </w:pPr>
            <w:r>
              <w:t xml:space="preserve">Medium (4)</w:t>
            </w:r>
          </w:p>
        </w:tc>
        <w:tc>
          <w:tcPr/>
          <w:p>
            <w:pPr>
              <w:pStyle w:val="Compact"/>
            </w:pPr>
            <w:r>
              <w:t xml:space="preserve">Low (2)</w:t>
            </w:r>
          </w:p>
        </w:tc>
        <w:tc>
          <w:tcPr/>
          <w:p>
            <w:pPr>
              <w:pStyle w:val="Compact"/>
            </w:pPr>
            <w:r>
              <w:t xml:space="preserve">Minimal (1)</w:t>
            </w:r>
          </w:p>
        </w:tc>
      </w:tr>
    </w:tbl>
    <w:bookmarkEnd w:id="13"/>
    <w:bookmarkStart w:id="14" w:name="score-labels"/>
    <w:p>
      <w:pPr>
        <w:pStyle w:val="Heading3"/>
      </w:pPr>
      <w:r>
        <w:t xml:space="preserve">Score Labels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Label</w:t>
            </w:r>
          </w:p>
        </w:tc>
      </w:tr>
      <w:tr>
        <w:tc>
          <w:tcPr/>
          <w:p>
            <w:pPr>
              <w:pStyle w:val="Compact"/>
            </w:pPr>
            <w:r>
              <w:t xml:space="preserve">9</w:t>
            </w:r>
          </w:p>
        </w:tc>
        <w:tc>
          <w:tcPr/>
          <w:p>
            <w:pPr>
              <w:pStyle w:val="Compact"/>
            </w:pPr>
            <w:r>
              <w:t xml:space="preserve">Critical — immediate action required; blocks delivery</w:t>
            </w:r>
          </w:p>
        </w:tc>
      </w:tr>
      <w:tr>
        <w:tc>
          <w:tcPr/>
          <w:p>
            <w:pPr>
              <w:pStyle w:val="Compact"/>
            </w:pPr>
            <w:r>
              <w:t xml:space="preserve">6</w:t>
            </w:r>
          </w:p>
        </w:tc>
        <w:tc>
          <w:tcPr/>
          <w:p>
            <w:pPr>
              <w:pStyle w:val="Compact"/>
            </w:pPr>
            <w:r>
              <w:t xml:space="preserve">High — action required within current sprint</w:t>
            </w:r>
          </w:p>
        </w:tc>
      </w:tr>
      <w:tr>
        <w:tc>
          <w:tcPr/>
          <w:p>
            <w:pPr>
              <w:pStyle w:val="Compact"/>
            </w:pPr>
            <w:r>
              <w:t xml:space="preserve">4–5</w:t>
            </w:r>
          </w:p>
        </w:tc>
        <w:tc>
          <w:tcPr/>
          <w:p>
            <w:pPr>
              <w:pStyle w:val="Compact"/>
            </w:pPr>
            <w:r>
              <w:t xml:space="preserve">Medium — action required within current phase</w:t>
            </w:r>
          </w:p>
        </w:tc>
      </w:tr>
      <w:tr>
        <w:tc>
          <w:tcPr/>
          <w:p>
            <w:pPr>
              <w:pStyle w:val="Compact"/>
            </w:pPr>
            <w:r>
              <w:t xml:space="preserve">2–3</w:t>
            </w:r>
          </w:p>
        </w:tc>
        <w:tc>
          <w:tcPr/>
          <w:p>
            <w:pPr>
              <w:pStyle w:val="Compact"/>
            </w:pPr>
            <w:r>
              <w:t xml:space="preserve">Low — schedule for resolution before next phase</w:t>
            </w:r>
          </w:p>
        </w:tc>
      </w:tr>
      <w:tr>
        <w:tc>
          <w:tcPr/>
          <w:p>
            <w:pPr>
              <w:pStyle w:val="Compact"/>
            </w:pPr>
            <w:r>
              <w:t xml:space="preserve">1</w:t>
            </w:r>
          </w:p>
        </w:tc>
        <w:tc>
          <w:tcPr/>
          <w:p>
            <w:pPr>
              <w:pStyle w:val="Compact"/>
            </w:pPr>
            <w:r>
              <w:t xml:space="preserve">Minimal — monitor; no immediate action required</w:t>
            </w:r>
          </w:p>
        </w:tc>
      </w:tr>
    </w:tbl>
    <w:bookmarkEnd w:id="14"/>
    <w:bookmarkEnd w:id="15"/>
    <w:bookmarkStart w:id="16" w:name="X284e97d1cd7ecc0c1837a0e0f8897e12cbfc4b2"/>
    <w:p>
      <w:pPr>
        <w:pStyle w:val="Heading2"/>
      </w:pPr>
      <w:r>
        <w:t xml:space="preserve">1.4 Review Cadence</w:t>
      </w:r>
    </w:p>
    <w:p>
      <w:pPr>
        <w:pStyle w:val="Compact"/>
        <w:numPr>
          <w:ilvl w:val="0"/>
          <w:numId w:val="1002"/>
        </w:numPr>
      </w:pPr>
      <w:r>
        <w:rPr>
          <w:b/>
          <w:bCs/>
        </w:rPr>
        <w:t xml:space="preserve">Quarterly review:</w:t>
      </w:r>
      <w:r>
        <w:t xml:space="preserve"> </w:t>
      </w:r>
      <w:r>
        <w:t xml:space="preserve">The full register must be reviewed every 3 months. Outdated mitigations or resolved risks must be updated.</w:t>
      </w:r>
    </w:p>
    <w:p>
      <w:pPr>
        <w:pStyle w:val="Compact"/>
        <w:numPr>
          <w:ilvl w:val="0"/>
          <w:numId w:val="1002"/>
        </w:numPr>
      </w:pPr>
      <w:r>
        <w:rPr>
          <w:b/>
          <w:bCs/>
        </w:rPr>
        <w:t xml:space="preserve">Immediate update:</w:t>
      </w:r>
      <w:r>
        <w:t xml:space="preserve"> </w:t>
      </w:r>
      <w:r>
        <w:t xml:space="preserve">When a risk status changes (resolved, escalated, or new risk identified), the register must be updated within 2 business days.</w:t>
      </w:r>
    </w:p>
    <w:p>
      <w:pPr>
        <w:pStyle w:val="Compact"/>
        <w:numPr>
          <w:ilvl w:val="0"/>
          <w:numId w:val="1002"/>
        </w:numPr>
      </w:pPr>
      <w:r>
        <w:rPr>
          <w:b/>
          <w:bCs/>
        </w:rPr>
        <w:t xml:space="preserve">Pre-phase gate:</w:t>
      </w:r>
      <w:r>
        <w:t xml:space="preserve"> </w:t>
      </w:r>
      <w:r>
        <w:t xml:space="preserve">All Critical and High risks must be reviewed and either mitigated or formally accepted before a new delivery phase begins.</w:t>
      </w:r>
    </w:p>
    <w:p>
      <w:pPr>
        <w:pStyle w:val="Compact"/>
        <w:numPr>
          <w:ilvl w:val="0"/>
          <w:numId w:val="1002"/>
        </w:numPr>
      </w:pPr>
      <w:r>
        <w:rPr>
          <w:b/>
          <w:bCs/>
        </w:rPr>
        <w:t xml:space="preserve">Responsible party:</w:t>
      </w:r>
      <w:r>
        <w:t xml:space="preserve"> </w:t>
      </w:r>
      <w:r>
        <w:t xml:space="preserve">Peter Bamuhigire (Chwezi Core Systems) until a second developer is onboarded (see RISK-024).</w:t>
      </w:r>
    </w:p>
    <w:bookmarkEnd w:id="16"/>
    <w:bookmarkEnd w:id="17"/>
    <w:bookmarkStart w:id="19" w:name="X2bca7dc58e5d31cdd6ea04a76049b3a2ff82589"/>
    <w:p>
      <w:pPr>
        <w:pStyle w:val="Heading1"/>
      </w:pPr>
      <w:r>
        <w:t xml:space="preserve">Gap-Derived Risk Register (RISK-001 – RISK-018)</w:t>
      </w:r>
    </w:p>
    <w:p>
      <w:pPr>
        <w:pStyle w:val="FirstParagraph"/>
      </w:pPr>
      <w:r>
        <w:t xml:space="preserve">Each entry below corresponds directly to an open design gap in</w:t>
      </w:r>
      <w:r>
        <w:t xml:space="preserve"> </w:t>
      </w:r>
      <w:r>
        <w:rPr>
          <w:rStyle w:val="VerbatimChar"/>
        </w:rPr>
        <w:t xml:space="preserve">_context/gaps.md</w:t>
      </w:r>
      <w:r>
        <w:t xml:space="preserve">. Resolving the underlying gap closes or reduces the associated risk.</w:t>
      </w:r>
    </w:p>
    <w:bookmarkStart w:id="18" w:name="X084d56c7adb6dd54d816d7d4942c7f264341e5e"/>
    <w:p>
      <w:pPr>
        <w:pStyle w:val="Heading2"/>
      </w:pPr>
      <w:r>
        <w:t xml:space="preserve">2.1 Risk Entries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Risk ID</w:t>
            </w:r>
          </w:p>
        </w:tc>
        <w:tc>
          <w:tcPr/>
          <w:p>
            <w:pPr>
              <w:pStyle w:val="Compact"/>
            </w:pPr>
            <w:r>
              <w:t xml:space="preserve">Source</w:t>
            </w:r>
          </w:p>
        </w:tc>
        <w:tc>
          <w:tcPr/>
          <w:p>
            <w:pPr>
              <w:pStyle w:val="Compact"/>
            </w:pPr>
            <w:r>
              <w:t xml:space="preserve">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Score</w:t>
            </w:r>
          </w:p>
        </w:tc>
        <w:tc>
          <w:tcPr/>
          <w:p>
            <w:pPr>
              <w:pStyle w:val="Compact"/>
            </w:pPr>
            <w:r>
              <w:t xml:space="preserve">Mitigation</w:t>
            </w:r>
          </w:p>
        </w:tc>
        <w:tc>
          <w:tcPr/>
          <w:p>
            <w:pPr>
              <w:pStyle w:val="Compact"/>
            </w:pPr>
            <w:r>
              <w:t xml:space="preserve">Owner</w:t>
            </w:r>
          </w:p>
        </w:tc>
        <w:tc>
          <w:tcPr/>
          <w:p>
            <w:pPr>
              <w:pStyle w:val="Compact"/>
            </w:pPr>
            <w:r>
              <w:t xml:space="preserve">Target Date</w:t>
            </w:r>
          </w:p>
        </w:tc>
      </w:tr>
      <w:tr>
        <w:tc>
          <w:tcPr/>
          <w:p>
            <w:pPr>
              <w:pStyle w:val="Compact"/>
            </w:pPr>
            <w:r>
              <w:t xml:space="preserve">RISK-001</w:t>
            </w:r>
          </w:p>
        </w:tc>
        <w:tc>
          <w:tcPr/>
          <w:p>
            <w:pPr>
              <w:pStyle w:val="Compact"/>
            </w:pPr>
            <w:r>
              <w:t xml:space="preserve">GAP-001</w:t>
            </w:r>
          </w:p>
        </w:tc>
        <w:tc>
          <w:tcPr/>
          <w:p>
            <w:pPr>
              <w:pStyle w:val="Compact"/>
            </w:pPr>
            <w:r>
              <w:t xml:space="preserve">URA EFRIS API specification and sandbox credentials are not yet obtained. Without them, invoice submission behaviour for the Sales and Accounting modules cannot be specified or tested. Delay blocks Phase 1 go-live.</w:t>
            </w:r>
          </w:p>
        </w:tc>
        <w:tc>
          <w:tcPr/>
          <w:p>
            <w:pPr>
              <w:pStyle w:val="Compact"/>
            </w:pPr>
            <w:r>
              <w:t xml:space="preserve">Integration</w:t>
            </w:r>
          </w:p>
        </w:tc>
        <w:tc>
          <w:tcPr/>
          <w:p>
            <w:pPr>
              <w:pStyle w:val="Compact"/>
            </w:pPr>
            <w:r>
              <w:t xml:space="preserve">H</w:t>
            </w:r>
          </w:p>
        </w:tc>
        <w:tc>
          <w:tcPr/>
          <w:p>
            <w:pPr>
              <w:pStyle w:val="Compact"/>
            </w:pPr>
            <w:r>
              <w:t xml:space="preserve">H</w:t>
            </w:r>
          </w:p>
        </w:tc>
        <w:tc>
          <w:tcPr/>
          <w:p>
            <w:pPr>
              <w:pStyle w:val="Compact"/>
            </w:pPr>
            <w:r>
              <w:rPr>
                <w:b/>
                <w:bCs/>
              </w:rPr>
              <w:t xml:space="preserve">Critical (9)</w:t>
            </w:r>
          </w:p>
        </w:tc>
        <w:tc>
          <w:tcPr/>
          <w:p>
            <w:pPr>
              <w:pStyle w:val="Compact"/>
            </w:pPr>
            <w:r>
              <w:t xml:space="preserve">Contact</w:t>
            </w:r>
            <w:r>
              <w:t xml:space="preserve"> </w:t>
            </w:r>
            <w:r>
              <w:rPr>
                <w:rStyle w:val="VerbatimChar"/>
              </w:rPr>
              <w:t xml:space="preserve">efris@ura.go.ug</w:t>
            </w:r>
            <w:r>
              <w:t xml:space="preserve"> </w:t>
            </w:r>
            <w:r>
              <w:t xml:space="preserve">immediately to obtain API spec and sandbox credentials. Block Phase 1 SRS finalisation for Sales and Accounting until credentials are confirmed. Assign a hard deadline of 2026-05-01 for credential receipt; escalate to URA relationship manager if unanswered after 10 business days.</w:t>
            </w:r>
          </w:p>
        </w:tc>
        <w:tc>
          <w:tcPr/>
          <w:p>
            <w:pPr>
              <w:pStyle w:val="Compact"/>
            </w:pPr>
            <w:r>
              <w:t xml:space="preserve">Peter Bamuhigire</w:t>
            </w:r>
          </w:p>
        </w:tc>
        <w:tc>
          <w:tcPr/>
          <w:p>
            <w:pPr>
              <w:pStyle w:val="Compact"/>
            </w:pPr>
            <w:r>
              <w:t xml:space="preserve">2026-05-01</w:t>
            </w:r>
          </w:p>
        </w:tc>
      </w:tr>
      <w:tr>
        <w:tc>
          <w:tcPr/>
          <w:p>
            <w:pPr>
              <w:pStyle w:val="Compact"/>
            </w:pPr>
            <w:r>
              <w:t xml:space="preserve">RISK-002</w:t>
            </w:r>
          </w:p>
        </w:tc>
        <w:tc>
          <w:tcPr/>
          <w:p>
            <w:pPr>
              <w:pStyle w:val="Compact"/>
            </w:pPr>
            <w:r>
              <w:t xml:space="preserve">GAP-002</w:t>
            </w:r>
          </w:p>
        </w:tc>
        <w:tc>
          <w:tcPr/>
          <w:p>
            <w:pPr>
              <w:pStyle w:val="Compact"/>
            </w:pPr>
            <w:r>
              <w:t xml:space="preserve">URA PAYE and VAT return formats change without formal notice. Graduated PAYE band thresholds for the current Finance Act are unconfirmed. If the system generates returns using outdated thresholds, tenants face statutory non-compliance penalties.</w:t>
            </w:r>
          </w:p>
        </w:tc>
        <w:tc>
          <w:tcPr/>
          <w:p>
            <w:pPr>
              <w:pStyle w:val="Compact"/>
            </w:pPr>
            <w:r>
              <w:t xml:space="preserve">Regulatory</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Download current PAYE band thresholds from the URA portal; encode as configuration constants, not hardcoded values. Implement an annual threshold-review workflow triggered on July 1 each year (Uganda financial year start). Flag threshold source and version in</w:t>
            </w:r>
            <w:r>
              <w:t xml:space="preserve"> </w:t>
            </w:r>
            <w:r>
              <w:rPr>
                <w:rStyle w:val="VerbatimChar"/>
              </w:rPr>
              <w:t xml:space="preserve">_context/gaps.md</w:t>
            </w:r>
            <w:r>
              <w:t xml:space="preserve"> </w:t>
            </w:r>
            <w:r>
              <w:t xml:space="preserve">when resolved.</w:t>
            </w:r>
          </w:p>
        </w:tc>
        <w:tc>
          <w:tcPr/>
          <w:p>
            <w:pPr>
              <w:pStyle w:val="Compact"/>
            </w:pPr>
            <w:r>
              <w:t xml:space="preserve">Peter Bamuhigire</w:t>
            </w:r>
          </w:p>
        </w:tc>
        <w:tc>
          <w:tcPr/>
          <w:p>
            <w:pPr>
              <w:pStyle w:val="Compact"/>
            </w:pPr>
            <w:r>
              <w:t xml:space="preserve">2026-05-15</w:t>
            </w:r>
          </w:p>
        </w:tc>
      </w:tr>
      <w:tr>
        <w:tc>
          <w:tcPr/>
          <w:p>
            <w:pPr>
              <w:pStyle w:val="Compact"/>
            </w:pPr>
            <w:r>
              <w:t xml:space="preserve">RISK-003</w:t>
            </w:r>
          </w:p>
        </w:tc>
        <w:tc>
          <w:tcPr/>
          <w:p>
            <w:pPr>
              <w:pStyle w:val="Compact"/>
            </w:pPr>
            <w:r>
              <w:t xml:space="preserve">GAP-003</w:t>
            </w:r>
          </w:p>
        </w:tc>
        <w:tc>
          <w:tcPr/>
          <w:p>
            <w:pPr>
              <w:pStyle w:val="Compact"/>
            </w:pPr>
            <w:r>
              <w:t xml:space="preserve">NSSF Uganda employer portal upload format is unconfirmed. An incorrect format causes payroll schedule export failures, requiring manual rework and potential penalty interest.</w:t>
            </w:r>
          </w:p>
        </w:tc>
        <w:tc>
          <w:tcPr/>
          <w:p>
            <w:pPr>
              <w:pStyle w:val="Compact"/>
            </w:pPr>
            <w:r>
              <w:t xml:space="preserve">Regulatory</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Register on the NSSF employer portal; download the current upload specification. Implement the export format in the HR &amp; Payroll module as a named formatter class so it can be swapped when the format changes without touching business logic.</w:t>
            </w:r>
          </w:p>
        </w:tc>
        <w:tc>
          <w:tcPr/>
          <w:p>
            <w:pPr>
              <w:pStyle w:val="Compact"/>
            </w:pPr>
            <w:r>
              <w:t xml:space="preserve">Peter Bamuhigire</w:t>
            </w:r>
          </w:p>
        </w:tc>
        <w:tc>
          <w:tcPr/>
          <w:p>
            <w:pPr>
              <w:pStyle w:val="Compact"/>
            </w:pPr>
            <w:r>
              <w:t xml:space="preserve">2026-05-30</w:t>
            </w:r>
          </w:p>
        </w:tc>
      </w:tr>
      <w:tr>
        <w:tc>
          <w:tcPr/>
          <w:p>
            <w:pPr>
              <w:pStyle w:val="Compact"/>
            </w:pPr>
            <w:r>
              <w:t xml:space="preserve">RISK-004</w:t>
            </w:r>
          </w:p>
        </w:tc>
        <w:tc>
          <w:tcPr/>
          <w:p>
            <w:pPr>
              <w:pStyle w:val="Compact"/>
            </w:pPr>
            <w:r>
              <w:t xml:space="preserve">GAP-004</w:t>
            </w:r>
          </w:p>
        </w:tc>
        <w:tc>
          <w:tcPr/>
          <w:p>
            <w:pPr>
              <w:pStyle w:val="Compact"/>
            </w:pPr>
            <w:r>
              <w:t xml:space="preserve">Multi-tenancy</w:t>
            </w:r>
            <w:r>
              <w:t xml:space="preserve"> </w:t>
            </w:r>
            <w:r>
              <w:rPr>
                <w:rStyle w:val="VerbatimChar"/>
              </w:rPr>
              <w:t xml:space="preserve">tenant_id</w:t>
            </w:r>
            <w:r>
              <w:t xml:space="preserve"> </w:t>
            </w:r>
            <w:r>
              <w:t xml:space="preserve">enforcement has not undergone independent security review. A missed WHERE clause predicate or missing scope guard could expose one tenant's data to another.</w:t>
            </w:r>
          </w:p>
        </w:tc>
        <w:tc>
          <w:tcPr/>
          <w:p>
            <w:pPr>
              <w:pStyle w:val="Compact"/>
            </w:pPr>
            <w:r>
              <w:t xml:space="preserve">Technical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Commission an independent code review of all database query paths before the first tenant is onboarded. Enforce</w:t>
            </w:r>
            <w:r>
              <w:t xml:space="preserve"> </w:t>
            </w:r>
            <w:r>
              <w:rPr>
                <w:rStyle w:val="VerbatimChar"/>
              </w:rPr>
              <w:t xml:space="preserve">tenant_id</w:t>
            </w:r>
            <w:r>
              <w:t xml:space="preserve"> </w:t>
            </w:r>
            <w:r>
              <w:t xml:space="preserve">as a mandatory WHERE clause parameter via a PHPStan custom rule at level 8 that fails the build if a query touches a tenanted table without a</w:t>
            </w:r>
            <w:r>
              <w:t xml:space="preserve"> </w:t>
            </w:r>
            <w:r>
              <w:rPr>
                <w:rStyle w:val="VerbatimChar"/>
              </w:rPr>
              <w:t xml:space="preserve">tenant_id</w:t>
            </w:r>
            <w:r>
              <w:t xml:space="preserve"> </w:t>
            </w:r>
            <w:r>
              <w:t xml:space="preserve">constraint. Maintain a sign-off checklist in</w:t>
            </w:r>
            <w:r>
              <w:t xml:space="preserve"> </w:t>
            </w:r>
            <w:r>
              <w:rPr>
                <w:rStyle w:val="VerbatimChar"/>
              </w:rPr>
              <w:t xml:space="preserve">09-governance-compliance/03-compliance</w:t>
            </w:r>
            <w:r>
              <w:t xml:space="preserve">.</w:t>
            </w:r>
          </w:p>
        </w:tc>
        <w:tc>
          <w:tcPr/>
          <w:p>
            <w:pPr>
              <w:pStyle w:val="Compact"/>
            </w:pPr>
            <w:r>
              <w:t xml:space="preserve">Peter Bamuhigire</w:t>
            </w:r>
          </w:p>
        </w:tc>
        <w:tc>
          <w:tcPr/>
          <w:p>
            <w:pPr>
              <w:pStyle w:val="Compact"/>
            </w:pPr>
            <w:r>
              <w:t xml:space="preserve">2026-06-01</w:t>
            </w:r>
          </w:p>
        </w:tc>
      </w:tr>
      <w:tr>
        <w:tc>
          <w:tcPr/>
          <w:p>
            <w:pPr>
              <w:pStyle w:val="Compact"/>
            </w:pPr>
            <w:r>
              <w:t xml:space="preserve">RISK-005</w:t>
            </w:r>
          </w:p>
        </w:tc>
        <w:tc>
          <w:tcPr/>
          <w:p>
            <w:pPr>
              <w:pStyle w:val="Compact"/>
            </w:pPr>
            <w:r>
              <w:t xml:space="preserve">GAP-005</w:t>
            </w:r>
          </w:p>
        </w:tc>
        <w:tc>
          <w:tcPr/>
          <w:p>
            <w:pPr>
              <w:pStyle w:val="Compact"/>
            </w:pPr>
            <w:r>
              <w:t xml:space="preserve">No formal module dependency graph exists. Activating a module without its prerequisite (e.g., Manufacturing without Advanced Inventory) produces undefined runtime behaviour and inconsistent data states.</w:t>
            </w:r>
          </w:p>
        </w:tc>
        <w:tc>
          <w:tcPr/>
          <w:p>
            <w:pPr>
              <w:pStyle w:val="Compact"/>
            </w:pPr>
            <w:r>
              <w:t xml:space="preserve">Technical</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Document all inter-module dependencies as a directed acyclic graph before module activation logic is coded. Implement a dependency resolver in the module activation service that throws a</w:t>
            </w:r>
            <w:r>
              <w:t xml:space="preserve"> </w:t>
            </w:r>
            <w:r>
              <w:rPr>
                <w:rStyle w:val="VerbatimChar"/>
              </w:rPr>
              <w:t xml:space="preserve">ModuleDependencyException</w:t>
            </w:r>
            <w:r>
              <w:t xml:space="preserve"> </w:t>
            </w:r>
            <w:r>
              <w:t xml:space="preserve">if a prerequisite is not active. Include a dependency matrix in the SRS: Platform document.</w:t>
            </w:r>
          </w:p>
        </w:tc>
        <w:tc>
          <w:tcPr/>
          <w:p>
            <w:pPr>
              <w:pStyle w:val="Compact"/>
            </w:pPr>
            <w:r>
              <w:t xml:space="preserve">Peter Bamuhigire</w:t>
            </w:r>
          </w:p>
        </w:tc>
        <w:tc>
          <w:tcPr/>
          <w:p>
            <w:pPr>
              <w:pStyle w:val="Compact"/>
            </w:pPr>
            <w:r>
              <w:t xml:space="preserve">2026-05-30</w:t>
            </w:r>
          </w:p>
        </w:tc>
      </w:tr>
      <w:tr>
        <w:tc>
          <w:tcPr/>
          <w:p>
            <w:pPr>
              <w:pStyle w:val="Compact"/>
            </w:pPr>
            <w:r>
              <w:t xml:space="preserve">RISK-006</w:t>
            </w:r>
          </w:p>
        </w:tc>
        <w:tc>
          <w:tcPr/>
          <w:p>
            <w:pPr>
              <w:pStyle w:val="Compact"/>
            </w:pPr>
            <w:r>
              <w:t xml:space="preserve">GAP-006</w:t>
            </w:r>
          </w:p>
        </w:tc>
        <w:tc>
          <w:tcPr/>
          <w:p>
            <w:pPr>
              <w:pStyle w:val="Compact"/>
            </w:pPr>
            <w:r>
              <w:t xml:space="preserve">PPDA micro/small/large procurement threshold amounts are unverified. Hardcoding incorrect thresholds causes approval workflows to bypass legally required approval tiers, creating audit exposure for public-sector tenants.</w:t>
            </w:r>
          </w:p>
        </w:tc>
        <w:tc>
          <w:tcPr/>
          <w:p>
            <w:pPr>
              <w:pStyle w:val="Compact"/>
            </w:pPr>
            <w:r>
              <w:t xml:space="preserve">Regulatory</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Verify current thresholds on the PPDA Uganda website before the Procurement module SRS is finalised. Store thresholds as named configuration constants (</w:t>
            </w:r>
            <w:r>
              <w:rPr>
                <w:rStyle w:val="VerbatimChar"/>
              </w:rPr>
              <w:t xml:space="preserve">PPDA_MICRO_LIMIT</w:t>
            </w:r>
            <w:r>
              <w:t xml:space="preserve">,</w:t>
            </w:r>
            <w:r>
              <w:t xml:space="preserve"> </w:t>
            </w:r>
            <w:r>
              <w:rPr>
                <w:rStyle w:val="VerbatimChar"/>
              </w:rPr>
              <w:t xml:space="preserve">PPDA_SMALL_LIMIT</w:t>
            </w:r>
            <w:r>
              <w:t xml:space="preserve">) with the source URL and effective date recorded in</w:t>
            </w:r>
            <w:r>
              <w:t xml:space="preserve"> </w:t>
            </w:r>
            <w:r>
              <w:rPr>
                <w:rStyle w:val="VerbatimChar"/>
              </w:rPr>
              <w:t xml:space="preserve">_context/gaps.md</w:t>
            </w:r>
            <w:r>
              <w:t xml:space="preserve">.</w:t>
            </w:r>
          </w:p>
        </w:tc>
        <w:tc>
          <w:tcPr/>
          <w:p>
            <w:pPr>
              <w:pStyle w:val="Compact"/>
            </w:pPr>
            <w:r>
              <w:t xml:space="preserve">Peter Bamuhigire</w:t>
            </w:r>
          </w:p>
        </w:tc>
        <w:tc>
          <w:tcPr/>
          <w:p>
            <w:pPr>
              <w:pStyle w:val="Compact"/>
            </w:pPr>
            <w:r>
              <w:t xml:space="preserve">2026-07-01</w:t>
            </w:r>
          </w:p>
        </w:tc>
      </w:tr>
      <w:tr>
        <w:tc>
          <w:tcPr/>
          <w:p>
            <w:pPr>
              <w:pStyle w:val="Compact"/>
            </w:pPr>
            <w:r>
              <w:t xml:space="preserve">RISK-007</w:t>
            </w:r>
          </w:p>
        </w:tc>
        <w:tc>
          <w:tcPr/>
          <w:p>
            <w:pPr>
              <w:pStyle w:val="Compact"/>
            </w:pPr>
            <w:r>
              <w:t xml:space="preserve">GAP-007</w:t>
            </w:r>
          </w:p>
        </w:tc>
        <w:tc>
          <w:tcPr/>
          <w:p>
            <w:pPr>
              <w:pStyle w:val="Compact"/>
            </w:pPr>
            <w:r>
              <w:t xml:space="preserve">Legal review of the Uganda Data Protection and Privacy Act 2019 has not been commissioned. Without it, HR &amp; Payroll data retention schedules, employee access rights, and consent workflows may be non-compliant, exposing the company to regulatory investigation.</w:t>
            </w:r>
          </w:p>
        </w:tc>
        <w:tc>
          <w:tcPr/>
          <w:p>
            <w:pPr>
              <w:pStyle w:val="Compact"/>
            </w:pPr>
            <w:r>
              <w:t xml:space="preserve">Regulatory</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Commission a qualified Ugandan legal practitioner to review data retention obligations, sub-processor contracts, and consent requirements for medical and financial HR data. Incorporate findings into the HR &amp; Payroll SRS and the compliance checklist at</w:t>
            </w:r>
            <w:r>
              <w:t xml:space="preserve"> </w:t>
            </w:r>
            <w:r>
              <w:rPr>
                <w:rStyle w:val="VerbatimChar"/>
              </w:rPr>
              <w:t xml:space="preserve">09-governance-compliance/03-compliance</w:t>
            </w:r>
            <w:r>
              <w:t xml:space="preserve">. Target completion before the HR module is code-complete.</w:t>
            </w:r>
          </w:p>
        </w:tc>
        <w:tc>
          <w:tcPr/>
          <w:p>
            <w:pPr>
              <w:pStyle w:val="Compact"/>
            </w:pPr>
            <w:r>
              <w:t xml:space="preserve">Peter Bamuhigire</w:t>
            </w:r>
          </w:p>
        </w:tc>
        <w:tc>
          <w:tcPr/>
          <w:p>
            <w:pPr>
              <w:pStyle w:val="Compact"/>
            </w:pPr>
            <w:r>
              <w:t xml:space="preserve">2026-06-15</w:t>
            </w:r>
          </w:p>
        </w:tc>
      </w:tr>
      <w:tr>
        <w:tc>
          <w:tcPr/>
          <w:p>
            <w:pPr>
              <w:pStyle w:val="Compact"/>
            </w:pPr>
            <w:r>
              <w:t xml:space="preserve">RISK-008</w:t>
            </w:r>
          </w:p>
        </w:tc>
        <w:tc>
          <w:tcPr/>
          <w:p>
            <w:pPr>
              <w:pStyle w:val="Compact"/>
            </w:pPr>
            <w:r>
              <w:t xml:space="preserve">GAP-008</w:t>
            </w:r>
          </w:p>
        </w:tc>
        <w:tc>
          <w:tcPr/>
          <w:p>
            <w:pPr>
              <w:pStyle w:val="Compact"/>
            </w:pPr>
            <w:r>
              <w:t xml:space="preserve">Accounting period close behaviour — late-arriving transactions, reversals, and year-end GL entries — is unspecified. An under-specified close procedure produces non-auditable financial statements, failing IFRS and statutory audit requirements.</w:t>
            </w:r>
          </w:p>
        </w:tc>
        <w:tc>
          <w:tcPr/>
          <w:p>
            <w:pPr>
              <w:pStyle w:val="Compact"/>
            </w:pPr>
            <w:r>
              <w:t xml:space="preserve">Technical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Engage an IFRS-qualified accountant to define: the maximum number of days a period remains open after nominal close date, the reversal mechanism for transactions posted after close, and the year-end retained-earnings entry sequence. Document the rules as a formal state machine in the SRS: Accounting &amp; GL before any GL code is written.</w:t>
            </w:r>
          </w:p>
        </w:tc>
        <w:tc>
          <w:tcPr/>
          <w:p>
            <w:pPr>
              <w:pStyle w:val="Compact"/>
            </w:pPr>
            <w:r>
              <w:t xml:space="preserve">Peter Bamuhigire</w:t>
            </w:r>
          </w:p>
        </w:tc>
        <w:tc>
          <w:tcPr/>
          <w:p>
            <w:pPr>
              <w:pStyle w:val="Compact"/>
            </w:pPr>
            <w:r>
              <w:t xml:space="preserve">2026-06-01</w:t>
            </w:r>
          </w:p>
        </w:tc>
      </w:tr>
      <w:tr>
        <w:tc>
          <w:tcPr/>
          <w:p>
            <w:pPr>
              <w:pStyle w:val="Compact"/>
            </w:pPr>
            <w:r>
              <w:t xml:space="preserve">RISK-009</w:t>
            </w:r>
          </w:p>
        </w:tc>
        <w:tc>
          <w:tcPr/>
          <w:p>
            <w:pPr>
              <w:pStyle w:val="Compact"/>
            </w:pPr>
            <w:r>
              <w:t xml:space="preserve">GAP-009</w:t>
            </w:r>
          </w:p>
        </w:tc>
        <w:tc>
          <w:tcPr/>
          <w:p>
            <w:pPr>
              <w:pStyle w:val="Compact"/>
            </w:pPr>
            <w:r>
              <w:t xml:space="preserve">Kenya KRA iTax API credentials are not registered. This blocks the Kenya localisation in Phase 2. If registration is delayed, the Phase 2 Kenya market launch slips.</w:t>
            </w:r>
          </w:p>
        </w:tc>
        <w:tc>
          <w:tcPr/>
          <w:p>
            <w:pPr>
              <w:pStyle w:val="Compact"/>
            </w:pPr>
            <w:r>
              <w:t xml:space="preserve">Integration</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Register on the KRA Developer Portal during Phase 1 (no implementation required yet). Maintain credentials in the project secret store. Schedule the Phase 2 iTax integration sprint only after sandbox testing is confirmed.</w:t>
            </w:r>
          </w:p>
        </w:tc>
        <w:tc>
          <w:tcPr/>
          <w:p>
            <w:pPr>
              <w:pStyle w:val="Compact"/>
            </w:pPr>
            <w:r>
              <w:t xml:space="preserve">Peter Bamuhigire</w:t>
            </w:r>
          </w:p>
        </w:tc>
        <w:tc>
          <w:tcPr/>
          <w:p>
            <w:pPr>
              <w:pStyle w:val="Compact"/>
            </w:pPr>
            <w:r>
              <w:t xml:space="preserve">2026-09-01</w:t>
            </w:r>
          </w:p>
        </w:tc>
      </w:tr>
      <w:tr>
        <w:tc>
          <w:tcPr/>
          <w:p>
            <w:pPr>
              <w:pStyle w:val="Compact"/>
            </w:pPr>
            <w:r>
              <w:t xml:space="preserve">RISK-010</w:t>
            </w:r>
          </w:p>
        </w:tc>
        <w:tc>
          <w:tcPr/>
          <w:p>
            <w:pPr>
              <w:pStyle w:val="Compact"/>
            </w:pPr>
            <w:r>
              <w:t xml:space="preserve">GAP-010</w:t>
            </w:r>
          </w:p>
        </w:tc>
        <w:tc>
          <w:tcPr/>
          <w:p>
            <w:pPr>
              <w:pStyle w:val="Compact"/>
            </w:pPr>
            <w:r>
              <w:t xml:space="preserve">OHADA SYSCOHADA 2017 Chart of Accounts has not been obtained. Without the official COA, the Francophone Africa localisation profile cannot be correctly specified, risking incorrect account code structures.</w:t>
            </w:r>
          </w:p>
        </w:tc>
        <w:tc>
          <w:tcPr/>
          <w:p>
            <w:pPr>
              <w:pStyle w:val="Compact"/>
            </w:pPr>
            <w:r>
              <w:t xml:space="preserve">Technical</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Obtain the official OHADA SYSCOHADA 2017 publication through the OHADA Organisation or a licensed provider. Implement the COA as a localisation seed dataset that can be imported at tenant provisioning time without modifying core GL logic.</w:t>
            </w:r>
          </w:p>
        </w:tc>
        <w:tc>
          <w:tcPr/>
          <w:p>
            <w:pPr>
              <w:pStyle w:val="Compact"/>
            </w:pPr>
            <w:r>
              <w:t xml:space="preserve">Peter Bamuhigire</w:t>
            </w:r>
          </w:p>
        </w:tc>
        <w:tc>
          <w:tcPr/>
          <w:p>
            <w:pPr>
              <w:pStyle w:val="Compact"/>
            </w:pPr>
            <w:r>
              <w:t xml:space="preserve">2026-09-01</w:t>
            </w:r>
          </w:p>
        </w:tc>
      </w:tr>
      <w:tr>
        <w:tc>
          <w:tcPr/>
          <w:p>
            <w:pPr>
              <w:pStyle w:val="Compact"/>
            </w:pPr>
            <w:r>
              <w:t xml:space="preserve">RISK-011</w:t>
            </w:r>
          </w:p>
        </w:tc>
        <w:tc>
          <w:tcPr/>
          <w:p>
            <w:pPr>
              <w:pStyle w:val="Compact"/>
            </w:pPr>
            <w:r>
              <w:t xml:space="preserve">GAP-011</w:t>
            </w:r>
          </w:p>
        </w:tc>
        <w:tc>
          <w:tcPr/>
          <w:p>
            <w:pPr>
              <w:pStyle w:val="Compact"/>
            </w:pPr>
            <w:r>
              <w:t xml:space="preserve">MTN MoMo Business API bulk payment specification and credentials are not obtained. MTN MoMo is the primary salary disbursement channel in Uganda and Kenya. Absence blocks payroll disbursement, cooperative payment, and bulk payment features — all Phase 1 deliverables.</w:t>
            </w:r>
          </w:p>
        </w:tc>
        <w:tc>
          <w:tcPr/>
          <w:p>
            <w:pPr>
              <w:pStyle w:val="Compact"/>
            </w:pPr>
            <w:r>
              <w:t xml:space="preserve">Integration</w:t>
            </w:r>
          </w:p>
        </w:tc>
        <w:tc>
          <w:tcPr/>
          <w:p>
            <w:pPr>
              <w:pStyle w:val="Compact"/>
            </w:pPr>
            <w:r>
              <w:t xml:space="preserve">H</w:t>
            </w:r>
          </w:p>
        </w:tc>
        <w:tc>
          <w:tcPr/>
          <w:p>
            <w:pPr>
              <w:pStyle w:val="Compact"/>
            </w:pPr>
            <w:r>
              <w:t xml:space="preserve">H</w:t>
            </w:r>
          </w:p>
        </w:tc>
        <w:tc>
          <w:tcPr/>
          <w:p>
            <w:pPr>
              <w:pStyle w:val="Compact"/>
            </w:pPr>
            <w:r>
              <w:rPr>
                <w:b/>
                <w:bCs/>
              </w:rPr>
              <w:t xml:space="preserve">Critical (9)</w:t>
            </w:r>
          </w:p>
        </w:tc>
        <w:tc>
          <w:tcPr/>
          <w:p>
            <w:pPr>
              <w:pStyle w:val="Compact"/>
            </w:pPr>
            <w:r>
              <w:t xml:space="preserve">Register on the MTN MoMo Developer Portal immediately. Obtain the bulk payment API specification and sandbox credentials. Implement</w:t>
            </w:r>
            <w:r>
              <w:t xml:space="preserve"> </w:t>
            </w:r>
            <w:r>
              <w:rPr>
                <w:rStyle w:val="VerbatimChar"/>
              </w:rPr>
              <w:t xml:space="preserve">MoMoService</w:t>
            </w:r>
            <w:r>
              <w:t xml:space="preserve"> </w:t>
            </w:r>
            <w:r>
              <w:t xml:space="preserve">as an abstraction layer so the provider can be swapped without changing calling code. Block payroll disbursement SRS finalisation until sandbox testing is complete.</w:t>
            </w:r>
          </w:p>
        </w:tc>
        <w:tc>
          <w:tcPr/>
          <w:p>
            <w:pPr>
              <w:pStyle w:val="Compact"/>
            </w:pPr>
            <w:r>
              <w:t xml:space="preserve">Peter Bamuhigire</w:t>
            </w:r>
          </w:p>
        </w:tc>
        <w:tc>
          <w:tcPr/>
          <w:p>
            <w:pPr>
              <w:pStyle w:val="Compact"/>
            </w:pPr>
            <w:r>
              <w:t xml:space="preserve">2026-05-15</w:t>
            </w:r>
          </w:p>
        </w:tc>
      </w:tr>
      <w:tr>
        <w:tc>
          <w:tcPr/>
          <w:p>
            <w:pPr>
              <w:pStyle w:val="Compact"/>
            </w:pPr>
            <w:r>
              <w:t xml:space="preserve">RISK-012</w:t>
            </w:r>
          </w:p>
        </w:tc>
        <w:tc>
          <w:tcPr/>
          <w:p>
            <w:pPr>
              <w:pStyle w:val="Compact"/>
            </w:pPr>
            <w:r>
              <w:t xml:space="preserve">GAP-012</w:t>
            </w:r>
          </w:p>
        </w:tc>
        <w:tc>
          <w:tcPr/>
          <w:p>
            <w:pPr>
              <w:pStyle w:val="Compact"/>
            </w:pPr>
            <w:r>
              <w:t xml:space="preserve">Safaricom Daraja B2C API credentials are not obtained. This blocks the Kenya salary disbursement and payment features in Phase 2.</w:t>
            </w:r>
          </w:p>
        </w:tc>
        <w:tc>
          <w:tcPr/>
          <w:p>
            <w:pPr>
              <w:pStyle w:val="Compact"/>
            </w:pPr>
            <w:r>
              <w:t xml:space="preserve">Integration</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Register on the Safaricom Developer Portal during Phase 1. Obtain the Daraja B2C API specification. Implement using the same</w:t>
            </w:r>
            <w:r>
              <w:t xml:space="preserve"> </w:t>
            </w:r>
            <w:r>
              <w:rPr>
                <w:rStyle w:val="VerbatimChar"/>
              </w:rPr>
              <w:t xml:space="preserve">MobileMoneyService</w:t>
            </w:r>
            <w:r>
              <w:t xml:space="preserve"> </w:t>
            </w:r>
            <w:r>
              <w:t xml:space="preserve">abstraction as MTN MoMo (see RISK-011 mitigation) to avoid duplicated provider logic.</w:t>
            </w:r>
          </w:p>
        </w:tc>
        <w:tc>
          <w:tcPr/>
          <w:p>
            <w:pPr>
              <w:pStyle w:val="Compact"/>
            </w:pPr>
            <w:r>
              <w:t xml:space="preserve">Peter Bamuhigire</w:t>
            </w:r>
          </w:p>
        </w:tc>
        <w:tc>
          <w:tcPr/>
          <w:p>
            <w:pPr>
              <w:pStyle w:val="Compact"/>
            </w:pPr>
            <w:r>
              <w:t xml:space="preserve">2026-09-01</w:t>
            </w:r>
          </w:p>
        </w:tc>
      </w:tr>
      <w:tr>
        <w:tc>
          <w:tcPr/>
          <w:p>
            <w:pPr>
              <w:pStyle w:val="Compact"/>
            </w:pPr>
            <w:r>
              <w:t xml:space="preserve">RISK-013</w:t>
            </w:r>
          </w:p>
        </w:tc>
        <w:tc>
          <w:tcPr/>
          <w:p>
            <w:pPr>
              <w:pStyle w:val="Compact"/>
            </w:pPr>
            <w:r>
              <w:t xml:space="preserve">GAP-013</w:t>
            </w:r>
          </w:p>
        </w:tc>
        <w:tc>
          <w:tcPr/>
          <w:p>
            <w:pPr>
              <w:pStyle w:val="Compact"/>
            </w:pPr>
            <w:r>
              <w:t xml:space="preserve">Migration import scripts for Odoo and ERPNext have not been designed. Absence of migration tooling slows Phase 2 sales conversions and forces manual data entry for prospects switching from incumbent ERPs.</w:t>
            </w:r>
          </w:p>
        </w:tc>
        <w:tc>
          <w:tcPr/>
          <w:p>
            <w:pPr>
              <w:pStyle w:val="Compact"/>
            </w:pPr>
            <w:r>
              <w:t xml:space="preserve">Technical</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Design the migration data model and field mapping document before Phase 2 launch. Implement as standalone import scripts, not as a core module dependency, so they can be versioned and updated independently of the main application.</w:t>
            </w:r>
          </w:p>
        </w:tc>
        <w:tc>
          <w:tcPr/>
          <w:p>
            <w:pPr>
              <w:pStyle w:val="Compact"/>
            </w:pPr>
            <w:r>
              <w:t xml:space="preserve">Peter Bamuhigire</w:t>
            </w:r>
          </w:p>
        </w:tc>
        <w:tc>
          <w:tcPr/>
          <w:p>
            <w:pPr>
              <w:pStyle w:val="Compact"/>
            </w:pPr>
            <w:r>
              <w:t xml:space="preserve">2026-10-01</w:t>
            </w:r>
          </w:p>
        </w:tc>
      </w:tr>
      <w:tr>
        <w:tc>
          <w:tcPr/>
          <w:p>
            <w:pPr>
              <w:pStyle w:val="Compact"/>
            </w:pPr>
            <w:r>
              <w:t xml:space="preserve">RISK-014</w:t>
            </w:r>
          </w:p>
        </w:tc>
        <w:tc>
          <w:tcPr/>
          <w:p>
            <w:pPr>
              <w:pStyle w:val="Compact"/>
            </w:pPr>
            <w:r>
              <w:t xml:space="preserve">GAP-014</w:t>
            </w:r>
          </w:p>
        </w:tc>
        <w:tc>
          <w:tcPr/>
          <w:p>
            <w:pPr>
              <w:pStyle w:val="Compact"/>
            </w:pPr>
            <w:r>
              <w:t xml:space="preserve">NITA-U SaaS cloud provider compliance obligations under Uganda's ICT framework have not been reviewed. Non-compliance could result in regulatory action against Chwezi Core Systems as a SaaS provider.</w:t>
            </w:r>
          </w:p>
        </w:tc>
        <w:tc>
          <w:tcPr/>
          <w:p>
            <w:pPr>
              <w:pStyle w:val="Compact"/>
            </w:pPr>
            <w:r>
              <w:t xml:space="preserve">Regulatory</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Review the NITA-U SaaS provider guidelines and ICT Policy framework. Identify any registration, data localisation, or audit obligations. Record findings in</w:t>
            </w:r>
            <w:r>
              <w:t xml:space="preserve"> </w:t>
            </w:r>
            <w:r>
              <w:rPr>
                <w:rStyle w:val="VerbatimChar"/>
              </w:rPr>
              <w:t xml:space="preserve">09-governance-compliance/03-compliance</w:t>
            </w:r>
            <w:r>
              <w:t xml:space="preserve"> </w:t>
            </w:r>
            <w:r>
              <w:t xml:space="preserve">before commercial go-live.</w:t>
            </w:r>
          </w:p>
        </w:tc>
        <w:tc>
          <w:tcPr/>
          <w:p>
            <w:pPr>
              <w:pStyle w:val="Compact"/>
            </w:pPr>
            <w:r>
              <w:t xml:space="preserve">Peter Bamuhigire</w:t>
            </w:r>
          </w:p>
        </w:tc>
        <w:tc>
          <w:tcPr/>
          <w:p>
            <w:pPr>
              <w:pStyle w:val="Compact"/>
            </w:pPr>
            <w:r>
              <w:t xml:space="preserve">2026-07-01</w:t>
            </w:r>
          </w:p>
        </w:tc>
      </w:tr>
      <w:tr>
        <w:tc>
          <w:tcPr/>
          <w:p>
            <w:pPr>
              <w:pStyle w:val="Compact"/>
            </w:pPr>
            <w:r>
              <w:t xml:space="preserve">RISK-015</w:t>
            </w:r>
          </w:p>
        </w:tc>
        <w:tc>
          <w:tcPr/>
          <w:p>
            <w:pPr>
              <w:pStyle w:val="Compact"/>
            </w:pPr>
            <w:r>
              <w:t xml:space="preserve">GAP-015</w:t>
            </w:r>
          </w:p>
        </w:tc>
        <w:tc>
          <w:tcPr/>
          <w:p>
            <w:pPr>
              <w:pStyle w:val="Compact"/>
            </w:pPr>
            <w:r>
              <w:t xml:space="preserve">The white-labelling policy (whether Enterprise tenants may brand Kraal Code as their own product) is undecided. An ad hoc decision made under client pressure could create contractual obligations that conflict with Chwezi Core Systems' branding and IP strategy.</w:t>
            </w:r>
          </w:p>
        </w:tc>
        <w:tc>
          <w:tcPr/>
          <w:p>
            <w:pPr>
              <w:pStyle w:val="Compact"/>
            </w:pPr>
            <w:r>
              <w:t xml:space="preserve">Strategic</w:t>
            </w:r>
          </w:p>
        </w:tc>
        <w:tc>
          <w:tcPr/>
          <w:p>
            <w:pPr>
              <w:pStyle w:val="Compact"/>
            </w:pPr>
            <w:r>
              <w:t xml:space="preserve">M</w:t>
            </w:r>
          </w:p>
        </w:tc>
        <w:tc>
          <w:tcPr/>
          <w:p>
            <w:pPr>
              <w:pStyle w:val="Compact"/>
            </w:pPr>
            <w:r>
              <w:t xml:space="preserve">L</w:t>
            </w:r>
          </w:p>
        </w:tc>
        <w:tc>
          <w:tcPr/>
          <w:p>
            <w:pPr>
              <w:pStyle w:val="Compact"/>
            </w:pPr>
            <w:r>
              <w:rPr>
                <w:b/>
                <w:bCs/>
              </w:rPr>
              <w:t xml:space="preserve">Low (2)</w:t>
            </w:r>
          </w:p>
        </w:tc>
        <w:tc>
          <w:tcPr/>
          <w:p>
            <w:pPr>
              <w:pStyle w:val="Compact"/>
            </w:pPr>
            <w:r>
              <w:t xml:space="preserve">Define a formal white-labelling policy in the Business Case document before any Enterprise contract is signed. The policy must specify: permitted branding elements, prohibited elements (e.g., removal of "Powered by Chwezi"), and the contractual addendum required.</w:t>
            </w:r>
          </w:p>
        </w:tc>
        <w:tc>
          <w:tcPr/>
          <w:p>
            <w:pPr>
              <w:pStyle w:val="Compact"/>
            </w:pPr>
            <w:r>
              <w:t xml:space="preserve">Peter Bamuhigire</w:t>
            </w:r>
          </w:p>
        </w:tc>
        <w:tc>
          <w:tcPr/>
          <w:p>
            <w:pPr>
              <w:pStyle w:val="Compact"/>
            </w:pPr>
            <w:r>
              <w:t xml:space="preserve">2026-06-30</w:t>
            </w:r>
          </w:p>
        </w:tc>
      </w:tr>
      <w:tr>
        <w:tc>
          <w:tcPr/>
          <w:p>
            <w:pPr>
              <w:pStyle w:val="Compact"/>
            </w:pPr>
            <w:r>
              <w:t xml:space="preserve">RISK-016</w:t>
            </w:r>
          </w:p>
        </w:tc>
        <w:tc>
          <w:tcPr/>
          <w:p>
            <w:pPr>
              <w:pStyle w:val="Compact"/>
            </w:pPr>
            <w:r>
              <w:t xml:space="preserve">GAP-016</w:t>
            </w:r>
          </w:p>
        </w:tc>
        <w:tc>
          <w:tcPr/>
          <w:p>
            <w:pPr>
              <w:pStyle w:val="Compact"/>
            </w:pPr>
            <w:r>
              <w:t xml:space="preserve">The scope of the Hospitality module (Phase 3 add-on vs. separate Chwezi product) is undecided. Scope uncertainty prevents accurate Phase 3 estimation and may lead to rework if the decision changes after design begins.</w:t>
            </w:r>
          </w:p>
        </w:tc>
        <w:tc>
          <w:tcPr/>
          <w:p>
            <w:pPr>
              <w:pStyle w:val="Compact"/>
            </w:pPr>
            <w:r>
              <w:t xml:space="preserve">Strategic</w:t>
            </w:r>
          </w:p>
        </w:tc>
        <w:tc>
          <w:tcPr/>
          <w:p>
            <w:pPr>
              <w:pStyle w:val="Compact"/>
            </w:pPr>
            <w:r>
              <w:t xml:space="preserve">L</w:t>
            </w:r>
          </w:p>
        </w:tc>
        <w:tc>
          <w:tcPr/>
          <w:p>
            <w:pPr>
              <w:pStyle w:val="Compact"/>
            </w:pPr>
            <w:r>
              <w:t xml:space="preserve">L</w:t>
            </w:r>
          </w:p>
        </w:tc>
        <w:tc>
          <w:tcPr/>
          <w:p>
            <w:pPr>
              <w:pStyle w:val="Compact"/>
            </w:pPr>
            <w:r>
              <w:rPr>
                <w:b/>
                <w:bCs/>
              </w:rPr>
              <w:t xml:space="preserve">Minimal (1)</w:t>
            </w:r>
          </w:p>
        </w:tc>
        <w:tc>
          <w:tcPr/>
          <w:p>
            <w:pPr>
              <w:pStyle w:val="Compact"/>
            </w:pPr>
            <w:r>
              <w:t xml:space="preserve">Defer the decision formally to the Phase 2 retrospective. Record the decision and rationale in the Product Requirements Document (</w:t>
            </w:r>
            <w:r>
              <w:rPr>
                <w:rStyle w:val="VerbatimChar"/>
              </w:rPr>
              <w:t xml:space="preserve">01-strategic-vision/01-prd</w:t>
            </w:r>
            <w:r>
              <w:t xml:space="preserve">) before any Hospitality module design begins.</w:t>
            </w:r>
          </w:p>
        </w:tc>
        <w:tc>
          <w:tcPr/>
          <w:p>
            <w:pPr>
              <w:pStyle w:val="Compact"/>
            </w:pPr>
            <w:r>
              <w:t xml:space="preserve">Peter Bamuhigire</w:t>
            </w:r>
          </w:p>
        </w:tc>
        <w:tc>
          <w:tcPr/>
          <w:p>
            <w:pPr>
              <w:pStyle w:val="Compact"/>
            </w:pPr>
            <w:r>
              <w:t xml:space="preserve">2026-12-01</w:t>
            </w:r>
          </w:p>
        </w:tc>
      </w:tr>
      <w:tr>
        <w:tc>
          <w:tcPr/>
          <w:p>
            <w:pPr>
              <w:pStyle w:val="Compact"/>
            </w:pPr>
            <w:r>
              <w:t xml:space="preserve">RISK-017</w:t>
            </w:r>
          </w:p>
        </w:tc>
        <w:tc>
          <w:tcPr/>
          <w:p>
            <w:pPr>
              <w:pStyle w:val="Compact"/>
            </w:pPr>
            <w:r>
              <w:t xml:space="preserve">GAP-017</w:t>
            </w:r>
          </w:p>
        </w:tc>
        <w:tc>
          <w:tcPr/>
          <w:p>
            <w:pPr>
              <w:pStyle w:val="Compact"/>
            </w:pPr>
            <w:r>
              <w:t xml:space="preserve">Integration contracts between Kraal Code and sibling Chwezi products (Academia Pro, Medic8, Kulima) are undefined. Undefined integration points result in incompatible APIs and duplicated data entry across products, reducing cross-product value.</w:t>
            </w:r>
          </w:p>
        </w:tc>
        <w:tc>
          <w:tcPr/>
          <w:p>
            <w:pPr>
              <w:pStyle w:val="Compact"/>
            </w:pPr>
            <w:r>
              <w:t xml:space="preserve">Strategic</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Define a formal Chwezi Integration Contract document specifying: entity identifiers shared across products, event-based integration patterns (webhooks vs. polling), and authentication model (shared OAuth vs. product-scoped tokens). Complete before any cross-product integration sprint begins.</w:t>
            </w:r>
          </w:p>
        </w:tc>
        <w:tc>
          <w:tcPr/>
          <w:p>
            <w:pPr>
              <w:pStyle w:val="Compact"/>
            </w:pPr>
            <w:r>
              <w:t xml:space="preserve">Peter Bamuhigire</w:t>
            </w:r>
          </w:p>
        </w:tc>
        <w:tc>
          <w:tcPr/>
          <w:p>
            <w:pPr>
              <w:pStyle w:val="Compact"/>
            </w:pPr>
            <w:r>
              <w:t xml:space="preserve">2026-08-01</w:t>
            </w:r>
          </w:p>
        </w:tc>
      </w:tr>
      <w:tr>
        <w:tc>
          <w:tcPr/>
          <w:p>
            <w:pPr>
              <w:pStyle w:val="Compact"/>
            </w:pPr>
            <w:r>
              <w:t xml:space="preserve">RISK-018</w:t>
            </w:r>
          </w:p>
        </w:tc>
        <w:tc>
          <w:tcPr/>
          <w:p>
            <w:pPr>
              <w:pStyle w:val="Compact"/>
            </w:pPr>
            <w:r>
              <w:t xml:space="preserve">GAP-018</w:t>
            </w:r>
          </w:p>
        </w:tc>
        <w:tc>
          <w:tcPr/>
          <w:p>
            <w:pPr>
              <w:pStyle w:val="Compact"/>
            </w:pPr>
            <w:r>
              <w:t xml:space="preserve">The source code strategy (proprietary SaaS only vs. future open-source community edition) is undecided. Choosing open-source later forces a code audit for proprietary dependencies that cannot be relicensed, causing significant rework.</w:t>
            </w:r>
          </w:p>
        </w:tc>
        <w:tc>
          <w:tcPr/>
          <w:p>
            <w:pPr>
              <w:pStyle w:val="Compact"/>
            </w:pPr>
            <w:r>
              <w:t xml:space="preserve">Strategic</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Make the source code strategy decision explicit in the Business Case (</w:t>
            </w:r>
            <w:r>
              <w:rPr>
                <w:rStyle w:val="VerbatimChar"/>
              </w:rPr>
              <w:t xml:space="preserve">01-strategic-vision/03-business-case</w:t>
            </w:r>
            <w:r>
              <w:t xml:space="preserve">) before Phase 2 development begins. If open-source is a possibility, audit all dependencies for licence compatibility (GPL, LGPL, AGPL) now rather than after the codebase is large.</w:t>
            </w:r>
          </w:p>
        </w:tc>
        <w:tc>
          <w:tcPr/>
          <w:p>
            <w:pPr>
              <w:pStyle w:val="Compact"/>
            </w:pPr>
            <w:r>
              <w:t xml:space="preserve">Peter Bamuhigire</w:t>
            </w:r>
          </w:p>
        </w:tc>
        <w:tc>
          <w:tcPr/>
          <w:p>
            <w:pPr>
              <w:pStyle w:val="Compact"/>
            </w:pPr>
            <w:r>
              <w:t xml:space="preserve">2026-06-30</w:t>
            </w:r>
          </w:p>
        </w:tc>
      </w:tr>
    </w:tbl>
    <w:bookmarkEnd w:id="18"/>
    <w:bookmarkEnd w:id="19"/>
    <w:bookmarkStart w:id="21" w:name="Xbbdb1ca67ee02a3b6f9bad7894727df65de8800"/>
    <w:p>
      <w:pPr>
        <w:pStyle w:val="Heading1"/>
      </w:pPr>
      <w:r>
        <w:t xml:space="preserve">Operational and Architectural Risk Register (RISK-019 – RISK-024)</w:t>
      </w:r>
    </w:p>
    <w:p>
      <w:pPr>
        <w:pStyle w:val="FirstParagraph"/>
      </w:pPr>
      <w:r>
        <w:t xml:space="preserve">These risks are not derived from open design gaps. They arise from architectural decisions, infrastructure dependencies, and staffing constraints identified during the platform design review.</w:t>
      </w:r>
    </w:p>
    <w:bookmarkStart w:id="20" w:name="X22c5514916bb49e773c63941607d2a3d3afafe2"/>
    <w:p>
      <w:pPr>
        <w:pStyle w:val="Heading2"/>
      </w:pPr>
      <w:r>
        <w:t xml:space="preserve">3.1 Risk Entries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Risk ID</w:t>
            </w:r>
          </w:p>
        </w:tc>
        <w:tc>
          <w:tcPr/>
          <w:p>
            <w:pPr>
              <w:pStyle w:val="Compact"/>
            </w:pPr>
            <w:r>
              <w:t xml:space="preserve">Source</w:t>
            </w:r>
          </w:p>
        </w:tc>
        <w:tc>
          <w:tcPr/>
          <w:p>
            <w:pPr>
              <w:pStyle w:val="Compact"/>
            </w:pPr>
            <w:r>
              <w:t xml:space="preserve">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Score</w:t>
            </w:r>
          </w:p>
        </w:tc>
        <w:tc>
          <w:tcPr/>
          <w:p>
            <w:pPr>
              <w:pStyle w:val="Compact"/>
            </w:pPr>
            <w:r>
              <w:t xml:space="preserve">Mitigation</w:t>
            </w:r>
          </w:p>
        </w:tc>
        <w:tc>
          <w:tcPr/>
          <w:p>
            <w:pPr>
              <w:pStyle w:val="Compact"/>
            </w:pPr>
            <w:r>
              <w:t xml:space="preserve">Owner</w:t>
            </w:r>
          </w:p>
        </w:tc>
        <w:tc>
          <w:tcPr/>
          <w:p>
            <w:pPr>
              <w:pStyle w:val="Compact"/>
            </w:pPr>
            <w:r>
              <w:t xml:space="preserve">Target Date</w:t>
            </w:r>
          </w:p>
        </w:tc>
      </w:tr>
      <w:tr>
        <w:tc>
          <w:tcPr/>
          <w:p>
            <w:pPr>
              <w:pStyle w:val="Compact"/>
            </w:pPr>
            <w:r>
              <w:t xml:space="preserve">RISK-019</w:t>
            </w:r>
          </w:p>
        </w:tc>
        <w:tc>
          <w:tcPr/>
          <w:p>
            <w:pPr>
              <w:pStyle w:val="Compact"/>
            </w:pPr>
            <w:r>
              <w:t xml:space="preserve">Architecture review</w:t>
            </w:r>
          </w:p>
        </w:tc>
        <w:tc>
          <w:tcPr/>
          <w:p>
            <w:pPr>
              <w:pStyle w:val="Compact"/>
            </w:pPr>
            <w:r>
              <w:t xml:space="preserve">URA EFRIS API unavailability prevents invoice submission. If the URA endpoint is down, fiscal invoices cannot be generated and sales workflows are blocked for all tenants simultaneously.</w:t>
            </w:r>
          </w:p>
        </w:tc>
        <w:tc>
          <w:tcPr/>
          <w:p>
            <w:pPr>
              <w:pStyle w:val="Compact"/>
            </w:pPr>
            <w:r>
              <w:t xml:space="preserve">Operational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Implement a queue-and-retry mechanism in the EFRIS integration layer. Invoices that fail submission are stored with status</w:t>
            </w:r>
            <w:r>
              <w:t xml:space="preserve"> </w:t>
            </w:r>
            <w:r>
              <w:rPr>
                <w:rStyle w:val="VerbatimChar"/>
              </w:rPr>
              <w:t xml:space="preserve">PENDING_EFRIS</w:t>
            </w:r>
            <w:r>
              <w:t xml:space="preserve">. The system retries automatically every 15 minutes using an exponential back-off up to 4 hours. After 2 consecutive hours of failure, send an alert to the system administrator via email and in-app notification. Log all retry attempts with HTTP status codes and timestamps for audit purposes.</w:t>
            </w:r>
          </w:p>
        </w:tc>
        <w:tc>
          <w:tcPr/>
          <w:p>
            <w:pPr>
              <w:pStyle w:val="Compact"/>
            </w:pPr>
            <w:r>
              <w:t xml:space="preserve">Peter Bamuhigire</w:t>
            </w:r>
          </w:p>
        </w:tc>
        <w:tc>
          <w:tcPr/>
          <w:p>
            <w:pPr>
              <w:pStyle w:val="Compact"/>
            </w:pPr>
            <w:r>
              <w:t xml:space="preserve">2026-06-01</w:t>
            </w:r>
          </w:p>
        </w:tc>
      </w:tr>
      <w:tr>
        <w:tc>
          <w:tcPr/>
          <w:p>
            <w:pPr>
              <w:pStyle w:val="Compact"/>
            </w:pPr>
            <w:r>
              <w:t xml:space="preserve">RISK-020</w:t>
            </w:r>
          </w:p>
        </w:tc>
        <w:tc>
          <w:tcPr/>
          <w:p>
            <w:pPr>
              <w:pStyle w:val="Compact"/>
            </w:pPr>
            <w:r>
              <w:t xml:space="preserve">Architecture review</w:t>
            </w:r>
          </w:p>
        </w:tc>
        <w:tc>
          <w:tcPr/>
          <w:p>
            <w:pPr>
              <w:pStyle w:val="Compact"/>
            </w:pPr>
            <w:r>
              <w:t xml:space="preserve">MTN MoMo or Airtel Money API breaking changes introduced without advance notice render salary disbursement and bulk payment workflows non-functional.</w:t>
            </w:r>
          </w:p>
        </w:tc>
        <w:tc>
          <w:tcPr/>
          <w:p>
            <w:pPr>
              <w:pStyle w:val="Compact"/>
            </w:pPr>
            <w:r>
              <w:t xml:space="preserve">Integration</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Implement all mobile money provider calls through a single</w:t>
            </w:r>
            <w:r>
              <w:t xml:space="preserve"> </w:t>
            </w:r>
            <w:r>
              <w:rPr>
                <w:rStyle w:val="VerbatimChar"/>
              </w:rPr>
              <w:t xml:space="preserve">MobileMoneyService</w:t>
            </w:r>
            <w:r>
              <w:t xml:space="preserve"> </w:t>
            </w:r>
            <w:r>
              <w:t xml:space="preserve">abstraction layer. No module calls a provider SDK directly. Subscribe to MTN MoMo and Airtel API changelog RSS feeds and developer newsletter. Run automated smoke tests against the payment sandbox every calendar month. When a breaking change is detected, the abstraction layer is the only file requiring update, limiting blast radius to 1 class.</w:t>
            </w:r>
          </w:p>
        </w:tc>
        <w:tc>
          <w:tcPr/>
          <w:p>
            <w:pPr>
              <w:pStyle w:val="Compact"/>
            </w:pPr>
            <w:r>
              <w:t xml:space="preserve">Peter Bamuhigire</w:t>
            </w:r>
          </w:p>
        </w:tc>
        <w:tc>
          <w:tcPr/>
          <w:p>
            <w:pPr>
              <w:pStyle w:val="Compact"/>
            </w:pPr>
            <w:r>
              <w:t xml:space="preserve">2026-06-15</w:t>
            </w:r>
          </w:p>
        </w:tc>
      </w:tr>
      <w:tr>
        <w:tc>
          <w:tcPr/>
          <w:p>
            <w:pPr>
              <w:pStyle w:val="Compact"/>
            </w:pPr>
            <w:r>
              <w:t xml:space="preserve">RISK-021</w:t>
            </w:r>
          </w:p>
        </w:tc>
        <w:tc>
          <w:tcPr/>
          <w:p>
            <w:pPr>
              <w:pStyle w:val="Compact"/>
            </w:pPr>
            <w:r>
              <w:t xml:space="preserve">Legal review gap</w:t>
            </w:r>
          </w:p>
        </w:tc>
        <w:tc>
          <w:tcPr/>
          <w:p>
            <w:pPr>
              <w:pStyle w:val="Compact"/>
            </w:pPr>
            <w:r>
              <w:t xml:space="preserve">Employee, farmer, and student personally identifiable information (PII) may be stored without legally compliant consent recording, retention limits, or sub-processor disclosure under the Uganda Data Protection and Privacy Act 2019. Non-compliance exposes Chwezi Core Systems to investigation and fines by the Personal Data Protection Office.</w:t>
            </w:r>
          </w:p>
        </w:tc>
        <w:tc>
          <w:tcPr/>
          <w:p>
            <w:pPr>
              <w:pStyle w:val="Compact"/>
            </w:pPr>
            <w:r>
              <w:t xml:space="preserve">Regulatory</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Complete the legal review required by GAP-007 (RISK-007). Implement consent recording at the point of data collection: every PII field must trace to a recorded consent event with timestamp and version of the privacy policy accepted. Enforce a 7-year data retention limit for financial and HR records; after the retention period, records are archived to cold storage and purged from the active database. Publish a Data Processing Agreement (DPA) for all tenants before commercial go-live.</w:t>
            </w:r>
          </w:p>
        </w:tc>
        <w:tc>
          <w:tcPr/>
          <w:p>
            <w:pPr>
              <w:pStyle w:val="Compact"/>
            </w:pPr>
            <w:r>
              <w:t xml:space="preserve">Peter Bamuhigire</w:t>
            </w:r>
          </w:p>
        </w:tc>
        <w:tc>
          <w:tcPr/>
          <w:p>
            <w:pPr>
              <w:pStyle w:val="Compact"/>
            </w:pPr>
            <w:r>
              <w:t xml:space="preserve">2026-07-01</w:t>
            </w:r>
          </w:p>
        </w:tc>
      </w:tr>
      <w:tr>
        <w:tc>
          <w:tcPr/>
          <w:p>
            <w:pPr>
              <w:pStyle w:val="Compact"/>
            </w:pPr>
            <w:r>
              <w:t xml:space="preserve">RISK-022</w:t>
            </w:r>
          </w:p>
        </w:tc>
        <w:tc>
          <w:tcPr/>
          <w:p>
            <w:pPr>
              <w:pStyle w:val="Compact"/>
            </w:pPr>
            <w:r>
              <w:t xml:space="preserve">Architecture review</w:t>
            </w:r>
          </w:p>
        </w:tc>
        <w:tc>
          <w:tcPr/>
          <w:p>
            <w:pPr>
              <w:pStyle w:val="Compact"/>
            </w:pPr>
            <w:r>
              <w:t xml:space="preserve">A bug in the multi-tenancy scoping layer causes cross-tenant data leakage — one tenant's records become visible to another tenant's users. Even a single confirmed leakage incident constitutes a data breach requiring notification under the Uganda Data Protection and Privacy Act 2019.</w:t>
            </w:r>
          </w:p>
        </w:tc>
        <w:tc>
          <w:tcPr/>
          <w:p>
            <w:pPr>
              <w:pStyle w:val="Compact"/>
            </w:pPr>
            <w:r>
              <w:t xml:space="preserve">Technical</w:t>
            </w:r>
          </w:p>
        </w:tc>
        <w:tc>
          <w:tcPr/>
          <w:p>
            <w:pPr>
              <w:pStyle w:val="Compact"/>
            </w:pPr>
            <w:r>
              <w:t xml:space="preserve">L</w:t>
            </w:r>
          </w:p>
        </w:tc>
        <w:tc>
          <w:tcPr/>
          <w:p>
            <w:pPr>
              <w:pStyle w:val="Compact"/>
            </w:pPr>
            <w:r>
              <w:t xml:space="preserve">H</w:t>
            </w:r>
          </w:p>
        </w:tc>
        <w:tc>
          <w:tcPr/>
          <w:p>
            <w:pPr>
              <w:pStyle w:val="Compact"/>
            </w:pPr>
            <w:r>
              <w:rPr>
                <w:b/>
                <w:bCs/>
              </w:rPr>
              <w:t xml:space="preserve">Medium (4)</w:t>
            </w:r>
          </w:p>
        </w:tc>
        <w:tc>
          <w:tcPr/>
          <w:p>
            <w:pPr>
              <w:pStyle w:val="Compact"/>
            </w:pPr>
            <w:r>
              <w:t xml:space="preserve">Complete the independent multi-tenancy security review per GAP-004 (RISK-004). Enforce</w:t>
            </w:r>
            <w:r>
              <w:t xml:space="preserve"> </w:t>
            </w:r>
            <w:r>
              <w:rPr>
                <w:rStyle w:val="VerbatimChar"/>
              </w:rPr>
              <w:t xml:space="preserve">tenant_id</w:t>
            </w:r>
            <w:r>
              <w:t xml:space="preserve"> </w:t>
            </w:r>
            <w:r>
              <w:t xml:space="preserve">as a mandatory WHERE clause parameter in every SQL query that targets a tenanted table, validated by a PHPStan custom rule at level 8 that fails the build on violation. Conduct penetration testing against a staging environment with 2 test tenants before any live tenant is onboarded. All penetration test findings rated Medium or above must be remediated before go-live sign-off. Monitor this risk closely; probability is Low but impact is catastrophic if realised.</w:t>
            </w:r>
          </w:p>
        </w:tc>
        <w:tc>
          <w:tcPr/>
          <w:p>
            <w:pPr>
              <w:pStyle w:val="Compact"/>
            </w:pPr>
            <w:r>
              <w:t xml:space="preserve">Peter Bamuhigire</w:t>
            </w:r>
          </w:p>
        </w:tc>
        <w:tc>
          <w:tcPr/>
          <w:p>
            <w:pPr>
              <w:pStyle w:val="Compact"/>
            </w:pPr>
            <w:r>
              <w:t xml:space="preserve">2026-06-01</w:t>
            </w:r>
          </w:p>
        </w:tc>
      </w:tr>
      <w:tr>
        <w:tc>
          <w:tcPr/>
          <w:p>
            <w:pPr>
              <w:pStyle w:val="Compact"/>
            </w:pPr>
            <w:r>
              <w:t xml:space="preserve">RISK-023</w:t>
            </w:r>
          </w:p>
        </w:tc>
        <w:tc>
          <w:tcPr/>
          <w:p>
            <w:pPr>
              <w:pStyle w:val="Compact"/>
            </w:pPr>
            <w:r>
              <w:t xml:space="preserve">Financial modelling</w:t>
            </w:r>
          </w:p>
        </w:tc>
        <w:tc>
          <w:tcPr/>
          <w:p>
            <w:pPr>
              <w:pStyle w:val="Compact"/>
            </w:pPr>
            <w:r>
              <w:t xml:space="preserve">USD-denominated infrastructure costs (hosting, CDN, API fees) rise while Kraal Code subscription pricing is fixed in UGX. Exchange rate depreciation erodes gross margin without a corresponding revenue adjustment mechanism.</w:t>
            </w:r>
          </w:p>
        </w:tc>
        <w:tc>
          <w:tcPr/>
          <w:p>
            <w:pPr>
              <w:pStyle w:val="Compact"/>
            </w:pPr>
            <w:r>
              <w:t xml:space="preserve">Strategic</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Implement an annual price review mechanism. UGX subscription prices are reviewed on July 1 each year and adjusted to maintain a minimum 65% gross margin. Enterprise contracts above UGX 1,000,000/month are available in USD denomination to eliminate FX exposure on large accounts. Document the pricing review procedure in the Business Case (</w:t>
            </w:r>
            <w:r>
              <w:rPr>
                <w:rStyle w:val="VerbatimChar"/>
              </w:rPr>
              <w:t xml:space="preserve">01-strategic-vision/03-business-case</w:t>
            </w:r>
            <w:r>
              <w:t xml:space="preserve">).</w:t>
            </w:r>
          </w:p>
        </w:tc>
        <w:tc>
          <w:tcPr/>
          <w:p>
            <w:pPr>
              <w:pStyle w:val="Compact"/>
            </w:pPr>
            <w:r>
              <w:t xml:space="preserve">Peter Bamuhigire</w:t>
            </w:r>
          </w:p>
        </w:tc>
        <w:tc>
          <w:tcPr/>
          <w:p>
            <w:pPr>
              <w:pStyle w:val="Compact"/>
            </w:pPr>
            <w:r>
              <w:t xml:space="preserve">2026-07-01</w:t>
            </w:r>
          </w:p>
        </w:tc>
      </w:tr>
      <w:tr>
        <w:tc>
          <w:tcPr/>
          <w:p>
            <w:pPr>
              <w:pStyle w:val="Compact"/>
            </w:pPr>
            <w:r>
              <w:t xml:space="preserve">RISK-024</w:t>
            </w:r>
          </w:p>
        </w:tc>
        <w:tc>
          <w:tcPr/>
          <w:p>
            <w:pPr>
              <w:pStyle w:val="Compact"/>
            </w:pPr>
            <w:r>
              <w:t xml:space="preserve">Staffing constraint</w:t>
            </w:r>
          </w:p>
        </w:tc>
        <w:tc>
          <w:tcPr/>
          <w:p>
            <w:pPr>
              <w:pStyle w:val="Compact"/>
            </w:pPr>
            <w:r>
              <w:t xml:space="preserve">Peter Bamuhigire is the sole developer. Illness, personal emergency, or competing obligations halt all development and support activity. There is no secondary developer capable of maintaining the codebase in the event of unavailability.</w:t>
            </w:r>
          </w:p>
        </w:tc>
        <w:tc>
          <w:tcPr/>
          <w:p>
            <w:pPr>
              <w:pStyle w:val="Compact"/>
            </w:pPr>
            <w:r>
              <w:t xml:space="preserve">Operational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Maintain comprehensive SDLC documentation (this document set) so the codebase can be handed off to a second developer with minimal ramp-up time. Enforce PHPStan level 8 and PSR-12 throughout so the codebase is readable without institutional knowledge. Produce an onboarding guide for a second developer by Q3 2026. Begin recruitment or contractor engagement for a second developer by 2026-07-01. Until a second developer is onboarded, avoid committing to client SLAs that require &lt; 24-hour incident response.</w:t>
            </w:r>
          </w:p>
        </w:tc>
        <w:tc>
          <w:tcPr/>
          <w:p>
            <w:pPr>
              <w:pStyle w:val="Compact"/>
            </w:pPr>
            <w:r>
              <w:t xml:space="preserve">Peter Bamuhigire</w:t>
            </w:r>
          </w:p>
        </w:tc>
        <w:tc>
          <w:tcPr/>
          <w:p>
            <w:pPr>
              <w:pStyle w:val="Compact"/>
            </w:pPr>
            <w:r>
              <w:t xml:space="preserve">2026-09-30</w:t>
            </w:r>
          </w:p>
        </w:tc>
      </w:tr>
    </w:tbl>
    <w:bookmarkEnd w:id="20"/>
    <w:bookmarkEnd w:id="21"/>
    <w:bookmarkStart w:id="26" w:name="risk-summary-and-prioritisation"/>
    <w:p>
      <w:pPr>
        <w:pStyle w:val="Heading1"/>
      </w:pPr>
      <w:r>
        <w:t xml:space="preserve">Risk Summary and Prioritisation</w:t>
      </w:r>
    </w:p>
    <w:bookmarkStart w:id="22" w:name="X777fe15d537acd705cf4b338229c34208eadacc"/>
    <w:p>
      <w:pPr>
        <w:pStyle w:val="Heading2"/>
      </w:pPr>
      <w:r>
        <w:t xml:space="preserve">4.1 Risk Distribution by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Count</w:t>
            </w:r>
          </w:p>
        </w:tc>
        <w:tc>
          <w:tcPr/>
          <w:p>
            <w:pPr>
              <w:pStyle w:val="Compact"/>
            </w:pPr>
            <w:r>
              <w:t xml:space="preserve">Risk IDs</w:t>
            </w:r>
          </w:p>
        </w:tc>
      </w:tr>
      <w:tr>
        <w:tc>
          <w:tcPr/>
          <w:p>
            <w:pPr>
              <w:pStyle w:val="Compact"/>
            </w:pPr>
            <w:r>
              <w:t xml:space="preserve">Critical (9)</w:t>
            </w:r>
          </w:p>
        </w:tc>
        <w:tc>
          <w:tcPr/>
          <w:p>
            <w:pPr>
              <w:pStyle w:val="Compact"/>
            </w:pPr>
            <w:r>
              <w:t xml:space="preserve">2</w:t>
            </w:r>
          </w:p>
        </w:tc>
        <w:tc>
          <w:tcPr/>
          <w:p>
            <w:pPr>
              <w:pStyle w:val="Compact"/>
            </w:pPr>
            <w:r>
              <w:t xml:space="preserve">RISK-001, RISK-011</w:t>
            </w:r>
          </w:p>
        </w:tc>
      </w:tr>
      <w:tr>
        <w:tc>
          <w:tcPr/>
          <w:p>
            <w:pPr>
              <w:pStyle w:val="Compact"/>
            </w:pPr>
            <w:r>
              <w:t xml:space="preserve">High (6)</w:t>
            </w:r>
          </w:p>
        </w:tc>
        <w:tc>
          <w:tcPr/>
          <w:p>
            <w:pPr>
              <w:pStyle w:val="Compact"/>
            </w:pPr>
            <w:r>
              <w:t xml:space="preserve">8</w:t>
            </w:r>
          </w:p>
        </w:tc>
        <w:tc>
          <w:tcPr/>
          <w:p>
            <w:pPr>
              <w:pStyle w:val="Compact"/>
            </w:pPr>
            <w:r>
              <w:t xml:space="preserve">RISK-002, RISK-004, RISK-007, RISK-008, RISK-019, RISK-020, RISK-021, RISK-024</w:t>
            </w:r>
          </w:p>
        </w:tc>
      </w:tr>
      <w:tr>
        <w:tc>
          <w:tcPr/>
          <w:p>
            <w:pPr>
              <w:pStyle w:val="Compact"/>
            </w:pPr>
            <w:r>
              <w:t xml:space="preserve">Medium (4)</w:t>
            </w:r>
          </w:p>
        </w:tc>
        <w:tc>
          <w:tcPr/>
          <w:p>
            <w:pPr>
              <w:pStyle w:val="Compact"/>
            </w:pPr>
            <w:r>
              <w:t xml:space="preserve">6</w:t>
            </w:r>
          </w:p>
        </w:tc>
        <w:tc>
          <w:tcPr/>
          <w:p>
            <w:pPr>
              <w:pStyle w:val="Compact"/>
            </w:pPr>
            <w:r>
              <w:t xml:space="preserve">RISK-003, RISK-005, RISK-009, RISK-012, RISK-017, RISK-022, RISK-023</w:t>
            </w:r>
          </w:p>
        </w:tc>
      </w:tr>
      <w:tr>
        <w:tc>
          <w:tcPr/>
          <w:p>
            <w:pPr>
              <w:pStyle w:val="Compact"/>
            </w:pPr>
            <w:r>
              <w:t xml:space="preserve">Low (2–3)</w:t>
            </w:r>
          </w:p>
        </w:tc>
        <w:tc>
          <w:tcPr/>
          <w:p>
            <w:pPr>
              <w:pStyle w:val="Compact"/>
            </w:pPr>
            <w:r>
              <w:t xml:space="preserve">7</w:t>
            </w:r>
          </w:p>
        </w:tc>
        <w:tc>
          <w:tcPr/>
          <w:p>
            <w:pPr>
              <w:pStyle w:val="Compact"/>
            </w:pPr>
            <w:r>
              <w:t xml:space="preserve">RISK-006, RISK-010, RISK-013, RISK-014, RISK-015, RISK-016, RISK-018</w:t>
            </w:r>
          </w:p>
        </w:tc>
      </w:tr>
      <w:tr>
        <w:tc>
          <w:tcPr/>
          <w:p>
            <w:pPr>
              <w:pStyle w:val="Compact"/>
            </w:pPr>
            <w:r>
              <w:t xml:space="preserve">Minimal (1)</w:t>
            </w:r>
          </w:p>
        </w:tc>
        <w:tc>
          <w:tcPr/>
          <w:p>
            <w:pPr>
              <w:pStyle w:val="Compact"/>
            </w:pPr>
            <w:r>
              <w:t xml:space="preserve">1</w:t>
            </w:r>
          </w:p>
        </w:tc>
        <w:tc>
          <w:tcPr/>
          <w:p>
            <w:pPr>
              <w:pStyle w:val="Compact"/>
            </w:pPr>
            <w:r>
              <w:t xml:space="preserve">RISK-016</w:t>
            </w:r>
          </w:p>
        </w:tc>
      </w:tr>
      <w:tr>
        <w:tc>
          <w:tcPr/>
          <w:p>
            <w:pPr>
              <w:pStyle w:val="Compact"/>
            </w:pPr>
            <w:r>
              <w:rPr>
                <w:b/>
                <w:bCs/>
              </w:rPr>
              <w:t xml:space="preserve">Total</w:t>
            </w:r>
          </w:p>
        </w:tc>
        <w:tc>
          <w:tcPr/>
          <w:p>
            <w:pPr>
              <w:pStyle w:val="Compact"/>
            </w:pPr>
            <w:r>
              <w:rPr>
                <w:b/>
                <w:bCs/>
              </w:rPr>
              <w:t xml:space="preserve">24</w:t>
            </w:r>
          </w:p>
        </w:tc>
        <w:tc>
          <w:tcPr/>
          <w:p>
            <w:pPr>
              <w:pStyle w:val="Compact"/>
            </w:pPr>
            <w:r>
              <w:t xml:space="preserve">RISK-001 through RISK-024</w:t>
            </w:r>
          </w:p>
        </w:tc>
      </w:tr>
    </w:tbl>
    <w:p>
      <w:pPr>
        <w:pStyle w:val="BodyText"/>
      </w:pPr>
      <w:r>
        <w:rPr>
          <w:i/>
          <w:iCs/>
        </w:rPr>
        <w:t xml:space="preserve">Note: RISK-016 appears in both Low and Minimal rows because the score matrix yields 1 (Minimal) for L×L. The count above corrects this: RISK-016 is Minimal (1); total Low (2–3) count is 6 (RISK-006, RISK-010, RISK-013, RISK-014, RISK-015, RISK-018); total Medium (4) count is 6 (RISK-003, RISK-005, RISK-009, RISK-012, RISK-017, RISK-022, RISK-023).</w:t>
      </w:r>
    </w:p>
    <w:bookmarkEnd w:id="22"/>
    <w:bookmarkStart w:id="23" w:name="X99673449e110033c5658855bccca334344d30d2"/>
    <w:p>
      <w:pPr>
        <w:pStyle w:val="Heading2"/>
      </w:pPr>
      <w:r>
        <w:t xml:space="preserve">4.2 Corrected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Count</w:t>
            </w:r>
          </w:p>
        </w:tc>
        <w:tc>
          <w:tcPr/>
          <w:p>
            <w:pPr>
              <w:pStyle w:val="Compact"/>
            </w:pPr>
            <w:r>
              <w:t xml:space="preserve">Risk IDs</w:t>
            </w:r>
          </w:p>
        </w:tc>
      </w:tr>
      <w:tr>
        <w:tc>
          <w:tcPr/>
          <w:p>
            <w:pPr>
              <w:pStyle w:val="Compact"/>
            </w:pPr>
            <w:r>
              <w:t xml:space="preserve">Critical (9)</w:t>
            </w:r>
          </w:p>
        </w:tc>
        <w:tc>
          <w:tcPr/>
          <w:p>
            <w:pPr>
              <w:pStyle w:val="Compact"/>
            </w:pPr>
            <w:r>
              <w:t xml:space="preserve">2</w:t>
            </w:r>
          </w:p>
        </w:tc>
        <w:tc>
          <w:tcPr/>
          <w:p>
            <w:pPr>
              <w:pStyle w:val="Compact"/>
            </w:pPr>
            <w:r>
              <w:t xml:space="preserve">RISK-001, RISK-011</w:t>
            </w:r>
          </w:p>
        </w:tc>
      </w:tr>
      <w:tr>
        <w:tc>
          <w:tcPr/>
          <w:p>
            <w:pPr>
              <w:pStyle w:val="Compact"/>
            </w:pPr>
            <w:r>
              <w:t xml:space="preserve">High (6)</w:t>
            </w:r>
          </w:p>
        </w:tc>
        <w:tc>
          <w:tcPr/>
          <w:p>
            <w:pPr>
              <w:pStyle w:val="Compact"/>
            </w:pPr>
            <w:r>
              <w:t xml:space="preserve">8</w:t>
            </w:r>
          </w:p>
        </w:tc>
        <w:tc>
          <w:tcPr/>
          <w:p>
            <w:pPr>
              <w:pStyle w:val="Compact"/>
            </w:pPr>
            <w:r>
              <w:t xml:space="preserve">RISK-002, RISK-004, RISK-007, RISK-008, RISK-019, RISK-020, RISK-021, RISK-024</w:t>
            </w:r>
          </w:p>
        </w:tc>
      </w:tr>
      <w:tr>
        <w:tc>
          <w:tcPr/>
          <w:p>
            <w:pPr>
              <w:pStyle w:val="Compact"/>
            </w:pPr>
            <w:r>
              <w:t xml:space="preserve">Medium (4)</w:t>
            </w:r>
          </w:p>
        </w:tc>
        <w:tc>
          <w:tcPr/>
          <w:p>
            <w:pPr>
              <w:pStyle w:val="Compact"/>
            </w:pPr>
            <w:r>
              <w:t xml:space="preserve">7</w:t>
            </w:r>
          </w:p>
        </w:tc>
        <w:tc>
          <w:tcPr/>
          <w:p>
            <w:pPr>
              <w:pStyle w:val="Compact"/>
            </w:pPr>
            <w:r>
              <w:t xml:space="preserve">RISK-003, RISK-005, RISK-009, RISK-012, RISK-017, RISK-022, RISK-023</w:t>
            </w:r>
          </w:p>
        </w:tc>
      </w:tr>
      <w:tr>
        <w:tc>
          <w:tcPr/>
          <w:p>
            <w:pPr>
              <w:pStyle w:val="Compact"/>
            </w:pPr>
            <w:r>
              <w:t xml:space="preserve">Low (2–3)</w:t>
            </w:r>
          </w:p>
        </w:tc>
        <w:tc>
          <w:tcPr/>
          <w:p>
            <w:pPr>
              <w:pStyle w:val="Compact"/>
            </w:pPr>
            <w:r>
              <w:t xml:space="preserve">6</w:t>
            </w:r>
          </w:p>
        </w:tc>
        <w:tc>
          <w:tcPr/>
          <w:p>
            <w:pPr>
              <w:pStyle w:val="Compact"/>
            </w:pPr>
            <w:r>
              <w:t xml:space="preserve">RISK-006, RISK-010, RISK-013, RISK-014, RISK-015, RISK-018</w:t>
            </w:r>
          </w:p>
        </w:tc>
      </w:tr>
      <w:tr>
        <w:tc>
          <w:tcPr/>
          <w:p>
            <w:pPr>
              <w:pStyle w:val="Compact"/>
            </w:pPr>
            <w:r>
              <w:t xml:space="preserve">Minimal (1)</w:t>
            </w:r>
          </w:p>
        </w:tc>
        <w:tc>
          <w:tcPr/>
          <w:p>
            <w:pPr>
              <w:pStyle w:val="Compact"/>
            </w:pPr>
            <w:r>
              <w:t xml:space="preserve">1</w:t>
            </w:r>
          </w:p>
        </w:tc>
        <w:tc>
          <w:tcPr/>
          <w:p>
            <w:pPr>
              <w:pStyle w:val="Compact"/>
            </w:pPr>
            <w:r>
              <w:t xml:space="preserve">RISK-016</w:t>
            </w:r>
          </w:p>
        </w:tc>
      </w:tr>
      <w:tr>
        <w:tc>
          <w:tcPr/>
          <w:p>
            <w:pPr>
              <w:pStyle w:val="Compact"/>
            </w:pPr>
            <w:r>
              <w:rPr>
                <w:b/>
                <w:bCs/>
              </w:rPr>
              <w:t xml:space="preserve">Total</w:t>
            </w:r>
          </w:p>
        </w:tc>
        <w:tc>
          <w:tcPr/>
          <w:p>
            <w:pPr>
              <w:pStyle w:val="Compact"/>
            </w:pPr>
            <w:r>
              <w:rPr>
                <w:b/>
                <w:bCs/>
              </w:rPr>
              <w:t xml:space="preserve">24</w:t>
            </w:r>
          </w:p>
        </w:tc>
        <w:tc>
          <w:tcPr/>
          <w:p>
            <w:pPr>
              <w:pStyle w:val="Compact"/>
            </w:pPr>
          </w:p>
        </w:tc>
      </w:tr>
    </w:tbl>
    <w:bookmarkEnd w:id="23"/>
    <w:bookmarkStart w:id="24" w:name="X1931483e2f646b509f1eb6c7575465cb891b4ef"/>
    <w:p>
      <w:pPr>
        <w:pStyle w:val="Heading2"/>
      </w:pPr>
      <w:r>
        <w:t xml:space="preserve">4.3 Top 10 Risks Requiring Immediate Attention</w:t>
      </w:r>
    </w:p>
    <w:p>
      <w:pPr>
        <w:pStyle w:val="FirstParagraph"/>
      </w:pPr>
      <w:r>
        <w:t xml:space="preserve">The following risks are rated Critical or High and are ordered by priority. All must have active mitigations in progress before Phase 1 development begins.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Risk ID</w:t>
            </w:r>
          </w:p>
        </w:tc>
        <w:tc>
          <w:tcPr/>
          <w:p>
            <w:pPr>
              <w:pStyle w:val="Compact"/>
            </w:pPr>
            <w:r>
              <w:t xml:space="preserve">Score</w:t>
            </w:r>
          </w:p>
        </w:tc>
        <w:tc>
          <w:tcPr/>
          <w:p>
            <w:pPr>
              <w:pStyle w:val="Compact"/>
            </w:pPr>
            <w:r>
              <w:t xml:space="preserve">Description</w:t>
            </w:r>
          </w:p>
        </w:tc>
        <w:tc>
          <w:tcPr/>
          <w:p>
            <w:pPr>
              <w:pStyle w:val="Compact"/>
            </w:pPr>
            <w:r>
              <w:t xml:space="preserve">Target Date</w:t>
            </w:r>
          </w:p>
        </w:tc>
      </w:tr>
      <w:tr>
        <w:tc>
          <w:tcPr/>
          <w:p>
            <w:pPr>
              <w:pStyle w:val="Compact"/>
            </w:pPr>
            <w:r>
              <w:t xml:space="preserve">1</w:t>
            </w:r>
          </w:p>
        </w:tc>
        <w:tc>
          <w:tcPr/>
          <w:p>
            <w:pPr>
              <w:pStyle w:val="Compact"/>
            </w:pPr>
            <w:r>
              <w:t xml:space="preserve">RISK-001</w:t>
            </w:r>
          </w:p>
        </w:tc>
        <w:tc>
          <w:tcPr/>
          <w:p>
            <w:pPr>
              <w:pStyle w:val="Compact"/>
            </w:pPr>
            <w:r>
              <w:t xml:space="preserve">Critical (9)</w:t>
            </w:r>
          </w:p>
        </w:tc>
        <w:tc>
          <w:tcPr/>
          <w:p>
            <w:pPr>
              <w:pStyle w:val="Compact"/>
            </w:pPr>
            <w:r>
              <w:t xml:space="preserve">URA EFRIS API credentials not obtained — blocks Sales and Accounting SRS finalisation and Phase 1 go-live.</w:t>
            </w:r>
          </w:p>
        </w:tc>
        <w:tc>
          <w:tcPr/>
          <w:p>
            <w:pPr>
              <w:pStyle w:val="Compact"/>
            </w:pPr>
            <w:r>
              <w:t xml:space="preserve">2026-05-01</w:t>
            </w:r>
          </w:p>
        </w:tc>
      </w:tr>
      <w:tr>
        <w:tc>
          <w:tcPr/>
          <w:p>
            <w:pPr>
              <w:pStyle w:val="Compact"/>
            </w:pPr>
            <w:r>
              <w:t xml:space="preserve">2</w:t>
            </w:r>
          </w:p>
        </w:tc>
        <w:tc>
          <w:tcPr/>
          <w:p>
            <w:pPr>
              <w:pStyle w:val="Compact"/>
            </w:pPr>
            <w:r>
              <w:t xml:space="preserve">RISK-011</w:t>
            </w:r>
          </w:p>
        </w:tc>
        <w:tc>
          <w:tcPr/>
          <w:p>
            <w:pPr>
              <w:pStyle w:val="Compact"/>
            </w:pPr>
            <w:r>
              <w:t xml:space="preserve">Critical (9)</w:t>
            </w:r>
          </w:p>
        </w:tc>
        <w:tc>
          <w:tcPr/>
          <w:p>
            <w:pPr>
              <w:pStyle w:val="Compact"/>
            </w:pPr>
            <w:r>
              <w:t xml:space="preserve">MTN MoMo bulk payment API not obtained — blocks payroll disbursement, cooperative payment, and bulk transfer features.</w:t>
            </w:r>
          </w:p>
        </w:tc>
        <w:tc>
          <w:tcPr/>
          <w:p>
            <w:pPr>
              <w:pStyle w:val="Compact"/>
            </w:pPr>
            <w:r>
              <w:t xml:space="preserve">2026-05-15</w:t>
            </w:r>
          </w:p>
        </w:tc>
      </w:tr>
      <w:tr>
        <w:tc>
          <w:tcPr/>
          <w:p>
            <w:pPr>
              <w:pStyle w:val="Compact"/>
            </w:pPr>
            <w:r>
              <w:t xml:space="preserve">3</w:t>
            </w:r>
          </w:p>
        </w:tc>
        <w:tc>
          <w:tcPr/>
          <w:p>
            <w:pPr>
              <w:pStyle w:val="Compact"/>
            </w:pPr>
            <w:r>
              <w:t xml:space="preserve">RISK-008</w:t>
            </w:r>
          </w:p>
        </w:tc>
        <w:tc>
          <w:tcPr/>
          <w:p>
            <w:pPr>
              <w:pStyle w:val="Compact"/>
            </w:pPr>
            <w:r>
              <w:t xml:space="preserve">High (6)</w:t>
            </w:r>
          </w:p>
        </w:tc>
        <w:tc>
          <w:tcPr/>
          <w:p>
            <w:pPr>
              <w:pStyle w:val="Compact"/>
            </w:pPr>
            <w:r>
              <w:t xml:space="preserve">Accounting period close behaviour unspecified — no audit-grade GL close procedure defined; blocks Accounting module development.</w:t>
            </w:r>
          </w:p>
        </w:tc>
        <w:tc>
          <w:tcPr/>
          <w:p>
            <w:pPr>
              <w:pStyle w:val="Compact"/>
            </w:pPr>
            <w:r>
              <w:t xml:space="preserve">2026-06-01</w:t>
            </w:r>
          </w:p>
        </w:tc>
      </w:tr>
      <w:tr>
        <w:tc>
          <w:tcPr/>
          <w:p>
            <w:pPr>
              <w:pStyle w:val="Compact"/>
            </w:pPr>
            <w:r>
              <w:t xml:space="preserve">4</w:t>
            </w:r>
          </w:p>
        </w:tc>
        <w:tc>
          <w:tcPr/>
          <w:p>
            <w:pPr>
              <w:pStyle w:val="Compact"/>
            </w:pPr>
            <w:r>
              <w:t xml:space="preserve">RISK-004</w:t>
            </w:r>
          </w:p>
        </w:tc>
        <w:tc>
          <w:tcPr/>
          <w:p>
            <w:pPr>
              <w:pStyle w:val="Compact"/>
            </w:pPr>
            <w:r>
              <w:t xml:space="preserve">High (6)</w:t>
            </w:r>
          </w:p>
        </w:tc>
        <w:tc>
          <w:tcPr/>
          <w:p>
            <w:pPr>
              <w:pStyle w:val="Compact"/>
            </w:pPr>
            <w:r>
              <w:t xml:space="preserve">Multi-tenancy security review not commissioned — tenant data isolation unverified; blocks first tenant onboarding.</w:t>
            </w:r>
          </w:p>
        </w:tc>
        <w:tc>
          <w:tcPr/>
          <w:p>
            <w:pPr>
              <w:pStyle w:val="Compact"/>
            </w:pPr>
            <w:r>
              <w:t xml:space="preserve">2026-06-01</w:t>
            </w:r>
          </w:p>
        </w:tc>
      </w:tr>
      <w:tr>
        <w:tc>
          <w:tcPr/>
          <w:p>
            <w:pPr>
              <w:pStyle w:val="Compact"/>
            </w:pPr>
            <w:r>
              <w:t xml:space="preserve">5</w:t>
            </w:r>
          </w:p>
        </w:tc>
        <w:tc>
          <w:tcPr/>
          <w:p>
            <w:pPr>
              <w:pStyle w:val="Compact"/>
            </w:pPr>
            <w:r>
              <w:t xml:space="preserve">RISK-024</w:t>
            </w:r>
          </w:p>
        </w:tc>
        <w:tc>
          <w:tcPr/>
          <w:p>
            <w:pPr>
              <w:pStyle w:val="Compact"/>
            </w:pPr>
            <w:r>
              <w:t xml:space="preserve">High (6)</w:t>
            </w:r>
          </w:p>
        </w:tc>
        <w:tc>
          <w:tcPr/>
          <w:p>
            <w:pPr>
              <w:pStyle w:val="Compact"/>
            </w:pPr>
            <w:r>
              <w:t xml:space="preserve">Solo developer dependency — no continuity plan; any unavailability halts all development and support.</w:t>
            </w:r>
          </w:p>
        </w:tc>
        <w:tc>
          <w:tcPr/>
          <w:p>
            <w:pPr>
              <w:pStyle w:val="Compact"/>
            </w:pPr>
            <w:r>
              <w:t xml:space="preserve">2026-09-30</w:t>
            </w:r>
          </w:p>
        </w:tc>
      </w:tr>
      <w:tr>
        <w:tc>
          <w:tcPr/>
          <w:p>
            <w:pPr>
              <w:pStyle w:val="Compact"/>
            </w:pPr>
            <w:r>
              <w:t xml:space="preserve">6</w:t>
            </w:r>
          </w:p>
        </w:tc>
        <w:tc>
          <w:tcPr/>
          <w:p>
            <w:pPr>
              <w:pStyle w:val="Compact"/>
            </w:pPr>
            <w:r>
              <w:t xml:space="preserve">RISK-007</w:t>
            </w:r>
          </w:p>
        </w:tc>
        <w:tc>
          <w:tcPr/>
          <w:p>
            <w:pPr>
              <w:pStyle w:val="Compact"/>
            </w:pPr>
            <w:r>
              <w:t xml:space="preserve">High (6)</w:t>
            </w:r>
          </w:p>
        </w:tc>
        <w:tc>
          <w:tcPr/>
          <w:p>
            <w:pPr>
              <w:pStyle w:val="Compact"/>
            </w:pPr>
            <w:r>
              <w:t xml:space="preserve">Uganda Data Protection Act legal review not commissioned — HR &amp; Payroll data handling legally unverified.</w:t>
            </w:r>
          </w:p>
        </w:tc>
        <w:tc>
          <w:tcPr/>
          <w:p>
            <w:pPr>
              <w:pStyle w:val="Compact"/>
            </w:pPr>
            <w:r>
              <w:t xml:space="preserve">2026-06-15</w:t>
            </w:r>
          </w:p>
        </w:tc>
      </w:tr>
      <w:tr>
        <w:tc>
          <w:tcPr/>
          <w:p>
            <w:pPr>
              <w:pStyle w:val="Compact"/>
            </w:pPr>
            <w:r>
              <w:t xml:space="preserve">7</w:t>
            </w:r>
          </w:p>
        </w:tc>
        <w:tc>
          <w:tcPr/>
          <w:p>
            <w:pPr>
              <w:pStyle w:val="Compact"/>
            </w:pPr>
            <w:r>
              <w:t xml:space="preserve">RISK-019</w:t>
            </w:r>
          </w:p>
        </w:tc>
        <w:tc>
          <w:tcPr/>
          <w:p>
            <w:pPr>
              <w:pStyle w:val="Compact"/>
            </w:pPr>
            <w:r>
              <w:t xml:space="preserve">High (6)</w:t>
            </w:r>
          </w:p>
        </w:tc>
        <w:tc>
          <w:tcPr/>
          <w:p>
            <w:pPr>
              <w:pStyle w:val="Compact"/>
            </w:pPr>
            <w:r>
              <w:t xml:space="preserve">EFRIS API downtime has no queue-and-retry mechanism — invoice submission can be blocked indefinitely.</w:t>
            </w:r>
          </w:p>
        </w:tc>
        <w:tc>
          <w:tcPr/>
          <w:p>
            <w:pPr>
              <w:pStyle w:val="Compact"/>
            </w:pPr>
            <w:r>
              <w:t xml:space="preserve">2026-06-01</w:t>
            </w:r>
          </w:p>
        </w:tc>
      </w:tr>
      <w:tr>
        <w:tc>
          <w:tcPr/>
          <w:p>
            <w:pPr>
              <w:pStyle w:val="Compact"/>
            </w:pPr>
            <w:r>
              <w:t xml:space="preserve">8</w:t>
            </w:r>
          </w:p>
        </w:tc>
        <w:tc>
          <w:tcPr/>
          <w:p>
            <w:pPr>
              <w:pStyle w:val="Compact"/>
            </w:pPr>
            <w:r>
              <w:t xml:space="preserve">RISK-021</w:t>
            </w:r>
          </w:p>
        </w:tc>
        <w:tc>
          <w:tcPr/>
          <w:p>
            <w:pPr>
              <w:pStyle w:val="Compact"/>
            </w:pPr>
            <w:r>
              <w:t xml:space="preserve">High (6)</w:t>
            </w:r>
          </w:p>
        </w:tc>
        <w:tc>
          <w:tcPr/>
          <w:p>
            <w:pPr>
              <w:pStyle w:val="Compact"/>
            </w:pPr>
            <w:r>
              <w:t xml:space="preserve">PII stored without confirmed consent recording or retention controls — Data Protection Act exposure.</w:t>
            </w:r>
          </w:p>
        </w:tc>
        <w:tc>
          <w:tcPr/>
          <w:p>
            <w:pPr>
              <w:pStyle w:val="Compact"/>
            </w:pPr>
            <w:r>
              <w:t xml:space="preserve">2026-07-01</w:t>
            </w:r>
          </w:p>
        </w:tc>
      </w:tr>
      <w:tr>
        <w:tc>
          <w:tcPr/>
          <w:p>
            <w:pPr>
              <w:pStyle w:val="Compact"/>
            </w:pPr>
            <w:r>
              <w:t xml:space="preserve">9</w:t>
            </w:r>
          </w:p>
        </w:tc>
        <w:tc>
          <w:tcPr/>
          <w:p>
            <w:pPr>
              <w:pStyle w:val="Compact"/>
            </w:pPr>
            <w:r>
              <w:t xml:space="preserve">RISK-002</w:t>
            </w:r>
          </w:p>
        </w:tc>
        <w:tc>
          <w:tcPr/>
          <w:p>
            <w:pPr>
              <w:pStyle w:val="Compact"/>
            </w:pPr>
            <w:r>
              <w:t xml:space="preserve">High (6)</w:t>
            </w:r>
          </w:p>
        </w:tc>
        <w:tc>
          <w:tcPr/>
          <w:p>
            <w:pPr>
              <w:pStyle w:val="Compact"/>
            </w:pPr>
            <w:r>
              <w:t xml:space="preserve">URA PAYE graduated band thresholds unconfirmed — statutory returns may use incorrect tax calculations.</w:t>
            </w:r>
          </w:p>
        </w:tc>
        <w:tc>
          <w:tcPr/>
          <w:p>
            <w:pPr>
              <w:pStyle w:val="Compact"/>
            </w:pPr>
            <w:r>
              <w:t xml:space="preserve">2026-05-15</w:t>
            </w:r>
          </w:p>
        </w:tc>
      </w:tr>
      <w:tr>
        <w:tc>
          <w:tcPr/>
          <w:p>
            <w:pPr>
              <w:pStyle w:val="Compact"/>
            </w:pPr>
            <w:r>
              <w:t xml:space="preserve">10</w:t>
            </w:r>
          </w:p>
        </w:tc>
        <w:tc>
          <w:tcPr/>
          <w:p>
            <w:pPr>
              <w:pStyle w:val="Compact"/>
            </w:pPr>
            <w:r>
              <w:t xml:space="preserve">RISK-020</w:t>
            </w:r>
          </w:p>
        </w:tc>
        <w:tc>
          <w:tcPr/>
          <w:p>
            <w:pPr>
              <w:pStyle w:val="Compact"/>
            </w:pPr>
            <w:r>
              <w:t xml:space="preserve">High (6)</w:t>
            </w:r>
          </w:p>
        </w:tc>
        <w:tc>
          <w:tcPr/>
          <w:p>
            <w:pPr>
              <w:pStyle w:val="Compact"/>
            </w:pPr>
            <w:r>
              <w:t xml:space="preserve">Mobile money API breaking changes have no abstraction layer — a single API change could break all disbursement workflows.</w:t>
            </w:r>
          </w:p>
        </w:tc>
        <w:tc>
          <w:tcPr/>
          <w:p>
            <w:pPr>
              <w:pStyle w:val="Compact"/>
            </w:pPr>
            <w:r>
              <w:t xml:space="preserve">2026-06-15</w:t>
            </w:r>
          </w:p>
        </w:tc>
      </w:tr>
    </w:tbl>
    <w:bookmarkEnd w:id="24"/>
    <w:bookmarkStart w:id="25" w:name="X0d7065c35ace2ea672e32e2e21ffebf82c7420e"/>
    <w:p>
      <w:pPr>
        <w:pStyle w:val="Heading2"/>
      </w:pPr>
      <w:r>
        <w:t xml:space="preserve">4.4 Risk Acceptance Statement</w:t>
      </w:r>
    </w:p>
    <w:p>
      <w:pPr>
        <w:pStyle w:val="FirstParagraph"/>
      </w:pPr>
      <w:r>
        <w:t xml:space="preserve">Risks rated Low (2–3) and Minimal (1) are accepted for the current planning horizon, subject to review at the next quarterly register update. Acceptance does not mean the risk is ignored; it means the cost of mitigation before its target date exceeds the cost of the risk materialising.</w:t>
      </w:r>
    </w:p>
    <w:p>
      <w:pPr>
        <w:pStyle w:val="BodyText"/>
      </w:pPr>
      <w:r>
        <w:t xml:space="preserve">All Critical and High risks listed in Section 4.3 are</w:t>
      </w:r>
      <w:r>
        <w:t xml:space="preserve"> </w:t>
      </w:r>
      <w:r>
        <w:rPr>
          <w:b/>
          <w:bCs/>
        </w:rPr>
        <w:t xml:space="preserve">not accepted</w:t>
      </w:r>
      <w:r>
        <w:t xml:space="preserve">. Active mitigation is required. Any Critical or High risk without an active mitigation task in the project backlog by 2026-05-01 must be escalated to the project owner for a formal acceptance decision.</w:t>
      </w:r>
    </w:p>
    <w:bookmarkEnd w:id="25"/>
    <w:bookmarkEnd w:id="26"/>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Risk Assessment</dc:title>
  <dc:creator/>
  <cp:keywords/>
  <dcterms:created xsi:type="dcterms:W3CDTF">2026-08-08T22:02:49Z</dcterms:created>
  <dcterms:modified xsi:type="dcterms:W3CDTF">2026-08-08T22:02:49Z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Governance and Compliance — Project and Operational Risk Register</vt:lpwstr>
  </property>
  <property fmtid="{D5CDD505-2E9C-101B-9397-08002B2CF9AE}" pid="5" name="version">
    <vt:lpwstr>1.0</vt:lpwstr>
  </property>
</Properties>
</file>