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Kraal Code — Software Requirements Specification: AI Intelligence</w:t>
      </w:r>
    </w:p>
    <w:p>
      <w:pPr>
        <w:pStyle w:val="Subtitle"/>
      </w:pPr>
      <w:r>
        <w:t xml:space="preserve">Document Set 02 — Requirements Engineering</w:t>
      </w:r>
    </w:p>
    <w:p>
      <w:pPr>
        <w:pStyle w:val="Date"/>
      </w:pPr>
      <w:r>
        <w:t xml:space="preserve">2026-04-07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Product</w:t>
            </w:r>
          </w:p>
        </w:tc>
        <w:tc>
          <w:tcPr/>
          <w:p>
            <w:pPr>
              <w:pStyle w:val="Compact"/>
            </w:pPr>
            <w:r>
              <w:t xml:space="preserve">Kraal Code</w:t>
            </w:r>
          </w:p>
        </w:tc>
      </w:tr>
      <w:tr>
        <w:tc>
          <w:tcPr/>
          <w:p>
            <w:pPr>
              <w:pStyle w:val="Compact"/>
            </w:pPr>
            <w:r>
              <w:rPr>
                <w:b/>
                <w:bCs/>
              </w:rPr>
              <w:t xml:space="preserve">Document</w:t>
            </w:r>
          </w:p>
        </w:tc>
        <w:tc>
          <w:tcPr/>
          <w:p>
            <w:pPr>
              <w:pStyle w:val="Compact"/>
            </w:pPr>
            <w:r>
              <w:t xml:space="preserve">SRS — AI Intelligence</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Product Website</w:t>
            </w:r>
          </w:p>
        </w:tc>
        <w:tc>
          <w:tcPr/>
          <w:p>
            <w:pPr>
              <w:pStyle w:val="Compact"/>
            </w:pPr>
            <w:r>
              <w:t xml:space="preserve">kraalcode.com</w:t>
            </w:r>
          </w:p>
        </w:tc>
      </w:tr>
      <w:tr>
        <w:tc>
          <w:tcPr/>
          <w:p>
            <w:pPr>
              <w:pStyle w:val="Compact"/>
            </w:pPr>
            <w:r>
              <w:rPr>
                <w:b/>
                <w:bCs/>
              </w:rPr>
              <w:t xml:space="preserve">Company Website</w:t>
            </w:r>
          </w:p>
        </w:tc>
        <w:tc>
          <w:tcPr/>
          <w:p>
            <w:pPr>
              <w:pStyle w:val="Compact"/>
            </w:pPr>
            <w:r>
              <w:t xml:space="preserve">chwezicore.com</w:t>
            </w:r>
          </w:p>
        </w:tc>
      </w:tr>
      <w:tr>
        <w:tc>
          <w:tcPr/>
          <w:p>
            <w:pPr>
              <w:pStyle w:val="Compact"/>
            </w:pPr>
            <w:r>
              <w:rPr>
                <w:b/>
                <w:bCs/>
              </w:rPr>
              <w:t xml:space="preserve">Contact</w:t>
            </w:r>
          </w:p>
        </w:tc>
        <w:tc>
          <w:tcPr/>
          <w:p>
            <w:pPr>
              <w:pStyle w:val="Compact"/>
            </w:pPr>
            <w:hyperlink r:id="rId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 Website</w:t>
            </w:r>
          </w:p>
        </w:tc>
        <w:tc>
          <w:tcPr/>
          <w:p>
            <w:pPr>
              <w:pStyle w:val="Compact"/>
            </w:pPr>
            <w:r>
              <w:t xml:space="preserve">techguypeter.com</w:t>
            </w:r>
          </w:p>
        </w:tc>
      </w:tr>
      <w:tr>
        <w:tc>
          <w:tcPr/>
          <w:p>
            <w:pPr>
              <w:pStyle w:val="Compact"/>
            </w:pPr>
            <w:r>
              <w:rPr>
                <w:b/>
                <w:bCs/>
              </w:rPr>
              <w:t xml:space="preserve">Dev Contact</w:t>
            </w:r>
          </w:p>
        </w:tc>
        <w:tc>
          <w:tcPr/>
          <w:p>
            <w:pPr>
              <w:pStyle w:val="Compact"/>
            </w:pPr>
            <w:hyperlink r:id="rId10">
              <w:r>
                <w:rPr>
                  <w:rStyle w:val="Hyperlink"/>
                </w:rPr>
                <w:t xml:space="preserve">peter@techguypeter.com</w:t>
              </w:r>
            </w:hyperlink>
            <w:r>
              <w:t xml:space="preserve"> </w:t>
            </w:r>
            <w:r>
              <w:t xml:space="preserve">/ +256784464178</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2026-04-07</w:t>
            </w:r>
          </w:p>
        </w:tc>
      </w:tr>
      <w:tr>
        <w:tc>
          <w:tcPr/>
          <w:p>
            <w:pPr>
              <w:pStyle w:val="Compact"/>
            </w:pPr>
            <w:r>
              <w:rPr>
                <w:b/>
                <w:bCs/>
              </w:rPr>
              <w:t xml:space="preserve">Classification</w:t>
            </w:r>
          </w:p>
        </w:tc>
        <w:tc>
          <w:tcPr/>
          <w:p>
            <w:pPr>
              <w:pStyle w:val="Compact"/>
            </w:pPr>
            <w:r>
              <w:t xml:space="preserve">Confidential — Internal Use Only</w:t>
            </w:r>
          </w:p>
        </w:tc>
      </w:tr>
    </w:tbl>
    <w:p>
      <w:pPr>
        <w:pStyle w:val="BodyText"/>
      </w:pPr>
      <w:r>
        <w:rPr>
          <w:i/>
          <w:iCs/>
        </w:rPr>
        <w:t xml:space="preserve">This document is the property of Chwezi Core Systems. Unauthorised reproduction or distribution is prohibited.</w:t>
      </w:r>
    </w:p>
    <w:bookmarkStart w:id="18" w:name="X23e795e0ff6206bc8282efbed3a7a8771e890e9"/>
    <w:p>
      <w:pPr>
        <w:pStyle w:val="Heading1"/>
      </w:pPr>
      <w:r>
        <w:t xml:space="preserve">Introduction to the AI Intelligence Module SRS</w:t>
      </w:r>
    </w:p>
    <w:bookmarkStart w:id="11" w:name="Xe94c4103db6bb764aa3b798144b782dac27f424"/>
    <w:p>
      <w:pPr>
        <w:pStyle w:val="Heading2"/>
      </w:pPr>
      <w:r>
        <w:t xml:space="preserve">1.1 Purpose</w:t>
      </w:r>
    </w:p>
    <w:p>
      <w:pPr>
        <w:pStyle w:val="FirstParagraph"/>
      </w:pPr>
      <w:r>
        <w:t xml:space="preserve">This Software Requirements Specification (SRS) defines the functional and non-functional requirements for the AI Intelligence Module of Kraal Code, a multi-tenant Software as a Service (SaaS) enterprise resource planning platform developed by Chwezi Core Systems. It covers five AI feature groups — cash flow forecasting, GL anomaly detection, demand forecasting, debtor risk scoring, and narrative financial reports — in sufficient detail to permit design, implementation, and verification.</w:t>
      </w:r>
    </w:p>
    <w:bookmarkEnd w:id="11"/>
    <w:bookmarkStart w:id="12" w:name="X3378fde8998068a01e48267892e5cd923e9bc15"/>
    <w:p>
      <w:pPr>
        <w:pStyle w:val="Heading2"/>
      </w:pPr>
      <w:r>
        <w:t xml:space="preserve">1.2 Scope</w:t>
      </w:r>
    </w:p>
    <w:p>
      <w:pPr>
        <w:pStyle w:val="FirstParagraph"/>
      </w:pPr>
      <w:r>
        <w:t xml:space="preserve">The AI Intelligence Module is an optional paid add-on available on Professional, Business, and Enterprise subscription plans. It is disabled by default. All AI features operate exclusively on the tenant's own transaction data; no tenant data is shared across tenants or transmitted to third-party services except where the tenant has explicitly configured a Claude API key for narrative report generation (FR-AI-005).</w:t>
      </w:r>
    </w:p>
    <w:bookmarkEnd w:id="12"/>
    <w:bookmarkStart w:id="13" w:name="Xd5a0e21e2c4be1b3f832452d2b85caef2992d2e"/>
    <w:p>
      <w:pPr>
        <w:pStyle w:val="Heading2"/>
      </w:pPr>
      <w:r>
        <w:t xml:space="preserve">1.3 Definitions, Acronyms, and Abbreviations</w:t>
      </w:r>
    </w:p>
    <w:p>
      <w:pPr>
        <w:pStyle w:val="FirstParagraph"/>
      </w:pPr>
      <w:r>
        <w:t xml:space="preserve">The following terms are used throughout this document per IEEE Std 610.12-1990 definitions unless otherwise noted.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i/>
                <w:iCs/>
              </w:rPr>
              <w:t xml:space="preserve">Anomaly Score</w:t>
            </w:r>
          </w:p>
        </w:tc>
        <w:tc>
          <w:tcPr/>
          <w:p>
            <w:pPr>
              <w:pStyle w:val="Compact"/>
            </w:pPr>
            <w:r>
              <w:t xml:space="preserve">A composite integer score (0–4) produced by the GL anomaly classifier for each journal entry, representing the count of anomaly classifiers triggered</w:t>
            </w:r>
          </w:p>
        </w:tc>
      </w:tr>
      <w:tr>
        <w:tc>
          <w:tcPr/>
          <w:p>
            <w:pPr>
              <w:pStyle w:val="Compact"/>
            </w:pPr>
            <w:r>
              <w:rPr>
                <w:i/>
                <w:iCs/>
              </w:rPr>
              <w:t xml:space="preserve">Risk Scorecard</w:t>
            </w:r>
          </w:p>
        </w:tc>
        <w:tc>
          <w:tcPr/>
          <w:p>
            <w:pPr>
              <w:pStyle w:val="Compact"/>
            </w:pPr>
            <w:r>
              <w:t xml:space="preserve">A weighted composite score (0–100) computed per customer to indicate probability of late payment or default</w:t>
            </w:r>
          </w:p>
        </w:tc>
      </w:tr>
      <w:tr>
        <w:tc>
          <w:tcPr/>
          <w:p>
            <w:pPr>
              <w:pStyle w:val="Compact"/>
            </w:pPr>
            <w:r>
              <w:rPr>
                <w:i/>
                <w:iCs/>
              </w:rPr>
              <w:t xml:space="preserve">Narrative Commentary</w:t>
            </w:r>
          </w:p>
        </w:tc>
        <w:tc>
          <w:tcPr/>
          <w:p>
            <w:pPr>
              <w:pStyle w:val="Compact"/>
            </w:pPr>
            <w:r>
              <w:t xml:space="preserve">A plain-English management commentary generated by a large language model from structured financial data</w:t>
            </w:r>
          </w:p>
        </w:tc>
      </w:tr>
      <w:tr>
        <w:tc>
          <w:tcPr/>
          <w:p>
            <w:pPr>
              <w:pStyle w:val="Compact"/>
            </w:pPr>
            <w:r>
              <w:rPr>
                <w:i/>
                <w:iCs/>
              </w:rPr>
              <w:t xml:space="preserve">MAE</w:t>
            </w:r>
          </w:p>
        </w:tc>
        <w:tc>
          <w:tcPr/>
          <w:p>
            <w:pPr>
              <w:pStyle w:val="Compact"/>
            </w:pPr>
            <w:r>
              <w:t xml:space="preserve">Mean Absolute Error — the average of absolute differences between forecast and actual values, expressed as a percentage of the actual</w:t>
            </w:r>
          </w:p>
        </w:tc>
      </w:tr>
      <w:tr>
        <w:tc>
          <w:tcPr/>
          <w:p>
            <w:pPr>
              <w:pStyle w:val="Compact"/>
            </w:pPr>
            <w:r>
              <w:t xml:space="preserve">EAT</w:t>
            </w:r>
          </w:p>
        </w:tc>
        <w:tc>
          <w:tcPr/>
          <w:p>
            <w:pPr>
              <w:pStyle w:val="Compact"/>
            </w:pPr>
            <w:r>
              <w:t xml:space="preserve">East Africa Time — UTC+3</w:t>
            </w:r>
          </w:p>
        </w:tc>
      </w:tr>
      <w:tr>
        <w:tc>
          <w:tcPr/>
          <w:p>
            <w:pPr>
              <w:pStyle w:val="Compact"/>
            </w:pPr>
            <w:r>
              <w:t xml:space="preserve">FR</w:t>
            </w:r>
          </w:p>
        </w:tc>
        <w:tc>
          <w:tcPr/>
          <w:p>
            <w:pPr>
              <w:pStyle w:val="Compact"/>
            </w:pPr>
            <w:r>
              <w:t xml:space="preserve">Functional Requirement</w:t>
            </w:r>
          </w:p>
        </w:tc>
      </w:tr>
      <w:tr>
        <w:tc>
          <w:tcPr/>
          <w:p>
            <w:pPr>
              <w:pStyle w:val="Compact"/>
            </w:pPr>
            <w:r>
              <w:t xml:space="preserve">NFR</w:t>
            </w:r>
          </w:p>
        </w:tc>
        <w:tc>
          <w:tcPr/>
          <w:p>
            <w:pPr>
              <w:pStyle w:val="Compact"/>
            </w:pPr>
            <w:r>
              <w:t xml:space="preserve">Non-Functional Requirement</w:t>
            </w:r>
          </w:p>
        </w:tc>
      </w:tr>
      <w:tr>
        <w:tc>
          <w:tcPr/>
          <w:p>
            <w:pPr>
              <w:pStyle w:val="Compact"/>
            </w:pPr>
            <w:r>
              <w:t xml:space="preserve">GL</w:t>
            </w:r>
          </w:p>
        </w:tc>
        <w:tc>
          <w:tcPr/>
          <w:p>
            <w:pPr>
              <w:pStyle w:val="Compact"/>
            </w:pPr>
            <w:r>
              <w:t xml:space="preserve">General Ledger — the master record of all financial transactions</w:t>
            </w:r>
          </w:p>
        </w:tc>
      </w:tr>
      <w:tr>
        <w:tc>
          <w:tcPr/>
          <w:p>
            <w:pPr>
              <w:pStyle w:val="Compact"/>
            </w:pPr>
            <w:r>
              <w:t xml:space="preserve">AR</w:t>
            </w:r>
          </w:p>
        </w:tc>
        <w:tc>
          <w:tcPr/>
          <w:p>
            <w:pPr>
              <w:pStyle w:val="Compact"/>
            </w:pPr>
            <w:r>
              <w:t xml:space="preserve">Accounts Receivable</w:t>
            </w:r>
          </w:p>
        </w:tc>
      </w:tr>
      <w:tr>
        <w:tc>
          <w:tcPr/>
          <w:p>
            <w:pPr>
              <w:pStyle w:val="Compact"/>
            </w:pPr>
            <w:r>
              <w:t xml:space="preserve">AP</w:t>
            </w:r>
          </w:p>
        </w:tc>
        <w:tc>
          <w:tcPr/>
          <w:p>
            <w:pPr>
              <w:pStyle w:val="Compact"/>
            </w:pPr>
            <w:r>
              <w:t xml:space="preserve">Accounts Payable</w:t>
            </w:r>
          </w:p>
        </w:tc>
      </w:tr>
      <w:tr>
        <w:tc>
          <w:tcPr/>
          <w:p>
            <w:pPr>
              <w:pStyle w:val="Compact"/>
            </w:pPr>
            <w:r>
              <w:t xml:space="preserve">SaaS</w:t>
            </w:r>
          </w:p>
        </w:tc>
        <w:tc>
          <w:tcPr/>
          <w:p>
            <w:pPr>
              <w:pStyle w:val="Compact"/>
            </w:pPr>
            <w:r>
              <w:t xml:space="preserve">Software as a Service</w:t>
            </w:r>
          </w:p>
        </w:tc>
      </w:tr>
      <w:tr>
        <w:tc>
          <w:tcPr/>
          <w:p>
            <w:pPr>
              <w:pStyle w:val="Compact"/>
            </w:pPr>
            <w:r>
              <w:t xml:space="preserve">SRS</w:t>
            </w:r>
          </w:p>
        </w:tc>
        <w:tc>
          <w:tcPr/>
          <w:p>
            <w:pPr>
              <w:pStyle w:val="Compact"/>
            </w:pPr>
            <w:r>
              <w:t xml:space="preserve">Software Requirements Specification</w:t>
            </w:r>
          </w:p>
        </w:tc>
      </w:tr>
      <w:tr>
        <w:tc>
          <w:tcPr/>
          <w:p>
            <w:pPr>
              <w:pStyle w:val="Compact"/>
            </w:pPr>
            <w:r>
              <w:t xml:space="preserve">P95</w:t>
            </w:r>
          </w:p>
        </w:tc>
        <w:tc>
          <w:tcPr/>
          <w:p>
            <w:pPr>
              <w:pStyle w:val="Compact"/>
            </w:pPr>
            <w:r>
              <w:t xml:space="preserve">95th percentile response time under measured load</w:t>
            </w:r>
          </w:p>
        </w:tc>
      </w:tr>
      <w:tr>
        <w:tc>
          <w:tcPr/>
          <w:p>
            <w:pPr>
              <w:pStyle w:val="Compact"/>
            </w:pPr>
            <w:r>
              <w:t xml:space="preserve">TLS</w:t>
            </w:r>
          </w:p>
        </w:tc>
        <w:tc>
          <w:tcPr/>
          <w:p>
            <w:pPr>
              <w:pStyle w:val="Compact"/>
            </w:pPr>
            <w:r>
              <w:t xml:space="preserve">Transport Layer Security</w:t>
            </w:r>
          </w:p>
        </w:tc>
      </w:tr>
      <w:tr>
        <w:tc>
          <w:tcPr/>
          <w:p>
            <w:pPr>
              <w:pStyle w:val="Compact"/>
            </w:pPr>
            <w:r>
              <w:t xml:space="preserve">LLM</w:t>
            </w:r>
          </w:p>
        </w:tc>
        <w:tc>
          <w:tcPr/>
          <w:p>
            <w:pPr>
              <w:pStyle w:val="Compact"/>
            </w:pPr>
            <w:r>
              <w:t xml:space="preserve">Large Language Model</w:t>
            </w:r>
          </w:p>
        </w:tc>
      </w:tr>
    </w:tbl>
    <w:bookmarkEnd w:id="13"/>
    <w:bookmarkStart w:id="14" w:name="Xc3420a3bdd38909191565f2bec81bedf2f63bd3"/>
    <w:p>
      <w:pPr>
        <w:pStyle w:val="Heading2"/>
      </w:pPr>
      <w:r>
        <w:t xml:space="preserve">1.4 Applicable Standards</w:t>
      </w:r>
    </w:p>
    <w:p>
      <w:pPr>
        <w:pStyle w:val="FirstParagraph"/>
      </w:pPr>
      <w:r>
        <w:t xml:space="preserve">The requirements in this document are grounded in the following standards.</w:t>
      </w:r>
    </w:p>
    <w:p>
      <w:pPr>
        <w:pStyle w:val="Compact"/>
        <w:numPr>
          <w:ilvl w:val="0"/>
          <w:numId w:val="1001"/>
        </w:numPr>
      </w:pPr>
      <w:r>
        <w:t xml:space="preserve">IEEE Std 830-1998 — Recommended Practice for Software Requirements Specifications</w:t>
      </w:r>
    </w:p>
    <w:p>
      <w:pPr>
        <w:pStyle w:val="Compact"/>
        <w:numPr>
          <w:ilvl w:val="0"/>
          <w:numId w:val="1001"/>
        </w:numPr>
      </w:pPr>
      <w:r>
        <w:t xml:space="preserve">IEEE Std 1233-1998 — Guide for Developing System Requirements Specifications</w:t>
      </w:r>
    </w:p>
    <w:p>
      <w:pPr>
        <w:pStyle w:val="Compact"/>
        <w:numPr>
          <w:ilvl w:val="0"/>
          <w:numId w:val="1001"/>
        </w:numPr>
      </w:pPr>
      <w:r>
        <w:t xml:space="preserve">IEEE Std 610.12-1990 — Standard Glossary of Software Engineering Terminology</w:t>
      </w:r>
    </w:p>
    <w:p>
      <w:pPr>
        <w:pStyle w:val="Compact"/>
        <w:numPr>
          <w:ilvl w:val="0"/>
          <w:numId w:val="1001"/>
        </w:numPr>
      </w:pPr>
      <w:r>
        <w:t xml:space="preserve">ASTM E1340 — Standard Guide for Rapid Prototyping of Computerised Systems</w:t>
      </w:r>
    </w:p>
    <w:bookmarkEnd w:id="14"/>
    <w:bookmarkStart w:id="15" w:name="Xd26f9afbe842d3f71bdc8df4875dfaaf3d8fd5d"/>
    <w:p>
      <w:pPr>
        <w:pStyle w:val="Heading2"/>
      </w:pPr>
      <w:r>
        <w:t xml:space="preserve">1.5 Overview of This Document</w:t>
      </w:r>
    </w:p>
    <w:p>
      <w:pPr>
        <w:pStyle w:val="FirstParagraph"/>
      </w:pPr>
      <w:r>
        <w:t xml:space="preserve">Section 3 specifies the five functional requirements (FR-AI-001 through FR-AI-005). Section 4 defines Non-Functional Requirements governing performance, accuracy, data privacy, graceful degradation, and data minimums. Section 5 presents the Traceability Matrix mapping every FR to its PRD feature and business goal.</w:t>
      </w:r>
    </w:p>
    <w:bookmarkEnd w:id="15"/>
    <w:bookmarkStart w:id="16" w:name="X86c80e5c92427c6027d2d97ed85b3a2608dc173"/>
    <w:p>
      <w:pPr>
        <w:pStyle w:val="Heading2"/>
      </w:pPr>
      <w:r>
        <w:t xml:space="preserve">1.6 Business Goals</w:t>
      </w:r>
    </w:p>
    <w:p>
      <w:pPr>
        <w:pStyle w:val="FirstParagraph"/>
      </w:pPr>
      <w:r>
        <w:t xml:space="preserve">The following business goals govern requirement priority and traceability throughout this SRS.</w:t>
      </w:r>
    </w:p>
    <w:p>
      <w:pPr>
        <w:pStyle w:val="Compact"/>
        <w:numPr>
          <w:ilvl w:val="0"/>
          <w:numId w:val="1002"/>
        </w:numPr>
      </w:pPr>
      <w:r>
        <w:rPr>
          <w:b/>
          <w:bCs/>
        </w:rPr>
        <w:t xml:space="preserve">BG-AI-001:</w:t>
      </w:r>
      <w:r>
        <w:t xml:space="preserve"> </w:t>
      </w:r>
      <w:r>
        <w:t xml:space="preserve">Prevent cash flow crises by providing Finance Directors with 90-day forward cash position visibility.</w:t>
      </w:r>
    </w:p>
    <w:p>
      <w:pPr>
        <w:pStyle w:val="Compact"/>
        <w:numPr>
          <w:ilvl w:val="0"/>
          <w:numId w:val="1002"/>
        </w:numPr>
      </w:pPr>
      <w:r>
        <w:rPr>
          <w:b/>
          <w:bCs/>
        </w:rPr>
        <w:t xml:space="preserve">BG-AI-002:</w:t>
      </w:r>
      <w:r>
        <w:t xml:space="preserve"> </w:t>
      </w:r>
      <w:r>
        <w:t xml:space="preserve">Detect internal fraud and unusual posting patterns through automated GL anomaly classification.</w:t>
      </w:r>
    </w:p>
    <w:p>
      <w:pPr>
        <w:pStyle w:val="Compact"/>
        <w:numPr>
          <w:ilvl w:val="0"/>
          <w:numId w:val="1002"/>
        </w:numPr>
      </w:pPr>
      <w:r>
        <w:rPr>
          <w:b/>
          <w:bCs/>
        </w:rPr>
        <w:t xml:space="preserve">BG-AI-003:</w:t>
      </w:r>
      <w:r>
        <w:t xml:space="preserve"> </w:t>
      </w:r>
      <w:r>
        <w:t xml:space="preserve">Eliminate stockouts and reduce over-stocking by generating data-driven reorder recommendations.</w:t>
      </w:r>
    </w:p>
    <w:p>
      <w:pPr>
        <w:pStyle w:val="Compact"/>
        <w:numPr>
          <w:ilvl w:val="0"/>
          <w:numId w:val="1002"/>
        </w:numPr>
      </w:pPr>
      <w:r>
        <w:rPr>
          <w:b/>
          <w:bCs/>
        </w:rPr>
        <w:t xml:space="preserve">BG-AI-004:</w:t>
      </w:r>
      <w:r>
        <w:t xml:space="preserve"> </w:t>
      </w:r>
      <w:r>
        <w:t xml:space="preserve">Reduce bad debt exposure by gating credit sales on a real-time customer payment risk score.</w:t>
      </w:r>
    </w:p>
    <w:p>
      <w:pPr>
        <w:pStyle w:val="Compact"/>
        <w:numPr>
          <w:ilvl w:val="0"/>
          <w:numId w:val="1002"/>
        </w:numPr>
      </w:pPr>
      <w:r>
        <w:rPr>
          <w:b/>
          <w:bCs/>
        </w:rPr>
        <w:t xml:space="preserve">BG-AI-005:</w:t>
      </w:r>
      <w:r>
        <w:t xml:space="preserve"> </w:t>
      </w:r>
      <w:r>
        <w:t xml:space="preserve">Make monthly financial accounts intelligible to non-accountant leadership through plain-English management commentary.</w:t>
      </w:r>
    </w:p>
    <w:bookmarkEnd w:id="16"/>
    <w:bookmarkStart w:id="17" w:name="X2bd6e56f20ac8ae406d5e667fd9b97b701ae3c2"/>
    <w:p>
      <w:pPr>
        <w:pStyle w:val="Heading2"/>
      </w:pPr>
      <w:r>
        <w:t xml:space="preserve">1.7 Assumptions and Dependencies</w:t>
      </w:r>
    </w:p>
    <w:p>
      <w:pPr>
        <w:pStyle w:val="Compact"/>
        <w:numPr>
          <w:ilvl w:val="0"/>
          <w:numId w:val="1003"/>
        </w:numPr>
      </w:pPr>
      <w:r>
        <w:t xml:space="preserve">The tenant has completed onboarding and has at least one of the Professional, Business, or Enterprise subscription plans active.</w:t>
      </w:r>
    </w:p>
    <w:p>
      <w:pPr>
        <w:pStyle w:val="Compact"/>
        <w:numPr>
          <w:ilvl w:val="0"/>
          <w:numId w:val="1003"/>
        </w:numPr>
      </w:pPr>
      <w:r>
        <w:t xml:space="preserve">FR-AI-001 depends on AR, AP, HR &amp; Payroll, and Accounting modules having transaction history present.</w:t>
      </w:r>
    </w:p>
    <w:p>
      <w:pPr>
        <w:pStyle w:val="Compact"/>
        <w:numPr>
          <w:ilvl w:val="0"/>
          <w:numId w:val="1003"/>
        </w:numPr>
      </w:pPr>
      <w:r>
        <w:t xml:space="preserve">FR-AI-002 depends on the Accounting module's journal posting system and the Audit Log module.</w:t>
      </w:r>
    </w:p>
    <w:p>
      <w:pPr>
        <w:pStyle w:val="Compact"/>
        <w:numPr>
          <w:ilvl w:val="0"/>
          <w:numId w:val="1003"/>
        </w:numPr>
      </w:pPr>
      <w:r>
        <w:t xml:space="preserve">FR-AI-003 depends on the Inventory and Sales modules having at least 90 days of sales movement history.</w:t>
      </w:r>
    </w:p>
    <w:p>
      <w:pPr>
        <w:pStyle w:val="Compact"/>
        <w:numPr>
          <w:ilvl w:val="0"/>
          <w:numId w:val="1003"/>
        </w:numPr>
      </w:pPr>
      <w:r>
        <w:t xml:space="preserve">FR-AI-004 depends on the Sales module's credit sales order workflow and the AR aging data.</w:t>
      </w:r>
    </w:p>
    <w:p>
      <w:pPr>
        <w:pStyle w:val="Compact"/>
        <w:numPr>
          <w:ilvl w:val="0"/>
          <w:numId w:val="1003"/>
        </w:numPr>
      </w:pPr>
      <w:r>
        <w:t xml:space="preserve">FR-AI-005 depends on the Accounting module's period-close status and optionally on a tenant-configured Claude API key.</w:t>
      </w:r>
    </w:p>
    <w:p>
      <w:pPr>
        <w:pStyle w:val="Compact"/>
        <w:numPr>
          <w:ilvl w:val="0"/>
          <w:numId w:val="1003"/>
        </w:numPr>
      </w:pPr>
      <w:r>
        <w:t xml:space="preserve">The Billing &amp; Subscriptions platform service enforces plan-level feature gating; this module trusts the gate.</w:t>
      </w:r>
    </w:p>
    <w:bookmarkEnd w:id="17"/>
    <w:bookmarkEnd w:id="18"/>
    <w:bookmarkStart w:id="26" w:name="Xdd6c440987facf539b85f724b4195b90fd76f8c"/>
    <w:p>
      <w:pPr>
        <w:pStyle w:val="Heading1"/>
      </w:pPr>
      <w:r>
        <w:t xml:space="preserve">Module 15: AI Intelligence — Functional Requirements</w:t>
      </w:r>
    </w:p>
    <w:bookmarkStart w:id="19" w:name="X1a28c6faeef5a2b81b44c55905081a24602c257"/>
    <w:p>
      <w:pPr>
        <w:pStyle w:val="Heading2"/>
      </w:pPr>
      <w:r>
        <w:t xml:space="preserve">3.1 FR-AI-001: Cash Flow Forecasting</w:t>
      </w:r>
    </w:p>
    <w:p>
      <w:pPr>
        <w:pStyle w:val="FirstParagraph"/>
      </w:pPr>
      <w:r>
        <w:rPr>
          <w:b/>
          <w:bCs/>
        </w:rPr>
        <w:t xml:space="preserve">FR-AI-001:</w:t>
      </w:r>
      <w:r>
        <w:t xml:space="preserve"> </w:t>
      </w:r>
      <w:r>
        <w:t xml:space="preserve">When the nightly cash flow forecast job runs for a tenant with at least 90 days of transaction history, the system shall retrieve all open AR invoices grouped by due date with the customer's historical average days-to-pay as a payment probability factor, all AP invoices grouped by due date, the next scheduled payroll run date and net payroll amount from the HR module, all loan repayment schedule records, and all tax remittance dates from the tenant's tax calendar. The system shall compute a projected daily net cash position for each of the next 90 calendar days under three scenarios: (a) Best Case — all AR collected on due date, all AP paid on the last allowable date; (b) Base Case — AR collected at the customer's historical average days-to-pay, AP paid on due date; (c) Worst Case — AR collected 30 days beyond due date, AP paid on due date. The system shall store all 270 projection records (3 scenarios × 90 days) in</w:t>
      </w:r>
      <w:r>
        <w:t xml:space="preserve"> </w:t>
      </w:r>
      <w:r>
        <w:rPr>
          <w:rStyle w:val="VerbatimChar"/>
        </w:rPr>
        <w:t xml:space="preserve">ai_cashflow_forecast</w:t>
      </w:r>
      <w:r>
        <w:t xml:space="preserve"> </w:t>
      </w:r>
      <w:r>
        <w:t xml:space="preserve">with tenant ID, scenario, date, opening balance, projected inflows, projected outflows, and closing balance. The Finance Director dashboard shall display the worst-case trough date and amount within 2,000 ms of query. The job shall complete for tenants with up to 10,000 open transactions within 5 minutes of the scheduled 02:00 EAT trigger.</w:t>
      </w:r>
    </w:p>
    <w:bookmarkEnd w:id="19"/>
    <w:bookmarkStart w:id="20" w:name="Xb2b0d69e7d44daaafc1a14a8750db3f7469816f"/>
    <w:p>
      <w:pPr>
        <w:pStyle w:val="Heading2"/>
      </w:pPr>
      <w:r>
        <w:t xml:space="preserve">3.2 FR-AI-002: GL Anomaly Detection</w:t>
      </w:r>
    </w:p>
    <w:p>
      <w:pPr>
        <w:pStyle w:val="FirstParagraph"/>
      </w:pPr>
      <w:r>
        <w:rPr>
          <w:b/>
          <w:bCs/>
        </w:rPr>
        <w:t xml:space="preserve">FR-AI-002:</w:t>
      </w:r>
      <w:r>
        <w:t xml:space="preserve"> </w:t>
      </w:r>
      <w:r>
        <w:t xml:space="preserve">When the post-period-close anomaly scan runs after each accounting period is closed, the system shall evaluate every journal entry posted in the closed period against four anomaly classifiers: (a)</w:t>
      </w:r>
      <w:r>
        <w:t xml:space="preserve"> </w:t>
      </w:r>
      <w:r>
        <w:rPr>
          <w:i/>
          <w:iCs/>
        </w:rPr>
        <w:t xml:space="preserve">Time Anomaly</w:t>
      </w:r>
      <w:r>
        <w:t xml:space="preserve"> </w:t>
      </w:r>
      <w:r>
        <w:t xml:space="preserve">— entry posted between 22:00 and 05:00 EAT or on a gazetted public holiday; (b)</w:t>
      </w:r>
      <w:r>
        <w:t xml:space="preserve"> </w:t>
      </w:r>
      <w:r>
        <w:rPr>
          <w:i/>
          <w:iCs/>
        </w:rPr>
        <w:t xml:space="preserve">Account-Pair Anomaly</w:t>
      </w:r>
      <w:r>
        <w:t xml:space="preserve"> </w:t>
      </w:r>
      <w:r>
        <w:t xml:space="preserve">— debit/credit account combination not observed in the tenant's preceding 12 months of journal history; (c)</w:t>
      </w:r>
      <w:r>
        <w:t xml:space="preserve"> </w:t>
      </w:r>
      <w:r>
        <w:rPr>
          <w:i/>
          <w:iCs/>
        </w:rPr>
        <w:t xml:space="preserve">Round-Number Anomaly</w:t>
      </w:r>
      <w:r>
        <w:t xml:space="preserve"> </w:t>
      </w:r>
      <w:r>
        <w:t xml:space="preserve">— entry amount is a multiple of 1,000,000 UGX with no linked source document ID; (d)</w:t>
      </w:r>
      <w:r>
        <w:t xml:space="preserve"> </w:t>
      </w:r>
      <w:r>
        <w:rPr>
          <w:i/>
          <w:iCs/>
        </w:rPr>
        <w:t xml:space="preserve">Author Anomaly</w:t>
      </w:r>
      <w:r>
        <w:t xml:space="preserve"> </w:t>
      </w:r>
      <w:r>
        <w:t xml:space="preserve">— entry posted by a user whose role has not posted to one of the referenced accounts in the preceding 90 days. Each classifier shall produce a score of 0 (not triggered) or 1 (triggered). Any journal entry with a composite score ≥ 2 shall be written to</w:t>
      </w:r>
      <w:r>
        <w:t xml:space="preserve"> </w:t>
      </w:r>
      <w:r>
        <w:rPr>
          <w:rStyle w:val="VerbatimChar"/>
        </w:rPr>
        <w:t xml:space="preserve">ai_anomaly_flags</w:t>
      </w:r>
      <w:r>
        <w:t xml:space="preserve"> </w:t>
      </w:r>
      <w:r>
        <w:t xml:space="preserve">with journal ID, per-classifier scores, composite score, and flag timestamp, and shall appear in the Finance Director's</w:t>
      </w:r>
      <w:r>
        <w:t xml:space="preserve"> </w:t>
      </w:r>
      <w:r>
        <w:rPr>
          <w:b/>
          <w:bCs/>
        </w:rPr>
        <w:t xml:space="preserve">Anomaly Inbox</w:t>
      </w:r>
      <w:r>
        <w:t xml:space="preserve">. The Finance Director shall be able to mark each flag as "Reviewed — No Issue" or "Escalated — Investigation Required" with a mandatory reason field. Flags not reviewed within 7 calendar days shall be automatically escalated to the Managing Director role. The scan shall process up to 50,000 journal lines per period within 15 minutes of the period-close trigger.</w:t>
      </w:r>
    </w:p>
    <w:bookmarkEnd w:id="20"/>
    <w:bookmarkStart w:id="21" w:name="X7b24086b521f0d50170ff2599a7a572032e10b2"/>
    <w:p>
      <w:pPr>
        <w:pStyle w:val="Heading2"/>
      </w:pPr>
      <w:r>
        <w:t xml:space="preserve">3.3 FR-AI-003: Demand Forecasting and Reorder Recommendations</w:t>
      </w:r>
    </w:p>
    <w:p>
      <w:pPr>
        <w:pStyle w:val="FirstParagraph"/>
      </w:pPr>
      <w:r>
        <w:rPr>
          <w:b/>
          <w:bCs/>
        </w:rPr>
        <w:t xml:space="preserve">FR-AI-003:</w:t>
      </w:r>
      <w:r>
        <w:t xml:space="preserve"> </w:t>
      </w:r>
      <w:r>
        <w:t xml:space="preserve">When the Sunday demand forecast job runs for a tenant with at least 90 days of inventory sales movement history, the system shall — for each active inventory item with at least one sale in the preceding 90 days — compute the 90-day weighted moving average daily demand (linear weights: most recent week receives weight 13, second most recent week receives weight 12, continuing to the oldest week at weight 1, normalised by the sum of weights), apply a seasonal index derived from the ratio of the same 13-week period's average daily demand in the preceding year to the full-year average daily demand for that year (defaulting to 1.0 if fewer than 365 days of history exist), compute projected days of stock as</w:t>
      </w:r>
      <w:r>
        <w:t xml:space="preserve"> </w:t>
      </w:r>
      <w:r>
        <w:rPr>
          <w:rStyle w:val="VerbatimChar"/>
        </w:rPr>
        <w:t xml:space="preserve">current_on_hand ÷ (weighted_avg × seasonal_index)</w:t>
      </w:r>
      <w:r>
        <w:t xml:space="preserve">, and compute recommended reorder quantity as</w:t>
      </w:r>
      <w:r>
        <w:t xml:space="preserve"> </w:t>
      </w:r>
      <w:r>
        <w:rPr>
          <w:rStyle w:val="VerbatimChar"/>
        </w:rPr>
        <w:t xml:space="preserve">(45 × adjusted_daily_demand) − current_on_hand</w:t>
      </w:r>
      <w:r>
        <w:t xml:space="preserve"> </w:t>
      </w:r>
      <w:r>
        <w:t xml:space="preserve">floored at zero. The system shall write a forecast record to</w:t>
      </w:r>
      <w:r>
        <w:t xml:space="preserve"> </w:t>
      </w:r>
      <w:r>
        <w:rPr>
          <w:rStyle w:val="VerbatimChar"/>
        </w:rPr>
        <w:t xml:space="preserve">ai_demand_forecast</w:t>
      </w:r>
      <w:r>
        <w:t xml:space="preserve"> </w:t>
      </w:r>
      <w:r>
        <w:t xml:space="preserve">with item ID, branch ID, current stock, adjusted daily demand, projected days of stock, recommended reorder quantity, and forecast timestamp. Items with projected days of stock &lt; 21 days shall appear in the</w:t>
      </w:r>
      <w:r>
        <w:t xml:space="preserve"> </w:t>
      </w:r>
      <w:r>
        <w:rPr>
          <w:b/>
          <w:bCs/>
        </w:rPr>
        <w:t xml:space="preserve">Reorder Recommendations</w:t>
      </w:r>
      <w:r>
        <w:t xml:space="preserve"> </w:t>
      </w:r>
      <w:r>
        <w:t xml:space="preserve">panel of the Procurement module, sorted by days remaining ascending. A Procurement Officer or above shall be able to convert any recommendation to a Purchase Requisition pre-populated with the recommended quantity via a single action. The job shall process up to 5,000 item-branch combinations within 10 minutes of the scheduled Sunday 01:00 EAT trigger.</w:t>
      </w:r>
    </w:p>
    <w:bookmarkEnd w:id="21"/>
    <w:bookmarkStart w:id="22" w:name="X320fb2bd597665c0d75f64bb843d44522892491"/>
    <w:p>
      <w:pPr>
        <w:pStyle w:val="Heading2"/>
      </w:pPr>
      <w:r>
        <w:t xml:space="preserve">3.3A FR-AI-006: Explainable Inventory Decision Recommendations</w:t>
      </w:r>
    </w:p>
    <w:p>
      <w:pPr>
        <w:pStyle w:val="FirstParagraph"/>
      </w:pPr>
      <w:r>
        <w:rPr>
          <w:b/>
          <w:bCs/>
        </w:rPr>
        <w:t xml:space="preserve">FR-AI-006:</w:t>
      </w:r>
      <w:r>
        <w:t xml:space="preserve"> </w:t>
      </w:r>
      <w:r>
        <w:t xml:space="preserve">When an inventory or supply-chain recommendation is generated, the system shall store a structured explanation containing the top source signals, confidence level, data-quality status, recommended action, expected service impact, expected working-capital impact, and required human approval role. The system shall not allow AI-generated recommendations to directly create purchase orders, production orders, stock movements, or accounting entries. Human users shall explicitly convert recommendations into execution documents, and the conversion shall be written to the audit log with the source recommendation ID.</w:t>
      </w:r>
    </w:p>
    <w:bookmarkEnd w:id="22"/>
    <w:bookmarkStart w:id="23" w:name="Xc4531f5e71a73d42f8bc2221dbc5a303412da14"/>
    <w:p>
      <w:pPr>
        <w:pStyle w:val="Heading2"/>
      </w:pPr>
      <w:r>
        <w:t xml:space="preserve">3.3B FR-AI-007: Excess and Obsolescence Risk Scoring</w:t>
      </w:r>
    </w:p>
    <w:p>
      <w:pPr>
        <w:pStyle w:val="FirstParagraph"/>
      </w:pPr>
      <w:r>
        <w:rPr>
          <w:b/>
          <w:bCs/>
        </w:rPr>
        <w:t xml:space="preserve">FR-AI-007:</w:t>
      </w:r>
      <w:r>
        <w:t xml:space="preserve"> </w:t>
      </w:r>
      <w:r>
        <w:t xml:space="preserve">When the weekly inventory intelligence job runs, the system shall score active item-location records for excess and obsolescence risk using days of supply, last issue date, stock ageing, expiry date where applicable, forecast trend, gross margin, and current stock value. Items above the tenant-defined risk threshold shall appear in the Inventory Manager's</w:t>
      </w:r>
      <w:r>
        <w:t xml:space="preserve"> </w:t>
      </w:r>
      <w:r>
        <w:rPr>
          <w:b/>
          <w:bCs/>
        </w:rPr>
        <w:t xml:space="preserve">Excess Risk Workbench</w:t>
      </w:r>
      <w:r>
        <w:t xml:space="preserve"> </w:t>
      </w:r>
      <w:r>
        <w:t xml:space="preserve">with recommended actions limited to</w:t>
      </w:r>
      <w:r>
        <w:t xml:space="preserve"> </w:t>
      </w:r>
      <w:r>
        <w:rPr>
          <w:rStyle w:val="VerbatimChar"/>
        </w:rPr>
        <w:t xml:space="preserve">discount</w:t>
      </w:r>
      <w:r>
        <w:t xml:space="preserve">,</w:t>
      </w:r>
      <w:r>
        <w:t xml:space="preserve"> </w:t>
      </w:r>
      <w:r>
        <w:rPr>
          <w:rStyle w:val="VerbatimChar"/>
        </w:rPr>
        <w:t xml:space="preserve">transfer</w:t>
      </w:r>
      <w:r>
        <w:t xml:space="preserve">,</w:t>
      </w:r>
      <w:r>
        <w:t xml:space="preserve"> </w:t>
      </w:r>
      <w:r>
        <w:rPr>
          <w:rStyle w:val="VerbatimChar"/>
        </w:rPr>
        <w:t xml:space="preserve">supplier_return</w:t>
      </w:r>
      <w:r>
        <w:t xml:space="preserve">,</w:t>
      </w:r>
      <w:r>
        <w:t xml:space="preserve"> </w:t>
      </w:r>
      <w:r>
        <w:rPr>
          <w:rStyle w:val="VerbatimChar"/>
        </w:rPr>
        <w:t xml:space="preserve">bundle</w:t>
      </w:r>
      <w:r>
        <w:t xml:space="preserve">,</w:t>
      </w:r>
      <w:r>
        <w:t xml:space="preserve"> </w:t>
      </w:r>
      <w:r>
        <w:rPr>
          <w:rStyle w:val="VerbatimChar"/>
        </w:rPr>
        <w:t xml:space="preserve">write_down_review</w:t>
      </w:r>
      <w:r>
        <w:t xml:space="preserve">, or</w:t>
      </w:r>
      <w:r>
        <w:t xml:space="preserve"> </w:t>
      </w:r>
      <w:r>
        <w:rPr>
          <w:rStyle w:val="VerbatimChar"/>
        </w:rPr>
        <w:t xml:space="preserve">hold</w:t>
      </w:r>
      <w:r>
        <w:t xml:space="preserve">. Each recommendation shall show the reason and confidence level.</w:t>
      </w:r>
    </w:p>
    <w:bookmarkEnd w:id="23"/>
    <w:bookmarkStart w:id="24" w:name="X7ffe3ee86ad91a25f3d8fd5673624d26e23ec31"/>
    <w:p>
      <w:pPr>
        <w:pStyle w:val="Heading2"/>
      </w:pPr>
      <w:r>
        <w:t xml:space="preserve">3.4 FR-AI-004: Debtor Default Risk Scoring</w:t>
      </w:r>
    </w:p>
    <w:p>
      <w:pPr>
        <w:pStyle w:val="FirstParagraph"/>
      </w:pPr>
      <w:r>
        <w:rPr>
          <w:b/>
          <w:bCs/>
        </w:rPr>
        <w:t xml:space="preserve">FR-AI-004:</w:t>
      </w:r>
      <w:r>
        <w:t xml:space="preserve"> </w:t>
      </w:r>
      <w:r>
        <w:t xml:space="preserve">When a Sales module user submits a new credit sales order for a customer whose credit account is active, the system shall compute the customer's Risk Score before the order is confirmed using the following weighted scorecard: (a) average days-to-pay in the last 12 months — 0 points if ≤ 30 days, 10 points if 31–60 days, 25 points if &gt; 60 days — weight 40%; (b) current overdue balance as a percentage of credit limit — 0 points if 0%, 10 points if 1–25%, 25 points if &gt; 25% — weight 30%; (c) count of late-paid invoices in the last 6 months — 0 points if 0, 10 points if 1–2, 25 points if ≥ 3 — weight 20%; (d) payment trend — 0 points if improving, 10 points if stable, 25 points if worsening — weight 10%. A composite weighted score of 0–14 shall result in a Green status with no warning displayed. A score of 15–24 shall result in an Amber warning displayed on the order screen; the order may proceed without additional approval. A score of 25–100 shall result in a Red warning; the order shall be held and shall require explicit approval from a user holding the Sales Manager role or above before it is confirmed. The approval action and mandatory reason text shall be written to the audit log. Risk score computation shall complete within 1,000 ms of order submission.</w:t>
      </w:r>
    </w:p>
    <w:bookmarkEnd w:id="24"/>
    <w:bookmarkStart w:id="25" w:name="X497eb745167e42e5297b0d25500db6ac6673101"/>
    <w:p>
      <w:pPr>
        <w:pStyle w:val="Heading2"/>
      </w:pPr>
      <w:r>
        <w:t xml:space="preserve">3.5 FR-AI-005: Narrative Financial Reports</w:t>
      </w:r>
    </w:p>
    <w:p>
      <w:pPr>
        <w:pStyle w:val="FirstParagraph"/>
      </w:pPr>
      <w:r>
        <w:rPr>
          <w:b/>
          <w:bCs/>
        </w:rPr>
        <w:t xml:space="preserve">FR-AI-005:</w:t>
      </w:r>
      <w:r>
        <w:t xml:space="preserve"> </w:t>
      </w:r>
      <w:r>
        <w:t xml:space="preserve">When the 5th calendar day of the month is reached and the preceding month's accounting period has status</w:t>
      </w:r>
      <w:r>
        <w:t xml:space="preserve"> </w:t>
      </w:r>
      <w:r>
        <w:rPr>
          <w:rStyle w:val="VerbatimChar"/>
        </w:rPr>
        <w:t xml:space="preserve">Closed</w:t>
      </w:r>
      <w:r>
        <w:t xml:space="preserve">, the system shall retrieve the closed period's P&amp;L, Balance Sheet, and Cash Flow statement, compare each line to the preceding month's actuals and to the same month's actuals in the prior year, identify the 3 largest positive and 3 largest negative variances versus budget, and generate a Management Commentary containing: (a) one headline sentence comparing net profit to the prior month and to the prior year same month; (b) one paragraph identifying the 3 largest revenue variances versus budget with a one-clause explanation for each; (c) one paragraph identifying the 3 largest expense variances versus budget with a one-clause explanation for each; (d) a "3 Things to Act On This Month" list derived from the variance analysis and the 90-day cash flow forecast. The commentary shall be generated using the Claude API (</w:t>
      </w:r>
      <w:r>
        <w:rPr>
          <w:rStyle w:val="VerbatimChar"/>
        </w:rPr>
        <w:t xml:space="preserve">claude-sonnet-4-6</w:t>
      </w:r>
      <w:r>
        <w:t xml:space="preserve"> </w:t>
      </w:r>
      <w:r>
        <w:t xml:space="preserve">model), stored as an HTML document in</w:t>
      </w:r>
      <w:r>
        <w:t xml:space="preserve"> </w:t>
      </w:r>
      <w:r>
        <w:rPr>
          <w:rStyle w:val="VerbatimChar"/>
        </w:rPr>
        <w:t xml:space="preserve">ai_narratives</w:t>
      </w:r>
      <w:r>
        <w:t xml:space="preserve"> </w:t>
      </w:r>
      <w:r>
        <w:t xml:space="preserve">with period ID, generation timestamp, and review status, and delivered as a push notification to all users holding the Finance Director, Managing Director, or Board Observer role. The Finance Director shall be able to edit the generated commentary before it is published to Board Observer role recipients. The generation job shall complete within 60 seconds of trigger. For tenants without a configured Claude API key, the system shall generate a structured data summary in place of the narrative text and display a configuration prompt.</w:t>
      </w:r>
    </w:p>
    <w:bookmarkEnd w:id="25"/>
    <w:bookmarkEnd w:id="26"/>
    <w:bookmarkStart w:id="33" w:name="Xa1b9a721c5550c543176eb0fabc53ff7c000629"/>
    <w:p>
      <w:pPr>
        <w:pStyle w:val="Heading1"/>
      </w:pPr>
      <w:r>
        <w:t xml:space="preserve">Non-Functional Requirements for the AI Intelligence Module</w:t>
      </w:r>
    </w:p>
    <w:bookmarkStart w:id="27" w:name="X4e640066bc2aaf7152d59a8f504a4169cafa087"/>
    <w:p>
      <w:pPr>
        <w:pStyle w:val="Heading2"/>
      </w:pPr>
      <w:r>
        <w:t xml:space="preserve">4.1 Overview</w:t>
      </w:r>
    </w:p>
    <w:p>
      <w:pPr>
        <w:pStyle w:val="FirstParagraph"/>
      </w:pPr>
      <w:r>
        <w:t xml:space="preserve">Non-functional requirements (NFRs) define the quality and constraint envelope within which all functional behaviour specified in Section 3 must operate. Each NFR is assigned a unique identifier in the</w:t>
      </w:r>
      <w:r>
        <w:t xml:space="preserve"> </w:t>
      </w:r>
      <w:r>
        <w:rPr>
          <w:rStyle w:val="VerbatimChar"/>
        </w:rPr>
        <w:t xml:space="preserve">NFR-AI-NNN</w:t>
      </w:r>
      <w:r>
        <w:t xml:space="preserve"> </w:t>
      </w:r>
      <w:r>
        <w:t xml:space="preserve">series and is stated with a specific, measurable metric per IEEE 982.1.</w:t>
      </w:r>
    </w:p>
    <w:bookmarkEnd w:id="27"/>
    <w:bookmarkStart w:id="28" w:name="X434f7b4b7ca937114a0b7a92553fe89b07a294e"/>
    <w:p>
      <w:pPr>
        <w:pStyle w:val="Heading2"/>
      </w:pPr>
      <w:r>
        <w:t xml:space="preserve">4.2 Performance</w:t>
      </w:r>
    </w:p>
    <w:p>
      <w:pPr>
        <w:pStyle w:val="FirstParagraph"/>
      </w:pPr>
      <w:r>
        <w:rPr>
          <w:b/>
          <w:bCs/>
        </w:rPr>
        <w:t xml:space="preserve">NFR-AI-001:</w:t>
      </w:r>
      <w:r>
        <w:t xml:space="preserve"> </w:t>
      </w:r>
      <w:r>
        <w:t xml:space="preserve">All AI forecast jobs (FR-AI-001, FR-AI-003) shall complete within the time windows specified in their respective FRs. Jobs running beyond their window shall log a</w:t>
      </w:r>
      <w:r>
        <w:t xml:space="preserve"> </w:t>
      </w:r>
      <w:r>
        <w:rPr>
          <w:rStyle w:val="VerbatimChar"/>
        </w:rPr>
        <w:t xml:space="preserve">job_timeout</w:t>
      </w:r>
      <w:r>
        <w:t xml:space="preserve"> </w:t>
      </w:r>
      <w:r>
        <w:t xml:space="preserve">event and notify the system administrator.</w:t>
      </w:r>
    </w:p>
    <w:p>
      <w:pPr>
        <w:pStyle w:val="BodyText"/>
      </w:pPr>
      <w:r>
        <w:rPr>
          <w:b/>
          <w:bCs/>
        </w:rPr>
        <w:t xml:space="preserve">NFR-AI-002:</w:t>
      </w:r>
      <w:r>
        <w:t xml:space="preserve"> </w:t>
      </w:r>
      <w:r>
        <w:t xml:space="preserve">Real-time AI responses (FR-AI-004 risk scoring, FR-AI-001 dashboard query) shall meet the response time thresholds specified in their respective FRs under normal load (≤ 100 concurrent users per tenant).</w:t>
      </w:r>
    </w:p>
    <w:bookmarkEnd w:id="28"/>
    <w:bookmarkStart w:id="29" w:name="X8ddbc2b785b0fc44ec8e94404ad03594dafed65"/>
    <w:p>
      <w:pPr>
        <w:pStyle w:val="Heading2"/>
      </w:pPr>
      <w:r>
        <w:t xml:space="preserve">4.3 Accuracy</w:t>
      </w:r>
    </w:p>
    <w:p>
      <w:pPr>
        <w:pStyle w:val="FirstParagraph"/>
      </w:pPr>
      <w:r>
        <w:rPr>
          <w:b/>
          <w:bCs/>
        </w:rPr>
        <w:t xml:space="preserve">NFR-AI-003:</w:t>
      </w:r>
      <w:r>
        <w:t xml:space="preserve"> </w:t>
      </w:r>
      <w:r>
        <w:t xml:space="preserve">The demand forecast (FR-AI-003) shall achieve a Mean Absolute Error (MAE) of ≤ 20% against actual weekly demand, measured monthly across all tenants with ≥ 180 days of history. Monthly accuracy reports shall be generated and reviewed by the Chwezi engineering team.</w:t>
      </w:r>
    </w:p>
    <w:bookmarkEnd w:id="29"/>
    <w:bookmarkStart w:id="30" w:name="X74eff0db3e1a127dfc22e673828895a0abdada5"/>
    <w:p>
      <w:pPr>
        <w:pStyle w:val="Heading2"/>
      </w:pPr>
      <w:r>
        <w:t xml:space="preserve">4.4 Data Privacy and Isolation</w:t>
      </w:r>
    </w:p>
    <w:p>
      <w:pPr>
        <w:pStyle w:val="FirstParagraph"/>
      </w:pPr>
      <w:r>
        <w:rPr>
          <w:b/>
          <w:bCs/>
        </w:rPr>
        <w:t xml:space="preserve">NFR-AI-004:</w:t>
      </w:r>
      <w:r>
        <w:t xml:space="preserve"> </w:t>
      </w:r>
      <w:r>
        <w:t xml:space="preserve">All AI computation for FR-AI-001, FR-AI-002, FR-AI-003, and FR-AI-004 shall execute entirely within the tenant's data boundary. No tenant data shall be transmitted to external services for these features.</w:t>
      </w:r>
    </w:p>
    <w:p>
      <w:pPr>
        <w:pStyle w:val="BodyText"/>
      </w:pPr>
      <w:r>
        <w:rPr>
          <w:b/>
          <w:bCs/>
        </w:rPr>
        <w:t xml:space="preserve">NFR-AI-005:</w:t>
      </w:r>
      <w:r>
        <w:t xml:space="preserve"> </w:t>
      </w:r>
      <w:r>
        <w:t xml:space="preserve">For FR-AI-005 (narrative generation), financial summary data — aggregated amounts and variance percentages only, not individual transaction records — shall be transmitted to the Claude API. Transmission shall occur over TLS 1.3. Raw transaction data shall not leave the tenant boundary.</w:t>
      </w:r>
    </w:p>
    <w:bookmarkEnd w:id="30"/>
    <w:bookmarkStart w:id="31" w:name="Xe1870f0965fda0b4fce65825580926bd4205cce"/>
    <w:p>
      <w:pPr>
        <w:pStyle w:val="Heading2"/>
      </w:pPr>
      <w:r>
        <w:t xml:space="preserve">4.5 Graceful Degradation</w:t>
      </w:r>
    </w:p>
    <w:p>
      <w:pPr>
        <w:pStyle w:val="FirstParagraph"/>
      </w:pPr>
      <w:r>
        <w:rPr>
          <w:b/>
          <w:bCs/>
        </w:rPr>
        <w:t xml:space="preserve">NFR-AI-006:</w:t>
      </w:r>
      <w:r>
        <w:t xml:space="preserve"> </w:t>
      </w:r>
      <w:r>
        <w:t xml:space="preserve">If an AI feature's scheduled job fails or the Claude API is unavailable, the core ERP modules shall continue to operate without interruption. The AI feature shall display a "Feature temporarily unavailable" message. Failed jobs shall be retried once after a 30-minute delay before logging a permanent failure.</w:t>
      </w:r>
    </w:p>
    <w:bookmarkEnd w:id="31"/>
    <w:bookmarkStart w:id="32" w:name="Xd6d55fc746f15ab96b0343a6c433aae8d9f5282"/>
    <w:p>
      <w:pPr>
        <w:pStyle w:val="Heading2"/>
      </w:pPr>
      <w:r>
        <w:t xml:space="preserve">4.6 Data Minimums</w:t>
      </w:r>
    </w:p>
    <w:p>
      <w:pPr>
        <w:pStyle w:val="FirstParagraph"/>
      </w:pPr>
      <w:r>
        <w:rPr>
          <w:b/>
          <w:bCs/>
        </w:rPr>
        <w:t xml:space="preserve">NFR-AI-007:</w:t>
      </w:r>
      <w:r>
        <w:t xml:space="preserve"> </w:t>
      </w:r>
      <w:r>
        <w:t xml:space="preserve">Features requiring historical data shall display an "Insufficient history — [X] days of data required, [Y] days available" message rather than generating unreliable forecasts when the minimum data threshold has not been met.</w:t>
      </w:r>
    </w:p>
    <w:bookmarkEnd w:id="32"/>
    <w:bookmarkEnd w:id="33"/>
    <w:bookmarkStart w:id="37" w:name="Xb7236b440494d23bc62d6d2bbd6fde89148beee"/>
    <w:p>
      <w:pPr>
        <w:pStyle w:val="Heading1"/>
      </w:pPr>
      <w:r>
        <w:t xml:space="preserve">Traceability Matrix — AI Intelligence Module</w:t>
      </w:r>
    </w:p>
    <w:bookmarkStart w:id="34" w:name="Xc719e00ed9ce0b2b0576dca6ea38b4056582a83"/>
    <w:p>
      <w:pPr>
        <w:pStyle w:val="Heading2"/>
      </w:pPr>
      <w:r>
        <w:t xml:space="preserve">5.1 Overview</w:t>
      </w:r>
    </w:p>
    <w:p>
      <w:pPr>
        <w:pStyle w:val="FirstParagraph"/>
      </w:pPr>
      <w:r>
        <w:t xml:space="preserve">This matrix maps every functional requirement in this SRS to at least 1 business goal defined in Section 1.6, and records the IEEE 830 verifiability criterion (the deterministic test oracle) for each requirement. All FRs without a mapping to a business goal are flagged</w:t>
      </w:r>
      <w:r>
        <w:t xml:space="preserve"> </w:t>
      </w:r>
      <w:r>
        <w:rPr>
          <w:rStyle w:val="VerbatimChar"/>
        </w:rPr>
        <w:t xml:space="preserve">[TRACE-GAP]</w:t>
      </w:r>
      <w:r>
        <w:t xml:space="preserve">.</w:t>
      </w:r>
    </w:p>
    <w:bookmarkEnd w:id="34"/>
    <w:bookmarkStart w:id="35" w:name="X4097fe7ac0905d4d4a2d24789a2fd19b43fb687"/>
    <w:p>
      <w:pPr>
        <w:pStyle w:val="Heading2"/>
      </w:pPr>
      <w:r>
        <w:t xml:space="preserve">5.2 Business Goal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Business Goal</w:t>
            </w:r>
          </w:p>
        </w:tc>
      </w:tr>
      <w:tr>
        <w:tc>
          <w:tcPr/>
          <w:p>
            <w:pPr>
              <w:pStyle w:val="Compact"/>
            </w:pPr>
            <w:r>
              <w:t xml:space="preserve">BG-AI-001</w:t>
            </w:r>
          </w:p>
        </w:tc>
        <w:tc>
          <w:tcPr/>
          <w:p>
            <w:pPr>
              <w:pStyle w:val="Compact"/>
            </w:pPr>
            <w:r>
              <w:t xml:space="preserve">Prevent cash flow crises through 90-day forward cash position visibility</w:t>
            </w:r>
          </w:p>
        </w:tc>
      </w:tr>
      <w:tr>
        <w:tc>
          <w:tcPr/>
          <w:p>
            <w:pPr>
              <w:pStyle w:val="Compact"/>
            </w:pPr>
            <w:r>
              <w:t xml:space="preserve">BG-AI-002</w:t>
            </w:r>
          </w:p>
        </w:tc>
        <w:tc>
          <w:tcPr/>
          <w:p>
            <w:pPr>
              <w:pStyle w:val="Compact"/>
            </w:pPr>
            <w:r>
              <w:t xml:space="preserve">Detect internal fraud and unusual posting patterns through automated GL anomaly classification</w:t>
            </w:r>
          </w:p>
        </w:tc>
      </w:tr>
      <w:tr>
        <w:tc>
          <w:tcPr/>
          <w:p>
            <w:pPr>
              <w:pStyle w:val="Compact"/>
            </w:pPr>
            <w:r>
              <w:t xml:space="preserve">BG-AI-003</w:t>
            </w:r>
          </w:p>
        </w:tc>
        <w:tc>
          <w:tcPr/>
          <w:p>
            <w:pPr>
              <w:pStyle w:val="Compact"/>
            </w:pPr>
            <w:r>
              <w:t xml:space="preserve">Eliminate stockouts and reduce over-stocking by generating data-driven reorder recommendations</w:t>
            </w:r>
          </w:p>
        </w:tc>
      </w:tr>
      <w:tr>
        <w:tc>
          <w:tcPr/>
          <w:p>
            <w:pPr>
              <w:pStyle w:val="Compact"/>
            </w:pPr>
            <w:r>
              <w:t xml:space="preserve">BG-AI-004</w:t>
            </w:r>
          </w:p>
        </w:tc>
        <w:tc>
          <w:tcPr/>
          <w:p>
            <w:pPr>
              <w:pStyle w:val="Compact"/>
            </w:pPr>
            <w:r>
              <w:t xml:space="preserve">Reduce bad debt exposure by gating credit sales on a real-time customer payment risk score</w:t>
            </w:r>
          </w:p>
        </w:tc>
      </w:tr>
      <w:tr>
        <w:tc>
          <w:tcPr/>
          <w:p>
            <w:pPr>
              <w:pStyle w:val="Compact"/>
            </w:pPr>
            <w:r>
              <w:t xml:space="preserve">BG-AI-005</w:t>
            </w:r>
          </w:p>
        </w:tc>
        <w:tc>
          <w:tcPr/>
          <w:p>
            <w:pPr>
              <w:pStyle w:val="Compact"/>
            </w:pPr>
            <w:r>
              <w:t xml:space="preserve">Make monthly financial accounts intelligible to non-accountant leadership</w:t>
            </w:r>
          </w:p>
        </w:tc>
      </w:tr>
    </w:tbl>
    <w:bookmarkEnd w:id="35"/>
    <w:bookmarkStart w:id="36" w:name="X17572a3d027720cfa3f8086ab733267dfe054ad"/>
    <w:p>
      <w:pPr>
        <w:pStyle w:val="Heading2"/>
      </w:pPr>
      <w:r>
        <w:t xml:space="preserve">5.3 Traceability Matrix</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FR ID</w:t>
            </w:r>
          </w:p>
        </w:tc>
        <w:tc>
          <w:tcPr/>
          <w:p>
            <w:pPr>
              <w:pStyle w:val="Compact"/>
            </w:pPr>
            <w:r>
              <w:t xml:space="preserve">Section</w:t>
            </w:r>
          </w:p>
        </w:tc>
        <w:tc>
          <w:tcPr/>
          <w:p>
            <w:pPr>
              <w:pStyle w:val="Compact"/>
            </w:pPr>
            <w:r>
              <w:t xml:space="preserve">Description Summary</w:t>
            </w:r>
          </w:p>
        </w:tc>
        <w:tc>
          <w:tcPr/>
          <w:p>
            <w:pPr>
              <w:pStyle w:val="Compact"/>
            </w:pPr>
            <w:r>
              <w:t xml:space="preserve">Business Goal(s)</w:t>
            </w:r>
          </w:p>
        </w:tc>
        <w:tc>
          <w:tcPr/>
          <w:p>
            <w:pPr>
              <w:pStyle w:val="Compact"/>
            </w:pPr>
            <w:r>
              <w:t xml:space="preserve">PRD Reference</w:t>
            </w:r>
          </w:p>
        </w:tc>
        <w:tc>
          <w:tcPr/>
          <w:p>
            <w:pPr>
              <w:pStyle w:val="Compact"/>
            </w:pPr>
            <w:r>
              <w:t xml:space="preserve">Test Oracle</w:t>
            </w:r>
          </w:p>
        </w:tc>
      </w:tr>
      <w:tr>
        <w:tc>
          <w:tcPr/>
          <w:p>
            <w:pPr>
              <w:pStyle w:val="Compact"/>
            </w:pPr>
            <w:r>
              <w:t xml:space="preserve">FR-AI-001</w:t>
            </w:r>
          </w:p>
        </w:tc>
        <w:tc>
          <w:tcPr/>
          <w:p>
            <w:pPr>
              <w:pStyle w:val="Compact"/>
            </w:pPr>
            <w:r>
              <w:t xml:space="preserve">3.1</w:t>
            </w:r>
          </w:p>
        </w:tc>
        <w:tc>
          <w:tcPr/>
          <w:p>
            <w:pPr>
              <w:pStyle w:val="Compact"/>
            </w:pPr>
            <w:r>
              <w:t xml:space="preserve">90-day rolling cash flow forecast, 3 scenarios, nightly job</w:t>
            </w:r>
          </w:p>
        </w:tc>
        <w:tc>
          <w:tcPr/>
          <w:p>
            <w:pPr>
              <w:pStyle w:val="Compact"/>
            </w:pPr>
            <w:r>
              <w:t xml:space="preserve">BG-AI-001</w:t>
            </w:r>
          </w:p>
        </w:tc>
        <w:tc>
          <w:tcPr/>
          <w:p>
            <w:pPr>
              <w:pStyle w:val="Compact"/>
            </w:pPr>
            <w:r>
              <w:t xml:space="preserve">AI Feature 1 (</w:t>
            </w:r>
            <w:r>
              <w:rPr>
                <w:rStyle w:val="VerbatimChar"/>
              </w:rPr>
              <w:t xml:space="preserve">10-ai-intelligence.md</w:t>
            </w:r>
            <w:r>
              <w:t xml:space="preserve">)</w:t>
            </w:r>
          </w:p>
        </w:tc>
        <w:tc>
          <w:tcPr/>
          <w:p>
            <w:pPr>
              <w:pStyle w:val="Compact"/>
            </w:pPr>
            <w:r>
              <w:t xml:space="preserve">Seed tenant with 90+ days AR/AP/payroll data; trigger job; verify 270 records in</w:t>
            </w:r>
            <w:r>
              <w:t xml:space="preserve"> </w:t>
            </w:r>
            <w:r>
              <w:rPr>
                <w:rStyle w:val="VerbatimChar"/>
              </w:rPr>
              <w:t xml:space="preserve">ai_cashflow_forecast</w:t>
            </w:r>
            <w:r>
              <w:t xml:space="preserve">; verify worst-case trough displayed on dashboard within 2,000 ms.</w:t>
            </w:r>
          </w:p>
        </w:tc>
      </w:tr>
      <w:tr>
        <w:tc>
          <w:tcPr/>
          <w:p>
            <w:pPr>
              <w:pStyle w:val="Compact"/>
            </w:pPr>
            <w:r>
              <w:t xml:space="preserve">FR-AI-002</w:t>
            </w:r>
          </w:p>
        </w:tc>
        <w:tc>
          <w:tcPr/>
          <w:p>
            <w:pPr>
              <w:pStyle w:val="Compact"/>
            </w:pPr>
            <w:r>
              <w:t xml:space="preserve">3.2</w:t>
            </w:r>
          </w:p>
        </w:tc>
        <w:tc>
          <w:tcPr/>
          <w:p>
            <w:pPr>
              <w:pStyle w:val="Compact"/>
            </w:pPr>
            <w:r>
              <w:t xml:space="preserve">Post-period GL anomaly scan, 4 classifiers, Anomaly Inbox</w:t>
            </w:r>
          </w:p>
        </w:tc>
        <w:tc>
          <w:tcPr/>
          <w:p>
            <w:pPr>
              <w:pStyle w:val="Compact"/>
            </w:pPr>
            <w:r>
              <w:t xml:space="preserve">BG-AI-002</w:t>
            </w:r>
          </w:p>
        </w:tc>
        <w:tc>
          <w:tcPr/>
          <w:p>
            <w:pPr>
              <w:pStyle w:val="Compact"/>
            </w:pPr>
            <w:r>
              <w:t xml:space="preserve">AI Feature 2 (</w:t>
            </w:r>
            <w:r>
              <w:rPr>
                <w:rStyle w:val="VerbatimChar"/>
              </w:rPr>
              <w:t xml:space="preserve">10-ai-intelligence.md</w:t>
            </w:r>
            <w:r>
              <w:t xml:space="preserve">)</w:t>
            </w:r>
          </w:p>
        </w:tc>
        <w:tc>
          <w:tcPr/>
          <w:p>
            <w:pPr>
              <w:pStyle w:val="Compact"/>
            </w:pPr>
            <w:r>
              <w:t xml:space="preserve">Post journal with composite score ≥ 2 classifiers triggered; close period; verify flag written to</w:t>
            </w:r>
            <w:r>
              <w:t xml:space="preserve"> </w:t>
            </w:r>
            <w:r>
              <w:rPr>
                <w:rStyle w:val="VerbatimChar"/>
              </w:rPr>
              <w:t xml:space="preserve">ai_anomaly_flags</w:t>
            </w:r>
            <w:r>
              <w:t xml:space="preserve">; verify entry appears in Anomaly Inbox.</w:t>
            </w:r>
          </w:p>
        </w:tc>
      </w:tr>
      <w:tr>
        <w:tc>
          <w:tcPr/>
          <w:p>
            <w:pPr>
              <w:pStyle w:val="Compact"/>
            </w:pPr>
            <w:r>
              <w:t xml:space="preserve">FR-AI-003</w:t>
            </w:r>
          </w:p>
        </w:tc>
        <w:tc>
          <w:tcPr/>
          <w:p>
            <w:pPr>
              <w:pStyle w:val="Compact"/>
            </w:pPr>
            <w:r>
              <w:t xml:space="preserve">3.3</w:t>
            </w:r>
          </w:p>
        </w:tc>
        <w:tc>
          <w:tcPr/>
          <w:p>
            <w:pPr>
              <w:pStyle w:val="Compact"/>
            </w:pPr>
            <w:r>
              <w:t xml:space="preserve">Sunday demand forecast, weighted moving average, reorder panel</w:t>
            </w:r>
          </w:p>
        </w:tc>
        <w:tc>
          <w:tcPr/>
          <w:p>
            <w:pPr>
              <w:pStyle w:val="Compact"/>
            </w:pPr>
            <w:r>
              <w:t xml:space="preserve">BG-AI-003</w:t>
            </w:r>
          </w:p>
        </w:tc>
        <w:tc>
          <w:tcPr/>
          <w:p>
            <w:pPr>
              <w:pStyle w:val="Compact"/>
            </w:pPr>
            <w:r>
              <w:t xml:space="preserve">AI Feature 3 (</w:t>
            </w:r>
            <w:r>
              <w:rPr>
                <w:rStyle w:val="VerbatimChar"/>
              </w:rPr>
              <w:t xml:space="preserve">10-ai-intelligence.md</w:t>
            </w:r>
            <w:r>
              <w:t xml:space="preserve">)</w:t>
            </w:r>
          </w:p>
        </w:tc>
        <w:tc>
          <w:tcPr/>
          <w:p>
            <w:pPr>
              <w:pStyle w:val="Compact"/>
            </w:pPr>
            <w:r>
              <w:t xml:space="preserve">Seed 90 days of sales history for 3 items; trigger Sunday job; verify</w:t>
            </w:r>
            <w:r>
              <w:t xml:space="preserve"> </w:t>
            </w:r>
            <w:r>
              <w:rPr>
                <w:rStyle w:val="VerbatimChar"/>
              </w:rPr>
              <w:t xml:space="preserve">ai_demand_forecast</w:t>
            </w:r>
            <w:r>
              <w:t xml:space="preserve"> </w:t>
            </w:r>
            <w:r>
              <w:t xml:space="preserve">records; verify items with projected stock &lt; 21 days appear in Reorder Recommendations panel.</w:t>
            </w:r>
          </w:p>
        </w:tc>
      </w:tr>
      <w:tr>
        <w:tc>
          <w:tcPr/>
          <w:p>
            <w:pPr>
              <w:pStyle w:val="Compact"/>
            </w:pPr>
            <w:r>
              <w:t xml:space="preserve">FR-AI-004</w:t>
            </w:r>
          </w:p>
        </w:tc>
        <w:tc>
          <w:tcPr/>
          <w:p>
            <w:pPr>
              <w:pStyle w:val="Compact"/>
            </w:pPr>
            <w:r>
              <w:t xml:space="preserve">3.4</w:t>
            </w:r>
          </w:p>
        </w:tc>
        <w:tc>
          <w:tcPr/>
          <w:p>
            <w:pPr>
              <w:pStyle w:val="Compact"/>
            </w:pPr>
            <w:r>
              <w:t xml:space="preserve">Credit order risk scorecard, Green/Amber/Red, Sales Manager gate</w:t>
            </w:r>
          </w:p>
        </w:tc>
        <w:tc>
          <w:tcPr/>
          <w:p>
            <w:pPr>
              <w:pStyle w:val="Compact"/>
            </w:pPr>
            <w:r>
              <w:t xml:space="preserve">BG-AI-004</w:t>
            </w:r>
          </w:p>
        </w:tc>
        <w:tc>
          <w:tcPr/>
          <w:p>
            <w:pPr>
              <w:pStyle w:val="Compact"/>
            </w:pPr>
            <w:r>
              <w:t xml:space="preserve">AI Feature 4 (</w:t>
            </w:r>
            <w:r>
              <w:rPr>
                <w:rStyle w:val="VerbatimChar"/>
              </w:rPr>
              <w:t xml:space="preserve">10-ai-intelligence.md</w:t>
            </w:r>
            <w:r>
              <w:t xml:space="preserve">)</w:t>
            </w:r>
          </w:p>
        </w:tc>
        <w:tc>
          <w:tcPr/>
          <w:p>
            <w:pPr>
              <w:pStyle w:val="Compact"/>
            </w:pPr>
            <w:r>
              <w:t xml:space="preserve">Submit credit order for customer with composite score ≥ 25; verify order held; verify Sales Manager approval required; verify approval logged to audit trail; verify computation within 1,000 ms.</w:t>
            </w:r>
          </w:p>
        </w:tc>
      </w:tr>
      <w:tr>
        <w:tc>
          <w:tcPr/>
          <w:p>
            <w:pPr>
              <w:pStyle w:val="Compact"/>
            </w:pPr>
            <w:r>
              <w:t xml:space="preserve">FR-AI-005</w:t>
            </w:r>
          </w:p>
        </w:tc>
        <w:tc>
          <w:tcPr/>
          <w:p>
            <w:pPr>
              <w:pStyle w:val="Compact"/>
            </w:pPr>
            <w:r>
              <w:t xml:space="preserve">3.5</w:t>
            </w:r>
          </w:p>
        </w:tc>
        <w:tc>
          <w:tcPr/>
          <w:p>
            <w:pPr>
              <w:pStyle w:val="Compact"/>
            </w:pPr>
            <w:r>
              <w:t xml:space="preserve">Monthly narrative commentary via Claude API, push notification</w:t>
            </w:r>
          </w:p>
        </w:tc>
        <w:tc>
          <w:tcPr/>
          <w:p>
            <w:pPr>
              <w:pStyle w:val="Compact"/>
            </w:pPr>
            <w:r>
              <w:t xml:space="preserve">BG-AI-005</w:t>
            </w:r>
          </w:p>
        </w:tc>
        <w:tc>
          <w:tcPr/>
          <w:p>
            <w:pPr>
              <w:pStyle w:val="Compact"/>
            </w:pPr>
            <w:r>
              <w:t xml:space="preserve">AI Feature 5 (</w:t>
            </w:r>
            <w:r>
              <w:rPr>
                <w:rStyle w:val="VerbatimChar"/>
              </w:rPr>
              <w:t xml:space="preserve">10-ai-intelligence.md</w:t>
            </w:r>
            <w:r>
              <w:t xml:space="preserve">)</w:t>
            </w:r>
          </w:p>
        </w:tc>
        <w:tc>
          <w:tcPr/>
          <w:p>
            <w:pPr>
              <w:pStyle w:val="Compact"/>
            </w:pPr>
            <w:r>
              <w:t xml:space="preserve">Close prior month; advance system date to 5th; trigger job with valid API key; verify commentary stored in</w:t>
            </w:r>
            <w:r>
              <w:t xml:space="preserve"> </w:t>
            </w:r>
            <w:r>
              <w:rPr>
                <w:rStyle w:val="VerbatimChar"/>
              </w:rPr>
              <w:t xml:space="preserve">ai_narratives</w:t>
            </w:r>
            <w:r>
              <w:t xml:space="preserve">; verify push notification sent to Finance Director and Managing Director roles; verify Finance Director can edit before Board Observer publication.</w:t>
            </w:r>
          </w:p>
        </w:tc>
      </w:tr>
    </w:tbl>
    <w:bookmarkEnd w:id="36"/>
    <w:bookmarkEnd w:id="37"/>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Kraal Code — Software Requirements Specification: AI Intelligence</dc:title>
  <dc:creator/>
  <cp:keywords/>
  <dcterms:created xsi:type="dcterms:W3CDTF">2026-08-08T22:02:56Z</dcterms:created>
  <dcterms:modified xsi:type="dcterms:W3CDTF">2026-08-08T22:02:56Z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2026-04-07</vt:lpwstr>
  </property>
  <property fmtid="{D5CDD505-2E9C-101B-9397-08002B2CF9AE}" pid="3" name="status">
    <vt:lpwstr>Draft</vt:lpwstr>
  </property>
  <property fmtid="{D5CDD505-2E9C-101B-9397-08002B2CF9AE}" pid="4" name="subtitle">
    <vt:lpwstr>Document Set 02 — Requirements Engineering</vt:lpwstr>
  </property>
  <property fmtid="{D5CDD505-2E9C-101B-9397-08002B2CF9AE}" pid="5" name="version">
    <vt:lpwstr>1.0</vt:lpwstr>
  </property>
</Properties>
</file>