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Advanced Inventory</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Advanced Inventory</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7" w:name="X63e85443c93fc4d187c65e8a6b86e4c534c2b99"/>
    <w:p>
      <w:pPr>
        <w:pStyle w:val="Heading1"/>
      </w:pPr>
      <w:r>
        <w:t xml:space="preserve">Introduction to the Advanced Inventory Module SRS</w:t>
      </w:r>
    </w:p>
    <w:bookmarkStart w:id="11"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the Advanced Inventory module of Kraal Code. It extends the core Inventory module (SRS — Inventory,</w:t>
      </w:r>
      <w:r>
        <w:t xml:space="preserve"> </w:t>
      </w:r>
      <w:r>
        <w:rPr>
          <w:rStyle w:val="VerbatimChar"/>
        </w:rPr>
        <w:t xml:space="preserve">FR-INV-*</w:t>
      </w:r>
      <w:r>
        <w:t xml:space="preserve">) with capabilities required by food, pharmaceutical, agro-processing, and cold-chain operators. All requirements are prospective and use the prescriptive form "The system shall...".</w:t>
      </w:r>
    </w:p>
    <w:bookmarkEnd w:id="11"/>
    <w:bookmarkStart w:id="12" w:name="X3378fde8998068a01e48267892e5cd923e9bc15"/>
    <w:p>
      <w:pPr>
        <w:pStyle w:val="Heading2"/>
      </w:pPr>
      <w:r>
        <w:t xml:space="preserve">1.2 Scope</w:t>
      </w:r>
    </w:p>
    <w:p>
      <w:pPr>
        <w:pStyle w:val="FirstParagraph"/>
      </w:pPr>
      <w:r>
        <w:t xml:space="preserve">The Advanced Inventory module adds warehouse location management, batch and serial number tracking, FEFO stock picking, expiry and recall management, stock reservation, landed cost allocation, inter-branch transit, cold-chain compliance, UNBS certification tracking, and Uganda-specific agro-processing batch fields.</w:t>
      </w:r>
    </w:p>
    <w:p>
      <w:pPr>
        <w:pStyle w:val="BodyText"/>
      </w:pPr>
      <w:r>
        <w:t xml:space="preserve">This module integrates with:</w:t>
      </w:r>
    </w:p>
    <w:p>
      <w:pPr>
        <w:pStyle w:val="Compact"/>
        <w:numPr>
          <w:ilvl w:val="0"/>
          <w:numId w:val="1001"/>
        </w:numPr>
      </w:pPr>
      <w:r>
        <w:rPr>
          <w:b/>
          <w:bCs/>
        </w:rPr>
        <w:t xml:space="preserve">Inventory</w:t>
      </w:r>
      <w:r>
        <w:t xml:space="preserve"> </w:t>
      </w:r>
      <w:r>
        <w:t xml:space="preserve">— all core stock movement and valuation logic (FR-INV-*) remains in force; Advanced Inventory extends, does not replace, those requirements.</w:t>
      </w:r>
    </w:p>
    <w:p>
      <w:pPr>
        <w:pStyle w:val="Compact"/>
        <w:numPr>
          <w:ilvl w:val="0"/>
          <w:numId w:val="1001"/>
        </w:numPr>
      </w:pPr>
      <w:r>
        <w:rPr>
          <w:b/>
          <w:bCs/>
        </w:rPr>
        <w:t xml:space="preserve">Sales</w:t>
      </w:r>
      <w:r>
        <w:t xml:space="preserve"> </w:t>
      </w:r>
      <w:r>
        <w:t xml:space="preserve">— stock reservation is linked to sales order lines.</w:t>
      </w:r>
    </w:p>
    <w:p>
      <w:pPr>
        <w:pStyle w:val="Compact"/>
        <w:numPr>
          <w:ilvl w:val="0"/>
          <w:numId w:val="1001"/>
        </w:numPr>
      </w:pPr>
      <w:r>
        <w:rPr>
          <w:b/>
          <w:bCs/>
        </w:rPr>
        <w:t xml:space="preserve">Procurement</w:t>
      </w:r>
      <w:r>
        <w:t xml:space="preserve"> </w:t>
      </w:r>
      <w:r>
        <w:t xml:space="preserve">— GRN batch capture feeds the batch ledger.</w:t>
      </w:r>
    </w:p>
    <w:p>
      <w:pPr>
        <w:pStyle w:val="Compact"/>
        <w:numPr>
          <w:ilvl w:val="0"/>
          <w:numId w:val="1001"/>
        </w:numPr>
      </w:pPr>
      <w:r>
        <w:rPr>
          <w:b/>
          <w:bCs/>
        </w:rPr>
        <w:t xml:space="preserve">Manufacturing</w:t>
      </w:r>
      <w:r>
        <w:t xml:space="preserve"> </w:t>
      </w:r>
      <w:r>
        <w:t xml:space="preserve">— FEFO picking applies to raw material issues.</w:t>
      </w:r>
    </w:p>
    <w:p>
      <w:pPr>
        <w:pStyle w:val="Compact"/>
        <w:numPr>
          <w:ilvl w:val="0"/>
          <w:numId w:val="1001"/>
        </w:numPr>
      </w:pPr>
      <w:r>
        <w:rPr>
          <w:b/>
          <w:bCs/>
        </w:rPr>
        <w:t xml:space="preserve">RBAC</w:t>
      </w:r>
      <w:r>
        <w:t xml:space="preserve"> </w:t>
      </w:r>
      <w:r>
        <w:t xml:space="preserve">— expiry alert clearance and recall authorisation require elevated permissions.</w:t>
      </w:r>
    </w:p>
    <w:bookmarkEnd w:id="12"/>
    <w:bookmarkStart w:id="1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Regulatory compliance with UNBS standards and URA excise requirements for manufactured goods.</w:t>
            </w:r>
          </w:p>
        </w:tc>
      </w:tr>
      <w:tr>
        <w:tc>
          <w:tcPr/>
          <w:p>
            <w:pPr>
              <w:pStyle w:val="Compact"/>
            </w:pPr>
            <w:r>
              <w:t xml:space="preserve">BG-002</w:t>
            </w:r>
          </w:p>
        </w:tc>
        <w:tc>
          <w:tcPr/>
          <w:p>
            <w:pPr>
              <w:pStyle w:val="Compact"/>
            </w:pPr>
            <w:r>
              <w:t xml:space="preserve">Zero expired product on shelves: FEFO picking and automated expiry alerts.</w:t>
            </w:r>
          </w:p>
        </w:tc>
      </w:tr>
      <w:tr>
        <w:tc>
          <w:tcPr/>
          <w:p>
            <w:pPr>
              <w:pStyle w:val="Compact"/>
            </w:pPr>
            <w:r>
              <w:t xml:space="preserve">BG-003</w:t>
            </w:r>
          </w:p>
        </w:tc>
        <w:tc>
          <w:tcPr/>
          <w:p>
            <w:pPr>
              <w:pStyle w:val="Compact"/>
            </w:pPr>
            <w:r>
              <w:t xml:space="preserve">Rapid recall execution: trace and quarantine all affected batches within 2 hours.</w:t>
            </w:r>
          </w:p>
        </w:tc>
      </w:tr>
      <w:tr>
        <w:tc>
          <w:tcPr/>
          <w:p>
            <w:pPr>
              <w:pStyle w:val="Compact"/>
            </w:pPr>
            <w:r>
              <w:t xml:space="preserve">BG-004</w:t>
            </w:r>
          </w:p>
        </w:tc>
        <w:tc>
          <w:tcPr/>
          <w:p>
            <w:pPr>
              <w:pStyle w:val="Compact"/>
            </w:pPr>
            <w:r>
              <w:t xml:space="preserve">Cold-chain traceability: temperature range compliance at every stock movement step.</w:t>
            </w:r>
          </w:p>
        </w:tc>
      </w:tr>
    </w:tbl>
    <w:bookmarkEnd w:id="13"/>
    <w:bookmarkStart w:id="14" w:name="X0bb56c32d962c4999667b0e2d83b2f286d3247e"/>
    <w:p>
      <w:pPr>
        <w:pStyle w:val="Heading2"/>
      </w:pPr>
      <w:r>
        <w:t xml:space="preserve">1.4 Dependency</w:t>
      </w:r>
    </w:p>
    <w:p>
      <w:pPr>
        <w:pStyle w:val="FirstParagraph"/>
      </w:pPr>
      <w:r>
        <w:t xml:space="preserve">This module depends on</w:t>
      </w:r>
      <w:r>
        <w:t xml:space="preserve"> </w:t>
      </w:r>
      <w:r>
        <w:rPr>
          <w:rStyle w:val="VerbatimChar"/>
        </w:rPr>
        <w:t xml:space="preserve">FR-INV-*</w:t>
      </w:r>
      <w:r>
        <w:t xml:space="preserve"> </w:t>
      </w:r>
      <w:r>
        <w:t xml:space="preserve">identifiers from the Core Inventory SRS. All requirements in this document carry the prefix</w:t>
      </w:r>
      <w:r>
        <w:t xml:space="preserve"> </w:t>
      </w:r>
      <w:r>
        <w:rPr>
          <w:rStyle w:val="VerbatimChar"/>
        </w:rPr>
        <w:t xml:space="preserve">FR-ADVINV-</w:t>
      </w:r>
      <w:r>
        <w:t xml:space="preserve"> </w:t>
      </w:r>
      <w:r>
        <w:t xml:space="preserve">to distinguish advanced requirements from core inventory requirements.</w:t>
      </w:r>
    </w:p>
    <w:bookmarkEnd w:id="14"/>
    <w:bookmarkStart w:id="15" w:name="X312925c6272fceee4becfe17ec0d6861bf43227"/>
    <w:p>
      <w:pPr>
        <w:pStyle w:val="Heading2"/>
      </w:pPr>
      <w:r>
        <w:t xml:space="preserve">1.5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FEFO</w:t>
            </w:r>
          </w:p>
        </w:tc>
        <w:tc>
          <w:tcPr/>
          <w:p>
            <w:pPr>
              <w:pStyle w:val="Compact"/>
            </w:pPr>
            <w:r>
              <w:t xml:space="preserve">First Expired, First Out — a picking strategy that issues stock in ascending order of expiry date.</w:t>
            </w:r>
          </w:p>
        </w:tc>
      </w:tr>
      <w:tr>
        <w:tc>
          <w:tcPr/>
          <w:p>
            <w:pPr>
              <w:pStyle w:val="Compact"/>
            </w:pPr>
            <w:r>
              <w:t xml:space="preserve">GS1</w:t>
            </w:r>
          </w:p>
        </w:tc>
        <w:tc>
          <w:tcPr/>
          <w:p>
            <w:pPr>
              <w:pStyle w:val="Compact"/>
            </w:pPr>
            <w:r>
              <w:t xml:space="preserve">Global Standards 1 — international organisation governing barcode and SSCC standards.</w:t>
            </w:r>
          </w:p>
        </w:tc>
      </w:tr>
      <w:tr>
        <w:tc>
          <w:tcPr/>
          <w:p>
            <w:pPr>
              <w:pStyle w:val="Compact"/>
            </w:pPr>
            <w:r>
              <w:t xml:space="preserve">In-Transit</w:t>
            </w:r>
          </w:p>
        </w:tc>
        <w:tc>
          <w:tcPr/>
          <w:p>
            <w:pPr>
              <w:pStyle w:val="Compact"/>
            </w:pPr>
            <w:r>
              <w:t xml:space="preserve">A stock state between source branch and destination branch during an inter-branch transfer.</w:t>
            </w:r>
          </w:p>
        </w:tc>
      </w:tr>
      <w:tr>
        <w:tc>
          <w:tcPr/>
          <w:p>
            <w:pPr>
              <w:pStyle w:val="Compact"/>
            </w:pPr>
            <w:r>
              <w:t xml:space="preserve">SSCC</w:t>
            </w:r>
          </w:p>
        </w:tc>
        <w:tc>
          <w:tcPr/>
          <w:p>
            <w:pPr>
              <w:pStyle w:val="Compact"/>
            </w:pPr>
            <w:r>
              <w:t xml:space="preserve">Serial Shipping Container Code — GS1 standard for uniquely identifying logistics units.</w:t>
            </w:r>
          </w:p>
        </w:tc>
      </w:tr>
      <w:tr>
        <w:tc>
          <w:tcPr/>
          <w:p>
            <w:pPr>
              <w:pStyle w:val="Compact"/>
            </w:pPr>
            <w:r>
              <w:t xml:space="preserve">UNBS</w:t>
            </w:r>
          </w:p>
        </w:tc>
        <w:tc>
          <w:tcPr/>
          <w:p>
            <w:pPr>
              <w:pStyle w:val="Compact"/>
            </w:pPr>
            <w:r>
              <w:t xml:space="preserve">Uganda National Bureau of Standards — regulator of product standards in Uganda.</w:t>
            </w:r>
          </w:p>
        </w:tc>
      </w:tr>
    </w:tbl>
    <w:bookmarkEnd w:id="15"/>
    <w:bookmarkStart w:id="16" w:name="Xbb728e8a588812aaf60342a4bf36d1ec080324c"/>
    <w:p>
      <w:pPr>
        <w:pStyle w:val="Heading2"/>
      </w:pPr>
      <w:r>
        <w:t xml:space="preserve">1.6 Document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Multi-Location Warehousing</w:t>
            </w:r>
          </w:p>
        </w:tc>
      </w:tr>
      <w:tr>
        <w:tc>
          <w:tcPr/>
          <w:p>
            <w:pPr>
              <w:pStyle w:val="Compact"/>
            </w:pPr>
            <w:r>
              <w:t xml:space="preserve">3</w:t>
            </w:r>
          </w:p>
        </w:tc>
        <w:tc>
          <w:tcPr/>
          <w:p>
            <w:pPr>
              <w:pStyle w:val="Compact"/>
            </w:pPr>
            <w:r>
              <w:t xml:space="preserve">Batch Tracking</w:t>
            </w:r>
          </w:p>
        </w:tc>
      </w:tr>
      <w:tr>
        <w:tc>
          <w:tcPr/>
          <w:p>
            <w:pPr>
              <w:pStyle w:val="Compact"/>
            </w:pPr>
            <w:r>
              <w:t xml:space="preserve">4</w:t>
            </w:r>
          </w:p>
        </w:tc>
        <w:tc>
          <w:tcPr/>
          <w:p>
            <w:pPr>
              <w:pStyle w:val="Compact"/>
            </w:pPr>
            <w:r>
              <w:t xml:space="preserve">Serial Number Tracking</w:t>
            </w:r>
          </w:p>
        </w:tc>
      </w:tr>
      <w:tr>
        <w:tc>
          <w:tcPr/>
          <w:p>
            <w:pPr>
              <w:pStyle w:val="Compact"/>
            </w:pPr>
            <w:r>
              <w:t xml:space="preserve">5</w:t>
            </w:r>
          </w:p>
        </w:tc>
        <w:tc>
          <w:tcPr/>
          <w:p>
            <w:pPr>
              <w:pStyle w:val="Compact"/>
            </w:pPr>
            <w:r>
              <w:t xml:space="preserve">FEFO Picking</w:t>
            </w:r>
          </w:p>
        </w:tc>
      </w:tr>
      <w:tr>
        <w:tc>
          <w:tcPr/>
          <w:p>
            <w:pPr>
              <w:pStyle w:val="Compact"/>
            </w:pPr>
            <w:r>
              <w:t xml:space="preserve">6</w:t>
            </w:r>
          </w:p>
        </w:tc>
        <w:tc>
          <w:tcPr/>
          <w:p>
            <w:pPr>
              <w:pStyle w:val="Compact"/>
            </w:pPr>
            <w:r>
              <w:t xml:space="preserve">Expiry Management</w:t>
            </w:r>
          </w:p>
        </w:tc>
      </w:tr>
      <w:tr>
        <w:tc>
          <w:tcPr/>
          <w:p>
            <w:pPr>
              <w:pStyle w:val="Compact"/>
            </w:pPr>
            <w:r>
              <w:t xml:space="preserve">7</w:t>
            </w:r>
          </w:p>
        </w:tc>
        <w:tc>
          <w:tcPr/>
          <w:p>
            <w:pPr>
              <w:pStyle w:val="Compact"/>
            </w:pPr>
            <w:r>
              <w:t xml:space="preserve">Inter-Branch Transfers</w:t>
            </w:r>
          </w:p>
        </w:tc>
      </w:tr>
      <w:tr>
        <w:tc>
          <w:tcPr/>
          <w:p>
            <w:pPr>
              <w:pStyle w:val="Compact"/>
            </w:pPr>
            <w:r>
              <w:t xml:space="preserve">8</w:t>
            </w:r>
          </w:p>
        </w:tc>
        <w:tc>
          <w:tcPr/>
          <w:p>
            <w:pPr>
              <w:pStyle w:val="Compact"/>
            </w:pPr>
            <w:r>
              <w:t xml:space="preserve">Landed Cost Allocation</w:t>
            </w:r>
          </w:p>
        </w:tc>
      </w:tr>
      <w:tr>
        <w:tc>
          <w:tcPr/>
          <w:p>
            <w:pPr>
              <w:pStyle w:val="Compact"/>
            </w:pPr>
            <w:r>
              <w:t xml:space="preserve">9</w:t>
            </w:r>
          </w:p>
        </w:tc>
        <w:tc>
          <w:tcPr/>
          <w:p>
            <w:pPr>
              <w:pStyle w:val="Compact"/>
            </w:pPr>
            <w:r>
              <w:t xml:space="preserve">Stock Reservation</w:t>
            </w:r>
          </w:p>
        </w:tc>
      </w:tr>
      <w:tr>
        <w:tc>
          <w:tcPr/>
          <w:p>
            <w:pPr>
              <w:pStyle w:val="Compact"/>
            </w:pPr>
            <w:r>
              <w:t xml:space="preserve">10</w:t>
            </w:r>
          </w:p>
        </w:tc>
        <w:tc>
          <w:tcPr/>
          <w:p>
            <w:pPr>
              <w:pStyle w:val="Compact"/>
            </w:pPr>
            <w:r>
              <w:t xml:space="preserve">Recall Management</w:t>
            </w:r>
          </w:p>
        </w:tc>
      </w:tr>
      <w:tr>
        <w:tc>
          <w:tcPr/>
          <w:p>
            <w:pPr>
              <w:pStyle w:val="Compact"/>
            </w:pPr>
            <w:r>
              <w:t xml:space="preserve">11</w:t>
            </w:r>
          </w:p>
        </w:tc>
        <w:tc>
          <w:tcPr/>
          <w:p>
            <w:pPr>
              <w:pStyle w:val="Compact"/>
            </w:pPr>
            <w:r>
              <w:t xml:space="preserve">Cold Chain and Compliance</w:t>
            </w:r>
          </w:p>
        </w:tc>
      </w:tr>
      <w:tr>
        <w:tc>
          <w:tcPr/>
          <w:p>
            <w:pPr>
              <w:pStyle w:val="Compact"/>
            </w:pPr>
            <w:r>
              <w:t xml:space="preserve">12</w:t>
            </w:r>
          </w:p>
        </w:tc>
        <w:tc>
          <w:tcPr/>
          <w:p>
            <w:pPr>
              <w:pStyle w:val="Compact"/>
            </w:pPr>
            <w:r>
              <w:t xml:space="preserve">Non-Functional Requirements</w:t>
            </w:r>
          </w:p>
        </w:tc>
      </w:tr>
      <w:tr>
        <w:tc>
          <w:tcPr/>
          <w:p>
            <w:pPr>
              <w:pStyle w:val="Compact"/>
            </w:pPr>
            <w:r>
              <w:t xml:space="preserve">13</w:t>
            </w:r>
          </w:p>
        </w:tc>
        <w:tc>
          <w:tcPr/>
          <w:p>
            <w:pPr>
              <w:pStyle w:val="Compact"/>
            </w:pPr>
            <w:r>
              <w:t xml:space="preserve">Traceability Matrix</w:t>
            </w:r>
          </w:p>
        </w:tc>
      </w:tr>
    </w:tbl>
    <w:bookmarkEnd w:id="16"/>
    <w:bookmarkEnd w:id="17"/>
    <w:bookmarkStart w:id="21" w:name="multi-location-warehousing"/>
    <w:p>
      <w:pPr>
        <w:pStyle w:val="Heading1"/>
      </w:pPr>
      <w:r>
        <w:t xml:space="preserve">Multi-Location Warehousing</w:t>
      </w:r>
    </w:p>
    <w:bookmarkStart w:id="18" w:name="X7818a67cdcf8f04199609f692f2e404f1ffc5ea"/>
    <w:p>
      <w:pPr>
        <w:pStyle w:val="Heading2"/>
      </w:pPr>
      <w:r>
        <w:t xml:space="preserve">2.1 Warehouse and Location Setup</w:t>
      </w:r>
    </w:p>
    <w:p>
      <w:pPr>
        <w:pStyle w:val="FirstParagraph"/>
      </w:pPr>
      <w:r>
        <w:rPr>
          <w:b/>
          <w:bCs/>
        </w:rPr>
        <w:t xml:space="preserve">FR-ADVINV-001</w:t>
      </w:r>
      <w:r>
        <w:t xml:space="preserve"> </w:t>
      </w:r>
      <w:r>
        <w:t xml:space="preserve">— The system shall support a three-level location hierarchy within each branch: Warehouse → Zone → Bin (e.g., "Main Warehouse → Aisle A → Bin A1-001"); each level shall be independently configurable by name, code, and type (storage, staging, quarantine, dispatch).</w:t>
      </w:r>
    </w:p>
    <w:p>
      <w:pPr>
        <w:pStyle w:val="BodyText"/>
      </w:pPr>
      <w:r>
        <w:rPr>
          <w:b/>
          <w:bCs/>
        </w:rPr>
        <w:t xml:space="preserve">FR-ADVINV-002</w:t>
      </w:r>
      <w:r>
        <w:t xml:space="preserve"> </w:t>
      </w:r>
      <w:r>
        <w:t xml:space="preserve">— The system shall allow each item to be assigned a default storage location; when a GRN is posted for that item, the system shall suggest the default location automatically but shall permit the user to override it.</w:t>
      </w:r>
    </w:p>
    <w:p>
      <w:pPr>
        <w:pStyle w:val="BodyText"/>
      </w:pPr>
      <w:r>
        <w:rPr>
          <w:b/>
          <w:bCs/>
        </w:rPr>
        <w:t xml:space="preserve">FR-ADVINV-003</w:t>
      </w:r>
      <w:r>
        <w:t xml:space="preserve"> </w:t>
      </w:r>
      <w:r>
        <w:t xml:space="preserve">— The system shall maintain a bin-level stock balance for every item: when stock is received into a bin, transferred out of a bin, or consumed from a bin, the system shall update the bin-level balance in the same transaction as the branch-level stock movement (</w:t>
      </w:r>
      <w:r>
        <w:rPr>
          <w:rStyle w:val="VerbatimChar"/>
        </w:rPr>
        <w:t xml:space="preserve">FR-INV-*</w:t>
      </w:r>
      <w:r>
        <w:t xml:space="preserve">).</w:t>
      </w:r>
    </w:p>
    <w:bookmarkEnd w:id="18"/>
    <w:bookmarkStart w:id="19" w:name="X0a08f0da8ea4cc68671119137948ecdef5d7a46"/>
    <w:p>
      <w:pPr>
        <w:pStyle w:val="Heading2"/>
      </w:pPr>
      <w:r>
        <w:t xml:space="preserve">2.2 Putaway and Pick from Bin</w:t>
      </w:r>
    </w:p>
    <w:p>
      <w:pPr>
        <w:pStyle w:val="FirstParagraph"/>
      </w:pPr>
      <w:r>
        <w:rPr>
          <w:b/>
          <w:bCs/>
        </w:rPr>
        <w:t xml:space="preserve">FR-ADVINV-004</w:t>
      </w:r>
      <w:r>
        <w:t xml:space="preserve"> </w:t>
      </w:r>
      <w:r>
        <w:t xml:space="preserve">— When a GRN is confirmed and the item has a bin assigned, the system shall generate a putaway task listing the item, quantity, source location (receiving dock), and destination bin; the putaway task shall be assignable to a warehouse operative.</w:t>
      </w:r>
    </w:p>
    <w:p>
      <w:pPr>
        <w:pStyle w:val="BodyText"/>
      </w:pPr>
      <w:r>
        <w:rPr>
          <w:b/>
          <w:bCs/>
        </w:rPr>
        <w:t xml:space="preserve">FR-ADVINV-005</w:t>
      </w:r>
      <w:r>
        <w:t xml:space="preserve"> </w:t>
      </w:r>
      <w:r>
        <w:t xml:space="preserve">— When a delivery note or production issue requires stock from a specific bin, the system shall generate a pick task identifying the source bin, item, and quantity; if FEFO is enabled for the item, the system shall apply FEFO bin selection per Section 5.</w:t>
      </w:r>
    </w:p>
    <w:p>
      <w:pPr>
        <w:pStyle w:val="BodyText"/>
      </w:pPr>
      <w:r>
        <w:rPr>
          <w:b/>
          <w:bCs/>
        </w:rPr>
        <w:t xml:space="preserve">FR-ADVINV-006</w:t>
      </w:r>
      <w:r>
        <w:t xml:space="preserve"> </w:t>
      </w:r>
      <w:r>
        <w:t xml:space="preserve">— The system shall support the transfer of stock between bins within the same branch without creating a stock adjustment; a bin transfer shall update the source bin and destination bin balances while keeping the branch total unchanged.</w:t>
      </w:r>
    </w:p>
    <w:bookmarkEnd w:id="19"/>
    <w:bookmarkStart w:id="20" w:name="Xb1c7bff129c694d390ad4000bf76b36e08df00d"/>
    <w:p>
      <w:pPr>
        <w:pStyle w:val="Heading2"/>
      </w:pPr>
      <w:r>
        <w:t xml:space="preserve">2.3 Bin Occupancy and Capacity</w:t>
      </w:r>
    </w:p>
    <w:p>
      <w:pPr>
        <w:pStyle w:val="FirstParagraph"/>
      </w:pPr>
      <w:r>
        <w:rPr>
          <w:b/>
          <w:bCs/>
        </w:rPr>
        <w:t xml:space="preserve">FR-ADVINV-007</w:t>
      </w:r>
      <w:r>
        <w:t xml:space="preserve"> </w:t>
      </w:r>
      <w:r>
        <w:t xml:space="preserve">— When a bin is configured with a maximum capacity (units or weight), the system shall warn the user if a putaway task would exceed that capacity and shall require supervisor confirmation to proceed.</w:t>
      </w:r>
    </w:p>
    <w:p>
      <w:pPr>
        <w:pStyle w:val="BodyText"/>
      </w:pPr>
      <w:r>
        <w:rPr>
          <w:b/>
          <w:bCs/>
        </w:rPr>
        <w:t xml:space="preserve">FR-ADVINV-008</w:t>
      </w:r>
      <w:r>
        <w:t xml:space="preserve"> </w:t>
      </w:r>
      <w:r>
        <w:t xml:space="preserve">— The system shall provide a warehouse map view showing each zone and bin with current occupancy percentage and the items currently stored; this view shall refresh in real time during active putaway and pick operations.</w:t>
      </w:r>
    </w:p>
    <w:bookmarkEnd w:id="20"/>
    <w:bookmarkEnd w:id="21"/>
    <w:bookmarkStart w:id="25" w:name="batch-tracking"/>
    <w:p>
      <w:pPr>
        <w:pStyle w:val="Heading1"/>
      </w:pPr>
      <w:r>
        <w:t xml:space="preserve">Batch Tracking</w:t>
      </w:r>
    </w:p>
    <w:bookmarkStart w:id="22" w:name="X20dd1041b3b88b90849ae2e25120d409a6d342f"/>
    <w:p>
      <w:pPr>
        <w:pStyle w:val="Heading2"/>
      </w:pPr>
      <w:r>
        <w:t xml:space="preserve">3.1 Batch Record</w:t>
      </w:r>
    </w:p>
    <w:p>
      <w:pPr>
        <w:pStyle w:val="FirstParagraph"/>
      </w:pPr>
      <w:r>
        <w:rPr>
          <w:b/>
          <w:bCs/>
        </w:rPr>
        <w:t xml:space="preserve">FR-ADVINV-009</w:t>
      </w:r>
      <w:r>
        <w:t xml:space="preserve"> </w:t>
      </w:r>
      <w:r>
        <w:t xml:space="preserve">— When an item is configured as batch-tracked, the system shall require batch number entry on every inbound stock movement (GRN, production receipt, stock adjustment positive); the system shall reject a batch-tracked GRN line that has no batch number.</w:t>
      </w:r>
    </w:p>
    <w:p>
      <w:pPr>
        <w:pStyle w:val="BodyText"/>
      </w:pPr>
      <w:r>
        <w:rPr>
          <w:b/>
          <w:bCs/>
        </w:rPr>
        <w:t xml:space="preserve">FR-ADVINV-010</w:t>
      </w:r>
      <w:r>
        <w:t xml:space="preserve"> </w:t>
      </w:r>
      <w:r>
        <w:t xml:space="preserve">— Each batch record shall carry: batch number (supplied by the user or generated by the system in format</w:t>
      </w:r>
      <w:r>
        <w:t xml:space="preserve"> </w:t>
      </w:r>
      <w:r>
        <w:rPr>
          <w:rStyle w:val="VerbatimChar"/>
        </w:rPr>
        <w:t xml:space="preserve">BATCH-YYYY-NNNN</w:t>
      </w:r>
      <w:r>
        <w:t xml:space="preserve">), manufacturing date, best-before date, expiry date, supplier batch reference (for purchased goods), and QC status (Released, Quarantined, Rejected).</w:t>
      </w:r>
    </w:p>
    <w:p>
      <w:pPr>
        <w:pStyle w:val="BodyText"/>
      </w:pPr>
      <w:r>
        <w:rPr>
          <w:b/>
          <w:bCs/>
        </w:rPr>
        <w:t xml:space="preserve">FR-ADVINV-011</w:t>
      </w:r>
      <w:r>
        <w:t xml:space="preserve"> </w:t>
      </w:r>
      <w:r>
        <w:t xml:space="preserve">— When a batch QC status is set to "Quarantined", the system shall block all outbound movements (sales picking, production issue, transfer) of that batch until the status is changed to "Released" by an authorised user.</w:t>
      </w:r>
    </w:p>
    <w:bookmarkEnd w:id="22"/>
    <w:bookmarkStart w:id="23" w:name="X90713fdf3f2a88116958fa4e80964859d2cd893"/>
    <w:p>
      <w:pPr>
        <w:pStyle w:val="Heading2"/>
      </w:pPr>
      <w:r>
        <w:t xml:space="preserve">3.2 Batch Ledger</w:t>
      </w:r>
    </w:p>
    <w:p>
      <w:pPr>
        <w:pStyle w:val="FirstParagraph"/>
      </w:pPr>
      <w:r>
        <w:rPr>
          <w:b/>
          <w:bCs/>
        </w:rPr>
        <w:t xml:space="preserve">FR-ADVINV-012</w:t>
      </w:r>
      <w:r>
        <w:t xml:space="preserve"> </w:t>
      </w:r>
      <w:r>
        <w:t xml:space="preserve">— The system shall maintain a batch ledger for each batch record, recording every stock movement in and out with: movement date, movement type, quantity, document reference (GRN number, delivery note number, production order number), and resulting batch balance; the batch ledger shall be immutable.</w:t>
      </w:r>
    </w:p>
    <w:p>
      <w:pPr>
        <w:pStyle w:val="BodyText"/>
      </w:pPr>
      <w:r>
        <w:rPr>
          <w:b/>
          <w:bCs/>
        </w:rPr>
        <w:t xml:space="preserve">FR-ADVINV-013</w:t>
      </w:r>
      <w:r>
        <w:t xml:space="preserve"> </w:t>
      </w:r>
      <w:r>
        <w:t xml:space="preserve">— When a batch is fully consumed (batch balance = 0), the system shall close the batch record and retain it in read-only state for the configured retention period (minimum 7 years for food and pharmaceutical tenants).</w:t>
      </w:r>
    </w:p>
    <w:bookmarkEnd w:id="23"/>
    <w:bookmarkStart w:id="24" w:name="X6de7887da91978a3036ff1a3c584f6a73c89117"/>
    <w:p>
      <w:pPr>
        <w:pStyle w:val="Heading2"/>
      </w:pPr>
      <w:r>
        <w:t xml:space="preserve">3.3 Uganda Agro-Processing Batch Fields</w:t>
      </w:r>
    </w:p>
    <w:p>
      <w:pPr>
        <w:pStyle w:val="FirstParagraph"/>
      </w:pPr>
      <w:r>
        <w:rPr>
          <w:b/>
          <w:bCs/>
        </w:rPr>
        <w:t xml:space="preserve">FR-ADVINV-014</w:t>
      </w:r>
      <w:r>
        <w:t xml:space="preserve"> </w:t>
      </w:r>
      <w:r>
        <w:t xml:space="preserve">— For items in the maize, grain, and coffee categories, the system shall extend the batch record with the following agro-processing fields: intake season, moisture content at intake (%), bulk density (kg/m³), grade (A, B, C or configurable), and originating cooperative or farmer group.</w:t>
      </w:r>
    </w:p>
    <w:p>
      <w:pPr>
        <w:pStyle w:val="BodyText"/>
      </w:pPr>
      <w:r>
        <w:rPr>
          <w:b/>
          <w:bCs/>
        </w:rPr>
        <w:t xml:space="preserve">FR-ADVINV-015</w:t>
      </w:r>
      <w:r>
        <w:t xml:space="preserve"> </w:t>
      </w:r>
      <w:r>
        <w:t xml:space="preserve">— When a batch record carries a cooperative intake reference, the system shall provide a forward trace report: given a batch number, show every delivery note and customer that received stock from that batch.</w:t>
      </w:r>
    </w:p>
    <w:bookmarkEnd w:id="24"/>
    <w:bookmarkEnd w:id="25"/>
    <w:bookmarkStart w:id="28" w:name="serial-number-tracking"/>
    <w:p>
      <w:pPr>
        <w:pStyle w:val="Heading1"/>
      </w:pPr>
      <w:r>
        <w:t xml:space="preserve">Serial Number Tracking</w:t>
      </w:r>
    </w:p>
    <w:bookmarkStart w:id="26" w:name="Xf594a2db7f508bd36cca068640105f9bcaf017f"/>
    <w:p>
      <w:pPr>
        <w:pStyle w:val="Heading2"/>
      </w:pPr>
      <w:r>
        <w:t xml:space="preserve">4.1 Serial Number Assignment</w:t>
      </w:r>
    </w:p>
    <w:p>
      <w:pPr>
        <w:pStyle w:val="FirstParagraph"/>
      </w:pPr>
      <w:r>
        <w:rPr>
          <w:b/>
          <w:bCs/>
        </w:rPr>
        <w:t xml:space="preserve">FR-ADVINV-016</w:t>
      </w:r>
      <w:r>
        <w:t xml:space="preserve"> </w:t>
      </w:r>
      <w:r>
        <w:t xml:space="preserve">— When an item is configured as serial-tracked, the system shall require a unique serial number per individual unit on every inbound and outbound stock movement; a serial-tracked item shall always have a quantity of 1 per serial number.</w:t>
      </w:r>
    </w:p>
    <w:p>
      <w:pPr>
        <w:pStyle w:val="BodyText"/>
      </w:pPr>
      <w:r>
        <w:rPr>
          <w:b/>
          <w:bCs/>
        </w:rPr>
        <w:t xml:space="preserve">FR-ADVINV-017</w:t>
      </w:r>
      <w:r>
        <w:t xml:space="preserve"> </w:t>
      </w:r>
      <w:r>
        <w:t xml:space="preserve">— The system shall support two serial number entry modes: (a) manual entry (user types or scans the serial number) and (b) system-generated (the system assigns a serial number in a configured format, e.g.,</w:t>
      </w:r>
      <w:r>
        <w:t xml:space="preserve"> </w:t>
      </w:r>
      <w:r>
        <w:rPr>
          <w:rStyle w:val="VerbatimChar"/>
        </w:rPr>
        <w:t xml:space="preserve">SN-YYYYMMDD-NNNN</w:t>
      </w:r>
      <w:r>
        <w:t xml:space="preserve">).</w:t>
      </w:r>
    </w:p>
    <w:p>
      <w:pPr>
        <w:pStyle w:val="BodyText"/>
      </w:pPr>
      <w:r>
        <w:rPr>
          <w:b/>
          <w:bCs/>
        </w:rPr>
        <w:t xml:space="preserve">FR-ADVINV-018</w:t>
      </w:r>
      <w:r>
        <w:t xml:space="preserve"> </w:t>
      </w:r>
      <w:r>
        <w:t xml:space="preserve">— The system shall validate that a serial number being received on a GRN is not already active in the tenant's inventory; duplicate serial numbers within the same item code shall be rejected.</w:t>
      </w:r>
    </w:p>
    <w:bookmarkEnd w:id="26"/>
    <w:bookmarkStart w:id="27" w:name="Xe9bbf5c5f6cd6267d8e414673bdb5d969fba6d4"/>
    <w:p>
      <w:pPr>
        <w:pStyle w:val="Heading2"/>
      </w:pPr>
      <w:r>
        <w:t xml:space="preserve">4.2 Serial Number Ledger</w:t>
      </w:r>
    </w:p>
    <w:p>
      <w:pPr>
        <w:pStyle w:val="FirstParagraph"/>
      </w:pPr>
      <w:r>
        <w:rPr>
          <w:b/>
          <w:bCs/>
        </w:rPr>
        <w:t xml:space="preserve">FR-ADVINV-019</w:t>
      </w:r>
      <w:r>
        <w:t xml:space="preserve"> </w:t>
      </w:r>
      <w:r>
        <w:t xml:space="preserve">— The system shall maintain a serial number ledger for each serialised unit recording: item code, serial number, current location (branch, bin), current owner (in-stock, sold-to customer, in-transit), all movement history (date, document reference, from location, to location), and status (Active, Returned, Scrapped).</w:t>
      </w:r>
    </w:p>
    <w:p>
      <w:pPr>
        <w:pStyle w:val="BodyText"/>
      </w:pPr>
      <w:r>
        <w:rPr>
          <w:b/>
          <w:bCs/>
        </w:rPr>
        <w:t xml:space="preserve">FR-ADVINV-020</w:t>
      </w:r>
      <w:r>
        <w:t xml:space="preserve"> </w:t>
      </w:r>
      <w:r>
        <w:t xml:space="preserve">— When a serial-tracked item is sold and the delivery note is confirmed, the system shall update the serial number status to "Sold" and record the customer name, invoice number, and sale date in the serial number ledger.</w:t>
      </w:r>
    </w:p>
    <w:p>
      <w:pPr>
        <w:pStyle w:val="BodyText"/>
      </w:pPr>
      <w:r>
        <w:rPr>
          <w:b/>
          <w:bCs/>
        </w:rPr>
        <w:t xml:space="preserve">FR-ADVINV-021</w:t>
      </w:r>
      <w:r>
        <w:t xml:space="preserve"> </w:t>
      </w:r>
      <w:r>
        <w:t xml:space="preserve">— The system shall provide a serial number enquiry screen where a user can enter a serial number and immediately see its full movement history, current location, and warranty expiry date (if applicable).</w:t>
      </w:r>
    </w:p>
    <w:bookmarkEnd w:id="27"/>
    <w:bookmarkEnd w:id="28"/>
    <w:bookmarkStart w:id="32" w:name="fefo-picking-and-expiry-management"/>
    <w:p>
      <w:pPr>
        <w:pStyle w:val="Heading1"/>
      </w:pPr>
      <w:r>
        <w:t xml:space="preserve">FEFO Picking and Expiry Management</w:t>
      </w:r>
    </w:p>
    <w:bookmarkStart w:id="29" w:name="Xb878b36303650db3f8346a11e664784489b77d9"/>
    <w:p>
      <w:pPr>
        <w:pStyle w:val="Heading2"/>
      </w:pPr>
      <w:r>
        <w:t xml:space="preserve">5.1 FEFO Picking Strategy</w:t>
      </w:r>
    </w:p>
    <w:p>
      <w:pPr>
        <w:pStyle w:val="FirstParagraph"/>
      </w:pPr>
      <w:r>
        <w:rPr>
          <w:b/>
          <w:bCs/>
        </w:rPr>
        <w:t xml:space="preserve">FR-ADVINV-022</w:t>
      </w:r>
      <w:r>
        <w:t xml:space="preserve"> </w:t>
      </w:r>
      <w:r>
        <w:t xml:space="preserve">— When an item is configured with picking strategy "FEFO", the system shall always select the batch with the earliest expiry date to fulfil outbound stock movements (delivery picks, production issues, transfer dispatches); if two batches share the same expiry date, the system shall select the batch with the earliest receipt date (secondary sort: FIFO).</w:t>
      </w:r>
    </w:p>
    <w:p>
      <w:pPr>
        <w:pStyle w:val="BodyText"/>
      </w:pPr>
      <w:r>
        <w:rPr>
          <w:b/>
          <w:bCs/>
        </w:rPr>
        <w:t xml:space="preserve">FR-ADVINV-023</w:t>
      </w:r>
      <w:r>
        <w:t xml:space="preserve"> </w:t>
      </w:r>
      <w:r>
        <w:t xml:space="preserve">— FEFO picking shall be mandatory and non-overridable for items in the following configurable category types: food, pharmaceutical, agro-chemical, and veterinary products; a user attempting to manually override FEFO picking for these categories shall receive an HTTP 403 response.</w:t>
      </w:r>
    </w:p>
    <w:p>
      <w:pPr>
        <w:pStyle w:val="BodyText"/>
      </w:pPr>
      <w:r>
        <w:rPr>
          <w:b/>
          <w:bCs/>
        </w:rPr>
        <w:t xml:space="preserve">FR-ADVINV-024</w:t>
      </w:r>
      <w:r>
        <w:t xml:space="preserve"> </w:t>
      </w:r>
      <w:r>
        <w:t xml:space="preserve">— When an outbound movement requires more than one batch to fulfil the requested quantity, the system shall auto-split the pick across batches in FEFO order and shall display each batch allocation to the warehouse operative.</w:t>
      </w:r>
    </w:p>
    <w:bookmarkEnd w:id="29"/>
    <w:bookmarkStart w:id="30" w:name="Xa563dcb75073e9c1415cd1d44e08139204e49de"/>
    <w:p>
      <w:pPr>
        <w:pStyle w:val="Heading2"/>
      </w:pPr>
      <w:r>
        <w:t xml:space="preserve">5.2 Expiry Alerts</w:t>
      </w:r>
    </w:p>
    <w:p>
      <w:pPr>
        <w:pStyle w:val="FirstParagraph"/>
      </w:pPr>
      <w:r>
        <w:rPr>
          <w:b/>
          <w:bCs/>
        </w:rPr>
        <w:t xml:space="preserve">FR-ADVINV-025</w:t>
      </w:r>
      <w:r>
        <w:t xml:space="preserve"> </w:t>
      </w:r>
      <w:r>
        <w:t xml:space="preserve">— The system shall generate a daily expiry alert report listing all batch records with an expiry date within the configured alert horizon (default: 30 days); the report shall show item name, batch number, expiry date, current quantity, and current bin location.</w:t>
      </w:r>
    </w:p>
    <w:p>
      <w:pPr>
        <w:pStyle w:val="BodyText"/>
      </w:pPr>
      <w:r>
        <w:rPr>
          <w:b/>
          <w:bCs/>
        </w:rPr>
        <w:t xml:space="preserve">FR-ADVINV-026</w:t>
      </w:r>
      <w:r>
        <w:t xml:space="preserve"> </w:t>
      </w:r>
      <w:r>
        <w:t xml:space="preserve">— When a batch's expiry date falls within the alert horizon, the system shall send an in-app notification to the warehouse manager and, if configured, an email alert to the inventory email distribution list.</w:t>
      </w:r>
    </w:p>
    <w:p>
      <w:pPr>
        <w:pStyle w:val="BodyText"/>
      </w:pPr>
      <w:r>
        <w:rPr>
          <w:b/>
          <w:bCs/>
        </w:rPr>
        <w:t xml:space="preserve">FR-ADVINV-027</w:t>
      </w:r>
      <w:r>
        <w:t xml:space="preserve"> </w:t>
      </w:r>
      <w:r>
        <w:t xml:space="preserve">— When a batch's expiry date is passed and the batch still has a positive stock balance, the system shall automatically set the batch QC status to "Quarantined" (per FR-ADVINV-011) and generate a high-priority alert for the warehouse manager to initiate disposal or return.</w:t>
      </w:r>
    </w:p>
    <w:bookmarkEnd w:id="30"/>
    <w:bookmarkStart w:id="31" w:name="Xb170d7ca23faeb6a8f2ae027036a8df95cd3b38"/>
    <w:p>
      <w:pPr>
        <w:pStyle w:val="Heading2"/>
      </w:pPr>
      <w:r>
        <w:t xml:space="preserve">5.3 Expiry at Point of Sale</w:t>
      </w:r>
    </w:p>
    <w:p>
      <w:pPr>
        <w:pStyle w:val="FirstParagraph"/>
      </w:pPr>
      <w:r>
        <w:rPr>
          <w:b/>
          <w:bCs/>
        </w:rPr>
        <w:t xml:space="preserve">FR-ADVINV-028</w:t>
      </w:r>
      <w:r>
        <w:t xml:space="preserve"> </w:t>
      </w:r>
      <w:r>
        <w:t xml:space="preserve">— When a POS cashier adds a batch-tracked item to a sale, the system shall display the expiry date of the batch being sold; if the expiry date is within 7 days (configurable), the system shall display a yellow warning; if the expiry date is past, the system shall block the sale and display a red error.</w:t>
      </w:r>
    </w:p>
    <w:bookmarkEnd w:id="31"/>
    <w:bookmarkEnd w:id="32"/>
    <w:bookmarkStart w:id="35" w:name="inter-branch-transfers-and-landed-cost"/>
    <w:p>
      <w:pPr>
        <w:pStyle w:val="Heading1"/>
      </w:pPr>
      <w:r>
        <w:t xml:space="preserve">Inter-Branch Transfers and Landed Cost</w:t>
      </w:r>
    </w:p>
    <w:bookmarkStart w:id="33" w:name="X6162bcb75dbeeea38083e35d1c339d2608eca2f"/>
    <w:p>
      <w:pPr>
        <w:pStyle w:val="Heading2"/>
      </w:pPr>
      <w:r>
        <w:t xml:space="preserve">6.1 Inter-Branch Transfers</w:t>
      </w:r>
    </w:p>
    <w:p>
      <w:pPr>
        <w:pStyle w:val="FirstParagraph"/>
      </w:pPr>
      <w:r>
        <w:rPr>
          <w:b/>
          <w:bCs/>
        </w:rPr>
        <w:t xml:space="preserve">FR-ADVINV-029</w:t>
      </w:r>
      <w:r>
        <w:t xml:space="preserve"> </w:t>
      </w:r>
      <w:r>
        <w:t xml:space="preserve">— When a user initiates an inter-branch transfer, the system shall create a transfer request record listing: source branch, destination branch, items and quantities, requested delivery date, and the requesting user.</w:t>
      </w:r>
    </w:p>
    <w:p>
      <w:pPr>
        <w:pStyle w:val="BodyText"/>
      </w:pPr>
      <w:r>
        <w:rPr>
          <w:b/>
          <w:bCs/>
        </w:rPr>
        <w:t xml:space="preserve">FR-ADVINV-030</w:t>
      </w:r>
      <w:r>
        <w:t xml:space="preserve"> </w:t>
      </w:r>
      <w:r>
        <w:t xml:space="preserve">— When the transfer request is approved by the destination branch manager, the system shall transition the source branch stock for the specified items and quantities to "In-Transit" status; the items shall no longer be available for sale or issue from the source branch but shall appear in a separate "In-Transit" stock balance visible to both branches.</w:t>
      </w:r>
    </w:p>
    <w:p>
      <w:pPr>
        <w:pStyle w:val="BodyText"/>
      </w:pPr>
      <w:r>
        <w:rPr>
          <w:b/>
          <w:bCs/>
        </w:rPr>
        <w:t xml:space="preserve">FR-ADVINV-031</w:t>
      </w:r>
      <w:r>
        <w:t xml:space="preserve"> </w:t>
      </w:r>
      <w:r>
        <w:t xml:space="preserve">— When the destination branch confirms receipt (by creating a transfer receipt note), the system shall: (a) clear the In-Transit balance from the source branch, (b) add the received quantity to the destination branch stock, and (c) post the stock movement to the stock ledger with the transfer receipt note reference.</w:t>
      </w:r>
    </w:p>
    <w:p>
      <w:pPr>
        <w:pStyle w:val="BodyText"/>
      </w:pPr>
      <w:r>
        <w:rPr>
          <w:b/>
          <w:bCs/>
        </w:rPr>
        <w:t xml:space="preserve">FR-ADVINV-032</w:t>
      </w:r>
      <w:r>
        <w:t xml:space="preserve"> </w:t>
      </w:r>
      <w:r>
        <w:t xml:space="preserve">— When a transfer is partially received, the system shall retain the unreceived quantity in In-Transit status; the system shall permit multiple partial receipts until the full transfer quantity is confirmed or the transfer is closed with variance.</w:t>
      </w:r>
    </w:p>
    <w:bookmarkEnd w:id="33"/>
    <w:bookmarkStart w:id="34" w:name="Xc64d0ec8665ddf0e2461e2673eb9a7a65fa13e5"/>
    <w:p>
      <w:pPr>
        <w:pStyle w:val="Heading2"/>
      </w:pPr>
      <w:r>
        <w:t xml:space="preserve">6.2 Landed Cost Allocation</w:t>
      </w:r>
    </w:p>
    <w:p>
      <w:pPr>
        <w:pStyle w:val="FirstParagraph"/>
      </w:pPr>
      <w:r>
        <w:rPr>
          <w:b/>
          <w:bCs/>
        </w:rPr>
        <w:t xml:space="preserve">FR-ADVINV-033</w:t>
      </w:r>
      <w:r>
        <w:t xml:space="preserve"> </w:t>
      </w:r>
      <w:r>
        <w:t xml:space="preserve">— The system shall provide a landed cost allocation function applicable to any GRN from an import supplier; the user shall enter additional costs (freight, insurance, customs duty, clearing fees, port levies) and select an allocation method: by value, by weight, or by quantity.</w:t>
      </w:r>
    </w:p>
    <w:p>
      <w:pPr>
        <w:pStyle w:val="BodyText"/>
      </w:pPr>
      <w:r>
        <w:rPr>
          <w:b/>
          <w:bCs/>
        </w:rPr>
        <w:t xml:space="preserve">FR-ADVINV-034</w:t>
      </w:r>
      <w:r>
        <w:t xml:space="preserve"> </w:t>
      </w:r>
      <w:r>
        <w:t xml:space="preserve">— When landed costs are allocated by value, the system shall distribute the additional cost to each GRN line in proportion to the line's value:</w:t>
      </w:r>
      <w:r>
        <w:t xml:space="preserve"> </w:t>
      </w:r>
      <m:oMath>
        <m:r>
          <m:t>A</m:t>
        </m:r>
        <m:r>
          <m:t>l</m:t>
        </m:r>
        <m:r>
          <m:t>l</m:t>
        </m:r>
        <m:r>
          <m:t>o</m:t>
        </m:r>
        <m:r>
          <m:t>c</m:t>
        </m:r>
        <m:r>
          <m:t>a</m:t>
        </m:r>
        <m:r>
          <m:t>t</m:t>
        </m:r>
        <m:r>
          <m:t>e</m:t>
        </m:r>
        <m:r>
          <m:t>d</m:t>
        </m:r>
        <m:r>
          <m:t>C</m:t>
        </m:r>
        <m:r>
          <m:t>o</m:t>
        </m:r>
        <m:r>
          <m:t>s</m:t>
        </m:r>
        <m:sSub>
          <m:e>
            <m:r>
              <m:t>t</m:t>
            </m:r>
          </m:e>
          <m:sub>
            <m:r>
              <m:t>i</m:t>
            </m:r>
          </m:sub>
        </m:sSub>
        <m:r>
          <m:rPr>
            <m:sty m:val="p"/>
          </m:rPr>
          <m:t>=</m:t>
        </m:r>
        <m:r>
          <m:t>T</m:t>
        </m:r>
        <m:r>
          <m:t>o</m:t>
        </m:r>
        <m:r>
          <m:t>t</m:t>
        </m:r>
        <m:r>
          <m:t>a</m:t>
        </m:r>
        <m:r>
          <m:t>l</m:t>
        </m:r>
        <m:r>
          <m:t>L</m:t>
        </m:r>
        <m:r>
          <m:t>a</m:t>
        </m:r>
        <m:r>
          <m:t>n</m:t>
        </m:r>
        <m:r>
          <m:t>d</m:t>
        </m:r>
        <m:r>
          <m:t>e</m:t>
        </m:r>
        <m:r>
          <m:t>d</m:t>
        </m:r>
        <m:r>
          <m:t>C</m:t>
        </m:r>
        <m:r>
          <m:t>o</m:t>
        </m:r>
        <m:r>
          <m:t>s</m:t>
        </m:r>
        <m:r>
          <m:t>t</m:t>
        </m:r>
        <m:r>
          <m:rPr>
            <m:sty m:val="p"/>
          </m:rPr>
          <m:t>×</m:t>
        </m:r>
        <m:r>
          <m:rPr>
            <m:sty m:val="p"/>
          </m:rPr>
          <m:t>(</m:t>
        </m:r>
        <m:r>
          <m:t>L</m:t>
        </m:r>
        <m:r>
          <m:t>i</m:t>
        </m:r>
        <m:r>
          <m:t>n</m:t>
        </m:r>
        <m:r>
          <m:t>e</m:t>
        </m:r>
        <m:r>
          <m:t>V</m:t>
        </m:r>
        <m:r>
          <m:t>a</m:t>
        </m:r>
        <m:r>
          <m:t>l</m:t>
        </m:r>
        <m:r>
          <m:t>u</m:t>
        </m:r>
        <m:sSub>
          <m:e>
            <m:r>
              <m:t>e</m:t>
            </m:r>
          </m:e>
          <m:sub>
            <m:r>
              <m:t>i</m:t>
            </m:r>
          </m:sub>
        </m:sSub>
        <m:r>
          <m:rPr>
            <m:sty m:val="p"/>
          </m:rPr>
          <m:t>÷</m:t>
        </m:r>
        <m:r>
          <m:t>T</m:t>
        </m:r>
        <m:r>
          <m:t>o</m:t>
        </m:r>
        <m:r>
          <m:t>t</m:t>
        </m:r>
        <m:r>
          <m:t>a</m:t>
        </m:r>
        <m:r>
          <m:t>l</m:t>
        </m:r>
        <m:r>
          <m:t>G</m:t>
        </m:r>
        <m:r>
          <m:t>R</m:t>
        </m:r>
        <m:r>
          <m:t>N</m:t>
        </m:r>
        <m:r>
          <m:t>V</m:t>
        </m:r>
        <m:r>
          <m:t>a</m:t>
        </m:r>
        <m:r>
          <m:t>l</m:t>
        </m:r>
        <m:r>
          <m:t>u</m:t>
        </m:r>
        <m:r>
          <m:t>e</m:t>
        </m:r>
        <m:r>
          <m:rPr>
            <m:sty m:val="p"/>
          </m:rPr>
          <m:t>)</m:t>
        </m:r>
      </m:oMath>
      <w:r>
        <w:t xml:space="preserve">.</w:t>
      </w:r>
    </w:p>
    <w:p>
      <w:pPr>
        <w:pStyle w:val="BodyText"/>
      </w:pPr>
      <w:r>
        <w:rPr>
          <w:b/>
          <w:bCs/>
        </w:rPr>
        <w:t xml:space="preserve">FR-ADVINV-035</w:t>
      </w:r>
      <w:r>
        <w:t xml:space="preserve"> </w:t>
      </w:r>
      <w:r>
        <w:t xml:space="preserve">— When a landed cost allocation is confirmed, the system shall update the unit cost of each GRN line item to include the allocated landed cost and shall re-compute the weighted average cost for those items using the adjusted cost.</w:t>
      </w:r>
    </w:p>
    <w:bookmarkEnd w:id="34"/>
    <w:bookmarkEnd w:id="35"/>
    <w:bookmarkStart w:id="39" w:name="X98e3f0b044a2782d2615cb0b5eb8eb616b34dcb"/>
    <w:p>
      <w:pPr>
        <w:pStyle w:val="Heading1"/>
      </w:pPr>
      <w:r>
        <w:t xml:space="preserve">Stock Reservation, Recall Management, and Cold Chain</w:t>
      </w:r>
    </w:p>
    <w:bookmarkStart w:id="36" w:name="Xb0510c6e04191b056f25dbd38f0200a6a87da31"/>
    <w:p>
      <w:pPr>
        <w:pStyle w:val="Heading2"/>
      </w:pPr>
      <w:r>
        <w:t xml:space="preserve">7.1 Stock Reservation</w:t>
      </w:r>
    </w:p>
    <w:p>
      <w:pPr>
        <w:pStyle w:val="FirstParagraph"/>
      </w:pPr>
      <w:r>
        <w:rPr>
          <w:b/>
          <w:bCs/>
        </w:rPr>
        <w:t xml:space="preserve">FR-ADVINV-036</w:t>
      </w:r>
      <w:r>
        <w:t xml:space="preserve"> </w:t>
      </w:r>
      <w:r>
        <w:t xml:space="preserve">— When a sales order is confirmed, the system shall allow the user to reserve specific quantities of each ordered item against the sales order; reserved stock shall be deducted from the available-to-promise (ATP) balance and shall not be committed to another order without supervisor override.</w:t>
      </w:r>
    </w:p>
    <w:p>
      <w:pPr>
        <w:pStyle w:val="BodyText"/>
      </w:pPr>
      <w:r>
        <w:rPr>
          <w:b/>
          <w:bCs/>
        </w:rPr>
        <w:t xml:space="preserve">FR-ADVINV-037</w:t>
      </w:r>
      <w:r>
        <w:t xml:space="preserve"> </w:t>
      </w:r>
      <w:r>
        <w:t xml:space="preserve">— The ATP balance shall be computed as:</w:t>
      </w:r>
      <w:r>
        <w:t xml:space="preserve"> </w:t>
      </w:r>
      <m:oMath>
        <m:r>
          <m:t>A</m:t>
        </m:r>
        <m:r>
          <m:t>T</m:t>
        </m:r>
        <m:r>
          <m:t>P</m:t>
        </m:r>
        <m:r>
          <m:rPr>
            <m:sty m:val="p"/>
          </m:rPr>
          <m:t>=</m:t>
        </m:r>
        <m:r>
          <m:t>O</m:t>
        </m:r>
        <m:r>
          <m:t>n</m:t>
        </m:r>
        <m:r>
          <m:t>H</m:t>
        </m:r>
        <m:r>
          <m:t>a</m:t>
        </m:r>
        <m:r>
          <m:t>n</m:t>
        </m:r>
        <m:r>
          <m:t>d</m:t>
        </m:r>
        <m:r>
          <m:t>Q</m:t>
        </m:r>
        <m:r>
          <m:t>t</m:t>
        </m:r>
        <m:r>
          <m:t>y</m:t>
        </m:r>
        <m:r>
          <m:rPr>
            <m:sty m:val="p"/>
          </m:rPr>
          <m:t>−</m:t>
        </m:r>
        <m:r>
          <m:t>R</m:t>
        </m:r>
        <m:r>
          <m:t>e</m:t>
        </m:r>
        <m:r>
          <m:t>s</m:t>
        </m:r>
        <m:r>
          <m:t>e</m:t>
        </m:r>
        <m:r>
          <m:t>r</m:t>
        </m:r>
        <m:r>
          <m:t>v</m:t>
        </m:r>
        <m:r>
          <m:t>e</m:t>
        </m:r>
        <m:r>
          <m:t>d</m:t>
        </m:r>
        <m:r>
          <m:t>Q</m:t>
        </m:r>
        <m:r>
          <m:t>t</m:t>
        </m:r>
        <m:r>
          <m:t>y</m:t>
        </m:r>
        <m:r>
          <m:rPr>
            <m:sty m:val="p"/>
          </m:rPr>
          <m:t>−</m:t>
        </m:r>
        <m:r>
          <m:t>O</m:t>
        </m:r>
        <m:r>
          <m:t>p</m:t>
        </m:r>
        <m:r>
          <m:t>e</m:t>
        </m:r>
        <m:r>
          <m:t>n</m:t>
        </m:r>
        <m:r>
          <m:t>P</m:t>
        </m:r>
        <m:r>
          <m:t>i</m:t>
        </m:r>
        <m:r>
          <m:t>c</m:t>
        </m:r>
        <m:r>
          <m:t>k</m:t>
        </m:r>
        <m:r>
          <m:t>Q</m:t>
        </m:r>
        <m:r>
          <m:t>t</m:t>
        </m:r>
        <m:r>
          <m:t>y</m:t>
        </m:r>
      </m:oMath>
      <w:r>
        <w:t xml:space="preserve">; the system shall display the ATP balance alongside the on-hand balance in all item enquiry screens and sales order entry forms.</w:t>
      </w:r>
    </w:p>
    <w:p>
      <w:pPr>
        <w:pStyle w:val="BodyText"/>
      </w:pPr>
      <w:r>
        <w:rPr>
          <w:b/>
          <w:bCs/>
        </w:rPr>
        <w:t xml:space="preserve">FR-ADVINV-038</w:t>
      </w:r>
      <w:r>
        <w:t xml:space="preserve"> </w:t>
      </w:r>
      <w:r>
        <w:t xml:space="preserve">— When a reservation is cancelled (by cancelling or closing the linked sales order), the system shall immediately release the reserved quantity back to the ATP balance without requiring manual intervention.</w:t>
      </w:r>
    </w:p>
    <w:bookmarkEnd w:id="36"/>
    <w:bookmarkStart w:id="37" w:name="X98d83e996ba28f4b0d60aa49236919343be29dc"/>
    <w:p>
      <w:pPr>
        <w:pStyle w:val="Heading2"/>
      </w:pPr>
      <w:r>
        <w:t xml:space="preserve">7.2 Recall Management</w:t>
      </w:r>
    </w:p>
    <w:p>
      <w:pPr>
        <w:pStyle w:val="FirstParagraph"/>
      </w:pPr>
      <w:r>
        <w:rPr>
          <w:b/>
          <w:bCs/>
        </w:rPr>
        <w:t xml:space="preserve">FR-ADVINV-039</w:t>
      </w:r>
      <w:r>
        <w:t xml:space="preserve"> </w:t>
      </w:r>
      <w:r>
        <w:t xml:space="preserve">— When an authorised user initiates a product recall, the system shall accept a batch number or a date range as the recall scope and shall: (a) set the QC status of all in-scope batches to "Quarantined", (b) generate a recall trace report listing every sales delivery that issued stock from the affected batches (customer name, invoice number, quantity, delivery date), and (c) generate a supplier trace report listing the originating GRN.</w:t>
      </w:r>
    </w:p>
    <w:p>
      <w:pPr>
        <w:pStyle w:val="BodyText"/>
      </w:pPr>
      <w:r>
        <w:rPr>
          <w:b/>
          <w:bCs/>
        </w:rPr>
        <w:t xml:space="preserve">FR-ADVINV-040</w:t>
      </w:r>
      <w:r>
        <w:t xml:space="preserve"> </w:t>
      </w:r>
      <w:r>
        <w:t xml:space="preserve">— The recall trace report shall be generated within 2 minutes of recall initiation for a dataset of ≤ 5 years of sales history; this is a compliance SLA, not a design target.</w:t>
      </w:r>
    </w:p>
    <w:p>
      <w:pPr>
        <w:pStyle w:val="BodyText"/>
      </w:pPr>
      <w:r>
        <w:rPr>
          <w:b/>
          <w:bCs/>
        </w:rPr>
        <w:t xml:space="preserve">FR-ADVINV-041</w:t>
      </w:r>
      <w:r>
        <w:t xml:space="preserve"> </w:t>
      </w:r>
      <w:r>
        <w:t xml:space="preserve">— The system shall provide a recall status dashboard showing the total quantity recalled, quantity in quarantine, quantity already consumed (unrecoverable), and the estimated financial impact.</w:t>
      </w:r>
    </w:p>
    <w:bookmarkEnd w:id="37"/>
    <w:bookmarkStart w:id="38" w:name="Xa13ea5bc836e60be2fc05f69659c3667348bd1f"/>
    <w:p>
      <w:pPr>
        <w:pStyle w:val="Heading2"/>
      </w:pPr>
      <w:r>
        <w:t xml:space="preserve">7.3 Cold Chain Compliance</w:t>
      </w:r>
    </w:p>
    <w:p>
      <w:pPr>
        <w:pStyle w:val="FirstParagraph"/>
      </w:pPr>
      <w:r>
        <w:rPr>
          <w:b/>
          <w:bCs/>
        </w:rPr>
        <w:t xml:space="preserve">FR-ADVINV-042</w:t>
      </w:r>
      <w:r>
        <w:t xml:space="preserve"> </w:t>
      </w:r>
      <w:r>
        <w:t xml:space="preserve">— For items in the cold-chain category (configurable), the system shall attach storage temperature fields to each stock movement: minimum storage temperature (°C), maximum storage temperature (°C), and actual storage temperature at time of movement (optional, sourced from IoT sensor integration or manual entry).</w:t>
      </w:r>
    </w:p>
    <w:p>
      <w:pPr>
        <w:pStyle w:val="BodyText"/>
      </w:pPr>
      <w:r>
        <w:rPr>
          <w:b/>
          <w:bCs/>
        </w:rPr>
        <w:t xml:space="preserve">FR-ADVINV-043</w:t>
      </w:r>
      <w:r>
        <w:t xml:space="preserve"> </w:t>
      </w:r>
      <w:r>
        <w:t xml:space="preserve">— When a cold-chain item's recorded temperature falls outside the allowed range at any movement step, the system shall flag the batch with a temperature excursion alert, set the QC status to "Quarantined" pending review, and record the excursion in the batch ledger.</w:t>
      </w:r>
    </w:p>
    <w:p>
      <w:pPr>
        <w:pStyle w:val="BodyText"/>
      </w:pPr>
      <w:r>
        <w:rPr>
          <w:b/>
          <w:bCs/>
        </w:rPr>
        <w:t xml:space="preserve">FR-ADVINV-044</w:t>
      </w:r>
      <w:r>
        <w:t xml:space="preserve"> </w:t>
      </w:r>
      <w:r>
        <w:t xml:space="preserve">— The UNBS certification tracking field shall store: UNBS certificate number, product standard reference (e.g., US EAS 39), certificate issue date, and certificate expiry date; the system shall alert the quality manager 30 days before a UNBS certificate expires.</w:t>
      </w:r>
    </w:p>
    <w:bookmarkEnd w:id="38"/>
    <w:bookmarkEnd w:id="39"/>
    <w:bookmarkStart w:id="44" w:name="X799d68682533677e1a31575154671138e8b4acf"/>
    <w:p>
      <w:pPr>
        <w:pStyle w:val="Heading1"/>
      </w:pPr>
      <w:r>
        <w:t xml:space="preserve">Non-Functional Requirements — Advanced Inventory</w:t>
      </w:r>
    </w:p>
    <w:bookmarkStart w:id="40" w:name="X991e6a3616925da4bffdb6cc31fb063302b7e43"/>
    <w:p>
      <w:pPr>
        <w:pStyle w:val="Heading2"/>
      </w:pPr>
      <w:r>
        <w:t xml:space="preserve">8.1 Performance</w:t>
      </w:r>
    </w:p>
    <w:p>
      <w:pPr>
        <w:pStyle w:val="FirstParagraph"/>
      </w:pPr>
      <w:r>
        <w:rPr>
          <w:b/>
          <w:bCs/>
        </w:rPr>
        <w:t xml:space="preserve">NFR-ADVINV-001</w:t>
      </w:r>
      <w:r>
        <w:t xml:space="preserve"> </w:t>
      </w:r>
      <w:r>
        <w:t xml:space="preserve">— The recall trace report (</w:t>
      </w:r>
      <w:r>
        <w:rPr>
          <w:rStyle w:val="VerbatimChar"/>
        </w:rPr>
        <w:t xml:space="preserve">FR-ADVINV-039</w:t>
      </w:r>
      <w:r>
        <w:t xml:space="preserve">) shall generate within 120 seconds for a dataset covering ≤ 5 years of sales history and ≤ 500,000 delivery note line records.</w:t>
      </w:r>
    </w:p>
    <w:p>
      <w:pPr>
        <w:pStyle w:val="BodyText"/>
      </w:pPr>
      <w:r>
        <w:rPr>
          <w:b/>
          <w:bCs/>
        </w:rPr>
        <w:t xml:space="preserve">NFR-ADVINV-002</w:t>
      </w:r>
      <w:r>
        <w:t xml:space="preserve"> </w:t>
      </w:r>
      <w:r>
        <w:t xml:space="preserve">— The batch ledger enquiry for a single batch shall return results within 1 second for a batch with ≤ 10,000 movement records.</w:t>
      </w:r>
    </w:p>
    <w:p>
      <w:pPr>
        <w:pStyle w:val="BodyText"/>
      </w:pPr>
      <w:r>
        <w:rPr>
          <w:b/>
          <w:bCs/>
        </w:rPr>
        <w:t xml:space="preserve">NFR-ADVINV-003</w:t>
      </w:r>
      <w:r>
        <w:t xml:space="preserve"> </w:t>
      </w:r>
      <w:r>
        <w:t xml:space="preserve">— The FEFO batch selection algorithm (</w:t>
      </w:r>
      <w:r>
        <w:rPr>
          <w:rStyle w:val="VerbatimChar"/>
        </w:rPr>
        <w:t xml:space="preserve">FR-ADVINV-022</w:t>
      </w:r>
      <w:r>
        <w:t xml:space="preserve">) shall resolve the correct batch within 500 ms for an item with ≤ 1,000 active batches.</w:t>
      </w:r>
    </w:p>
    <w:bookmarkEnd w:id="40"/>
    <w:bookmarkStart w:id="41" w:name="X2885580880ee961cfdd22629d2caa6279509ff2"/>
    <w:p>
      <w:pPr>
        <w:pStyle w:val="Heading2"/>
      </w:pPr>
      <w:r>
        <w:t xml:space="preserve">8.2 Reliability</w:t>
      </w:r>
    </w:p>
    <w:p>
      <w:pPr>
        <w:pStyle w:val="FirstParagraph"/>
      </w:pPr>
      <w:r>
        <w:rPr>
          <w:b/>
          <w:bCs/>
        </w:rPr>
        <w:t xml:space="preserve">NFR-ADVINV-004</w:t>
      </w:r>
      <w:r>
        <w:t xml:space="preserve"> </w:t>
      </w:r>
      <w:r>
        <w:t xml:space="preserve">— All stock movements that update batch balances, bin balances, and branch balances shall execute within a single atomic database transaction; a failure at any step shall roll back all balance updates to prevent split-brain stock data.</w:t>
      </w:r>
    </w:p>
    <w:bookmarkEnd w:id="41"/>
    <w:bookmarkStart w:id="42" w:name="Xd206c7a7817f0e664d36f05c896119a269af5ac"/>
    <w:p>
      <w:pPr>
        <w:pStyle w:val="Heading2"/>
      </w:pPr>
      <w:r>
        <w:t xml:space="preserve">8.3 Security</w:t>
      </w:r>
    </w:p>
    <w:p>
      <w:pPr>
        <w:pStyle w:val="FirstParagraph"/>
      </w:pPr>
      <w:r>
        <w:rPr>
          <w:b/>
          <w:bCs/>
        </w:rPr>
        <w:t xml:space="preserve">NFR-ADVINV-005</w:t>
      </w:r>
      <w:r>
        <w:t xml:space="preserve"> </w:t>
      </w:r>
      <w:r>
        <w:t xml:space="preserve">— Batch QC status overrides (releasing quarantined batches) shall require the</w:t>
      </w:r>
      <w:r>
        <w:t xml:space="preserve"> </w:t>
      </w:r>
      <w:r>
        <w:rPr>
          <w:rStyle w:val="VerbatimChar"/>
        </w:rPr>
        <w:t xml:space="preserve">inventory.batch.qc_override</w:t>
      </w:r>
      <w:r>
        <w:t xml:space="preserve"> </w:t>
      </w:r>
      <w:r>
        <w:t xml:space="preserve">permission; every override shall be recorded in the audit log with the approver identity, reason, and UTC timestamp.</w:t>
      </w:r>
    </w:p>
    <w:p>
      <w:pPr>
        <w:pStyle w:val="BodyText"/>
      </w:pPr>
      <w:r>
        <w:rPr>
          <w:b/>
          <w:bCs/>
        </w:rPr>
        <w:t xml:space="preserve">NFR-ADVINV-006</w:t>
      </w:r>
      <w:r>
        <w:t xml:space="preserve"> </w:t>
      </w:r>
      <w:r>
        <w:t xml:space="preserve">— Recall initiation shall require the</w:t>
      </w:r>
      <w:r>
        <w:t xml:space="preserve"> </w:t>
      </w:r>
      <w:r>
        <w:rPr>
          <w:rStyle w:val="VerbatimChar"/>
        </w:rPr>
        <w:t xml:space="preserve">inventory.recall.initiate</w:t>
      </w:r>
      <w:r>
        <w:t xml:space="preserve"> </w:t>
      </w:r>
      <w:r>
        <w:t xml:space="preserve">permission, which shall be restricted to the quality manager and system administrator roles by default.</w:t>
      </w:r>
    </w:p>
    <w:bookmarkEnd w:id="42"/>
    <w:bookmarkStart w:id="43" w:name="X74b70eceda3d2b7473826cdcddda663100e34d2"/>
    <w:p>
      <w:pPr>
        <w:pStyle w:val="Heading2"/>
      </w:pPr>
      <w:r>
        <w:t xml:space="preserve">8.4 Compliance</w:t>
      </w:r>
    </w:p>
    <w:p>
      <w:pPr>
        <w:pStyle w:val="FirstParagraph"/>
      </w:pPr>
      <w:r>
        <w:rPr>
          <w:b/>
          <w:bCs/>
        </w:rPr>
        <w:t xml:space="preserve">NFR-ADVINV-007</w:t>
      </w:r>
      <w:r>
        <w:t xml:space="preserve"> </w:t>
      </w:r>
      <w:r>
        <w:t xml:space="preserve">— Batch and serial number records shall be retained for a minimum of 10 years from the date the batch/serial is fully consumed, in compliance with Uganda Food and Drugs Authority record-keeping requirements for food and pharmaceutical products.</w:t>
      </w:r>
    </w:p>
    <w:p>
      <w:pPr>
        <w:pStyle w:val="BodyText"/>
      </w:pPr>
      <w:r>
        <w:rPr>
          <w:b/>
          <w:bCs/>
        </w:rPr>
        <w:t xml:space="preserve">NFR-ADVINV-008</w:t>
      </w:r>
      <w:r>
        <w:t xml:space="preserve"> </w:t>
      </w:r>
      <w:r>
        <w:t xml:space="preserve">— The expiry date enforcement at POS (</w:t>
      </w:r>
      <w:r>
        <w:rPr>
          <w:rStyle w:val="VerbatimChar"/>
        </w:rPr>
        <w:t xml:space="preserve">FR-ADVINV-028</w:t>
      </w:r>
      <w:r>
        <w:t xml:space="preserve">) shall have no exceptions for items in the pharmaceutical category; the system shall block the sale and shall not provide a supervisor override for expired pharmaceutical items.</w:t>
      </w:r>
    </w:p>
    <w:bookmarkEnd w:id="43"/>
    <w:bookmarkEnd w:id="44"/>
    <w:bookmarkStart w:id="48" w:name="traceability-matrix--advanced-inventory"/>
    <w:p>
      <w:pPr>
        <w:pStyle w:val="Heading1"/>
      </w:pPr>
      <w:r>
        <w:t xml:space="preserve">Traceability Matrix — Advanced Inventory</w:t>
      </w:r>
    </w:p>
    <w:bookmarkStart w:id="45" w:name="X3f22fde46f89f732bcfd3e2fccff7f2a7eb2751"/>
    <w:p>
      <w:pPr>
        <w:pStyle w:val="Heading2"/>
      </w:pPr>
      <w:r>
        <w:t xml:space="preserve">9.1 Functional Requirements to Business 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FR-ADVINV-001–008</w:t>
            </w:r>
          </w:p>
        </w:tc>
        <w:tc>
          <w:tcPr/>
          <w:p>
            <w:pPr>
              <w:pStyle w:val="Compact"/>
            </w:pPr>
            <w:r>
              <w:t xml:space="preserve">Multi-location warehousing, bin management</w:t>
            </w:r>
          </w:p>
        </w:tc>
        <w:tc>
          <w:tcPr/>
          <w:p>
            <w:pPr>
              <w:pStyle w:val="Compact"/>
            </w:pPr>
            <w:r>
              <w:t xml:space="preserve">BG-003</w:t>
            </w:r>
          </w:p>
        </w:tc>
      </w:tr>
      <w:tr>
        <w:tc>
          <w:tcPr/>
          <w:p>
            <w:pPr>
              <w:pStyle w:val="Compact"/>
            </w:pPr>
            <w:r>
              <w:t xml:space="preserve">FR-ADVINV-009–015</w:t>
            </w:r>
          </w:p>
        </w:tc>
        <w:tc>
          <w:tcPr/>
          <w:p>
            <w:pPr>
              <w:pStyle w:val="Compact"/>
            </w:pPr>
            <w:r>
              <w:t xml:space="preserve">Batch tracking, batch ledger, agro fields</w:t>
            </w:r>
          </w:p>
        </w:tc>
        <w:tc>
          <w:tcPr/>
          <w:p>
            <w:pPr>
              <w:pStyle w:val="Compact"/>
            </w:pPr>
            <w:r>
              <w:t xml:space="preserve">BG-002, BG-003</w:t>
            </w:r>
          </w:p>
        </w:tc>
      </w:tr>
      <w:tr>
        <w:tc>
          <w:tcPr/>
          <w:p>
            <w:pPr>
              <w:pStyle w:val="Compact"/>
            </w:pPr>
            <w:r>
              <w:t xml:space="preserve">FR-ADVINV-016–021</w:t>
            </w:r>
          </w:p>
        </w:tc>
        <w:tc>
          <w:tcPr/>
          <w:p>
            <w:pPr>
              <w:pStyle w:val="Compact"/>
            </w:pPr>
            <w:r>
              <w:t xml:space="preserve">Serial number tracking and ledger</w:t>
            </w:r>
          </w:p>
        </w:tc>
        <w:tc>
          <w:tcPr/>
          <w:p>
            <w:pPr>
              <w:pStyle w:val="Compact"/>
            </w:pPr>
            <w:r>
              <w:t xml:space="preserve">BG-003</w:t>
            </w:r>
          </w:p>
        </w:tc>
      </w:tr>
      <w:tr>
        <w:tc>
          <w:tcPr/>
          <w:p>
            <w:pPr>
              <w:pStyle w:val="Compact"/>
            </w:pPr>
            <w:r>
              <w:t xml:space="preserve">FR-ADVINV-022–028</w:t>
            </w:r>
          </w:p>
        </w:tc>
        <w:tc>
          <w:tcPr/>
          <w:p>
            <w:pPr>
              <w:pStyle w:val="Compact"/>
            </w:pPr>
            <w:r>
              <w:t xml:space="preserve">FEFO picking, expiry alerts, POS expiry gate</w:t>
            </w:r>
          </w:p>
        </w:tc>
        <w:tc>
          <w:tcPr/>
          <w:p>
            <w:pPr>
              <w:pStyle w:val="Compact"/>
            </w:pPr>
            <w:r>
              <w:t xml:space="preserve">BG-002</w:t>
            </w:r>
          </w:p>
        </w:tc>
      </w:tr>
      <w:tr>
        <w:tc>
          <w:tcPr/>
          <w:p>
            <w:pPr>
              <w:pStyle w:val="Compact"/>
            </w:pPr>
            <w:r>
              <w:t xml:space="preserve">FR-ADVINV-029–035</w:t>
            </w:r>
          </w:p>
        </w:tc>
        <w:tc>
          <w:tcPr/>
          <w:p>
            <w:pPr>
              <w:pStyle w:val="Compact"/>
            </w:pPr>
            <w:r>
              <w:t xml:space="preserve">Inter-branch transfers, landed cost</w:t>
            </w:r>
          </w:p>
        </w:tc>
        <w:tc>
          <w:tcPr/>
          <w:p>
            <w:pPr>
              <w:pStyle w:val="Compact"/>
            </w:pPr>
            <w:r>
              <w:t xml:space="preserve">BG-001</w:t>
            </w:r>
          </w:p>
        </w:tc>
      </w:tr>
      <w:tr>
        <w:tc>
          <w:tcPr/>
          <w:p>
            <w:pPr>
              <w:pStyle w:val="Compact"/>
            </w:pPr>
            <w:r>
              <w:t xml:space="preserve">FR-ADVINV-036–038</w:t>
            </w:r>
          </w:p>
        </w:tc>
        <w:tc>
          <w:tcPr/>
          <w:p>
            <w:pPr>
              <w:pStyle w:val="Compact"/>
            </w:pPr>
            <w:r>
              <w:t xml:space="preserve">Stock reservation and ATP</w:t>
            </w:r>
          </w:p>
        </w:tc>
        <w:tc>
          <w:tcPr/>
          <w:p>
            <w:pPr>
              <w:pStyle w:val="Compact"/>
            </w:pPr>
            <w:r>
              <w:t xml:space="preserve">BG-001</w:t>
            </w:r>
          </w:p>
        </w:tc>
      </w:tr>
      <w:tr>
        <w:tc>
          <w:tcPr/>
          <w:p>
            <w:pPr>
              <w:pStyle w:val="Compact"/>
            </w:pPr>
            <w:r>
              <w:t xml:space="preserve">FR-ADVINV-039–041</w:t>
            </w:r>
          </w:p>
        </w:tc>
        <w:tc>
          <w:tcPr/>
          <w:p>
            <w:pPr>
              <w:pStyle w:val="Compact"/>
            </w:pPr>
            <w:r>
              <w:t xml:space="preserve">Recall management and trace reporting</w:t>
            </w:r>
          </w:p>
        </w:tc>
        <w:tc>
          <w:tcPr/>
          <w:p>
            <w:pPr>
              <w:pStyle w:val="Compact"/>
            </w:pPr>
            <w:r>
              <w:t xml:space="preserve">BG-003</w:t>
            </w:r>
          </w:p>
        </w:tc>
      </w:tr>
      <w:tr>
        <w:tc>
          <w:tcPr/>
          <w:p>
            <w:pPr>
              <w:pStyle w:val="Compact"/>
            </w:pPr>
            <w:r>
              <w:t xml:space="preserve">FR-ADVINV-042–044</w:t>
            </w:r>
          </w:p>
        </w:tc>
        <w:tc>
          <w:tcPr/>
          <w:p>
            <w:pPr>
              <w:pStyle w:val="Compact"/>
            </w:pPr>
            <w:r>
              <w:t xml:space="preserve">Cold chain, temperature tracking, UNBS</w:t>
            </w:r>
          </w:p>
        </w:tc>
        <w:tc>
          <w:tcPr/>
          <w:p>
            <w:pPr>
              <w:pStyle w:val="Compact"/>
            </w:pPr>
            <w:r>
              <w:t xml:space="preserve">BG-001, BG-004</w:t>
            </w:r>
          </w:p>
        </w:tc>
      </w:tr>
    </w:tbl>
    <w:bookmarkEnd w:id="45"/>
    <w:bookmarkStart w:id="46" w:name="X0a321bcc24f3f606a8a3a545c26981c0a2a5355"/>
    <w:p>
      <w:pPr>
        <w:pStyle w:val="Heading2"/>
      </w:pPr>
      <w:r>
        <w:t xml:space="preserve">9.2 Dependency on Core Inventory</w:t>
      </w:r>
    </w:p>
    <w:p>
      <w:pPr>
        <w:pStyle w:val="FirstParagraph"/>
      </w:pPr>
      <w:r>
        <w:t xml:space="preserve">All</w:t>
      </w:r>
      <w:r>
        <w:t xml:space="preserve"> </w:t>
      </w:r>
      <w:r>
        <w:rPr>
          <w:rStyle w:val="VerbatimChar"/>
        </w:rPr>
        <w:t xml:space="preserve">FR-ADVINV-*</w:t>
      </w:r>
      <w:r>
        <w:t xml:space="preserve"> </w:t>
      </w:r>
      <w:r>
        <w:t xml:space="preserve">requirements depend on</w:t>
      </w:r>
      <w:r>
        <w:t xml:space="preserve"> </w:t>
      </w:r>
      <w:r>
        <w:rPr>
          <w:rStyle w:val="VerbatimChar"/>
        </w:rPr>
        <w:t xml:space="preserve">FR-INV-*</w:t>
      </w:r>
      <w:r>
        <w:t xml:space="preserve"> </w:t>
      </w:r>
      <w:r>
        <w:t xml:space="preserve">from the Core Inventory SRS. Advanced Inventory functionality shall not be deployed without the Core Inventory module fully implemented and tested.</w:t>
      </w:r>
    </w:p>
    <w:bookmarkEnd w:id="46"/>
    <w:bookmarkStart w:id="47" w:name="X53b3a86d9efd1980014737c659f98a8fdeec1b4"/>
    <w:p>
      <w:pPr>
        <w:pStyle w:val="Heading2"/>
      </w:pPr>
      <w:r>
        <w:t xml:space="preserve">9.3 Open Verification Notes</w:t>
      </w:r>
    </w:p>
    <w:p>
      <w:pPr>
        <w:pStyle w:val="Compact"/>
        <w:numPr>
          <w:ilvl w:val="0"/>
          <w:numId w:val="1002"/>
        </w:numPr>
      </w:pPr>
      <w:r>
        <w:t xml:space="preserve">NFR-ADVINV-001 (recall report within 120 seconds) must be validated by a load test using a seeded dataset of 5 years of sales history prior to UAT sign-off.</w:t>
      </w:r>
    </w:p>
    <w:p>
      <w:pPr>
        <w:pStyle w:val="Compact"/>
        <w:numPr>
          <w:ilvl w:val="0"/>
          <w:numId w:val="1002"/>
        </w:numPr>
      </w:pPr>
      <w:r>
        <w:t xml:space="preserve">FR-ADVINV-027 (auto-quarantine on expiry) must be implemented as a scheduled background job; the exact scheduling frequency (default: nightly at 00:00) must be confirmed during implementation.</w:t>
      </w:r>
    </w:p>
    <w:p>
      <w:pPr>
        <w:pStyle w:val="Compact"/>
        <w:numPr>
          <w:ilvl w:val="0"/>
          <w:numId w:val="1002"/>
        </w:numPr>
      </w:pPr>
      <w:r>
        <w:t xml:space="preserve">FR-ADVINV-043 (cold chain temperature excursion) IoT sensor integration is a future enhancement; the initial implementation shall support manual temperature entry only.</w:t>
      </w:r>
    </w:p>
    <w:bookmarkEnd w:id="47"/>
    <w:bookmarkEnd w:id="48"/>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Advanced Inventory</dc:title>
  <dc:creator/>
  <cp:keywords/>
  <dcterms:created xsi:type="dcterms:W3CDTF">2026-08-08T22:02:55Z</dcterms:created>
  <dcterms:modified xsi:type="dcterms:W3CDTF">2026-08-08T22:02:55Z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