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SRS — Outgrower &amp; Farmer Operations</w:t>
      </w:r>
    </w:p>
    <w:p>
      <w:pPr>
        <w:pStyle w:val="Subtitle"/>
      </w:pPr>
      <w:r>
        <w:t xml:space="preserve">Kraal Code — Module 11</w:t>
      </w:r>
    </w:p>
    <w:p>
      <w:pPr>
        <w:pStyle w:val="Date"/>
      </w:pPr>
      <w:r>
        <w:t xml:space="preserve">2026-07-22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srs--outgrower--farmer-operations"/>
    <w:p>
      <w:pPr>
        <w:pStyle w:val="Heading1"/>
      </w:pPr>
      <w:r>
        <w:t xml:space="preserve">SRS — Outgrower &amp; Farmer Operations</w:t>
      </w:r>
    </w:p>
    <w:p>
      <w:pPr>
        <w:pStyle w:val="FirstParagraph"/>
      </w:pPr>
      <w:r>
        <w:rPr>
          <w:b/>
          <w:bCs/>
        </w:rPr>
        <w:t xml:space="preserve">Kraal Code | Module 11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Document</w:t>
            </w:r>
          </w:p>
        </w:tc>
        <w:tc>
          <w:tcPr/>
          <w:p>
            <w:pPr>
              <w:pStyle w:val="Compact"/>
            </w:pPr>
            <w:r>
              <w:t xml:space="preserve">SRS — Outgrower &amp; Farmer Operations</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10">
              <w:r>
                <w:rPr>
                  <w:rStyle w:val="Hyperlink"/>
                </w:rPr>
                <w:t xml:space="preserve">peter@techguypeter.com</w:t>
              </w:r>
            </w:hyperlink>
            <w:r>
              <w:t xml:space="preserve"> </w:t>
            </w:r>
            <w:r>
              <w:t xml:space="preserve">/ +256784464178</w:t>
            </w:r>
          </w:p>
        </w:tc>
      </w:tr>
      <w:tr>
        <w:tc>
          <w:tcPr/>
          <w:p>
            <w:pPr>
              <w:pStyle w:val="Compact"/>
            </w:pPr>
            <w:r>
              <w:rPr>
                <w:b/>
                <w:bCs/>
              </w:rPr>
              <w:t xml:space="preserve">Classification</w:t>
            </w:r>
          </w:p>
        </w:tc>
        <w:tc>
          <w:tcPr/>
          <w:p>
            <w:pPr>
              <w:pStyle w:val="Compact"/>
            </w:pPr>
            <w:r>
              <w:t xml:space="preserve">Confidential — Internal Use Only</w:t>
            </w:r>
          </w:p>
        </w:tc>
      </w:tr>
    </w:tbl>
    <w:p>
      <w:r>
        <w:pict>
          <v:rect style="width:0;height:1.5pt" o:hralign="center" o:hrstd="t" o:hr="t"/>
        </w:pic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Version</w:t>
            </w:r>
          </w:p>
        </w:tc>
        <w:tc>
          <w:tcPr/>
          <w:p>
            <w:pPr>
              <w:pStyle w:val="Compact"/>
            </w:pPr>
            <w:r>
              <w:rPr>
                <w:b/>
                <w:bCs/>
              </w:rPr>
              <w:t xml:space="preserve">Date</w:t>
            </w:r>
          </w:p>
        </w:tc>
        <w:tc>
          <w:tcPr/>
          <w:p>
            <w:pPr>
              <w:pStyle w:val="Compact"/>
            </w:pPr>
            <w:r>
              <w:rPr>
                <w:b/>
                <w:bCs/>
              </w:rPr>
              <w:t xml:space="preserve">Author</w:t>
            </w:r>
          </w:p>
        </w:tc>
        <w:tc>
          <w:tcPr/>
          <w:p>
            <w:pPr>
              <w:pStyle w:val="Compact"/>
            </w:pPr>
            <w:r>
              <w:rPr>
                <w:b/>
                <w:bCs/>
              </w:rPr>
              <w:t xml:space="preserve">Change Summary</w:t>
            </w:r>
          </w:p>
        </w:tc>
      </w:tr>
      <w:tr>
        <w:tc>
          <w:tcPr/>
          <w:p>
            <w:pPr>
              <w:pStyle w:val="Compact"/>
            </w:pPr>
            <w:r>
              <w:t xml:space="preserve">1.0.0</w:t>
            </w:r>
          </w:p>
        </w:tc>
        <w:tc>
          <w:tcPr/>
          <w:p>
            <w:pPr>
              <w:pStyle w:val="Compact"/>
            </w:pPr>
            <w:r>
              <w:t xml:space="preserve">2026-04-05</w:t>
            </w:r>
          </w:p>
        </w:tc>
        <w:tc>
          <w:tcPr/>
          <w:p>
            <w:pPr>
              <w:pStyle w:val="Compact"/>
            </w:pPr>
            <w:r>
              <w:t xml:space="preserve">Peter Bamuhigire</w:t>
            </w:r>
          </w:p>
        </w:tc>
        <w:tc>
          <w:tcPr/>
          <w:p>
            <w:pPr>
              <w:pStyle w:val="Compact"/>
            </w:pPr>
            <w:r>
              <w:t xml:space="preserve">Initial draft — full module specification</w:t>
            </w:r>
          </w:p>
        </w:tc>
      </w:tr>
    </w:tbl>
    <w:bookmarkEnd w:id="11"/>
    <w:bookmarkStart w:id="22" w:name="Xe3d0fc0bea9a42ce7605565d0964033d7f6ee47"/>
    <w:p>
      <w:pPr>
        <w:pStyle w:val="Heading1"/>
      </w:pPr>
      <w:r>
        <w:t xml:space="preserve">1. Introduction</w:t>
      </w:r>
    </w:p>
    <w:bookmarkStart w:id="13" w:name="Xe94c4103db6bb764aa3b798144b782dac27f424"/>
    <w:p>
      <w:pPr>
        <w:pStyle w:val="Heading2"/>
      </w:pPr>
      <w:r>
        <w:t xml:space="preserve">1.1 Purpose</w:t>
      </w:r>
    </w:p>
    <w:p>
      <w:pPr>
        <w:pStyle w:val="FirstParagraph"/>
      </w:pPr>
      <w:r>
        <w:t xml:space="preserve">This Software Requirements Specification (SRS) defines the target-state functional and non-functional requirements for the optional Outgrower &amp; Farmer Operations add-on of Kraal Code. The document is intended for use by software engineers, quality assurance engineers, and project stakeholders at Chwezi Core Systems. It governs the design, implementation, and acceptance testing of the add-on within the multi-tenant SaaS platform; it does not imply that every target-state workflow is currently implemented.</w:t>
      </w:r>
    </w:p>
    <w:bookmarkStart w:id="12" w:name="X25680b66e413efc754ed9d1173b6114d550315e"/>
    <w:p>
      <w:pPr>
        <w:pStyle w:val="Heading3"/>
      </w:pPr>
      <w:r>
        <w:t xml:space="preserve">1.1.1 Evidence boundary</w:t>
      </w:r>
    </w:p>
    <w:p>
      <w:pPr>
        <w:pStyle w:val="FirstParagraph"/>
      </w:pPr>
      <w:r>
        <w:t xml:space="preserve">The current implementation evidence is narrower than the target state. Kraal Code currently exposes tenant-scoped farmer/outgrower, farm, photo, contribution, goods-receipt, and statistics paths, guarded by</w:t>
      </w:r>
      <w:r>
        <w:t xml:space="preserve"> </w:t>
      </w:r>
      <w:r>
        <w:rPr>
          <w:rStyle w:val="VerbatimChar"/>
        </w:rPr>
        <w:t xml:space="preserve">COOP_PROCUREMENT</w:t>
      </w:r>
      <w:r>
        <w:t xml:space="preserve"> </w:t>
      </w:r>
      <w:r>
        <w:t xml:space="preserve">in the relevant web/API entry points. Full seasonal intake, weighbridge, deductions, farmer payments, statements, and offline field intake remain target-state requirements unless a corresponding implementation and deterministic test oracle is recorded in</w:t>
      </w:r>
      <w:r>
        <w:t xml:space="preserve"> </w:t>
      </w:r>
      <w:r>
        <w:rPr>
          <w:rStyle w:val="VerbatimChar"/>
        </w:rPr>
        <w:t xml:space="preserve">_context/04-evidence-ledger.md</w:t>
      </w:r>
      <w:r>
        <w:t xml:space="preserve">.</w:t>
      </w:r>
    </w:p>
    <w:p>
      <w:pPr>
        <w:pStyle w:val="BodyText"/>
      </w:pPr>
      <w:r>
        <w:t xml:space="preserve">The add-on is independently activated per tenant and must not change the baseline ERP experience for tenants that have not purchased or enabled it. Activation requires the documented dependency and entitlement checks; deactivation must be blocked while open transactions or dependent stock/accounting records remain unresolved.</w:t>
      </w:r>
    </w:p>
    <w:bookmarkEnd w:id="12"/>
    <w:bookmarkEnd w:id="13"/>
    <w:bookmarkStart w:id="17" w:name="X3378fde8998068a01e48267892e5cd923e9bc15"/>
    <w:p>
      <w:pPr>
        <w:pStyle w:val="Heading2"/>
      </w:pPr>
      <w:r>
        <w:t xml:space="preserve">1.2 Scope</w:t>
      </w:r>
    </w:p>
    <w:p>
      <w:pPr>
        <w:pStyle w:val="FirstParagraph"/>
      </w:pPr>
      <w:r>
        <w:t xml:space="preserve">The Outgrower &amp; Farmer Operations module enables agricultural cooperatives, outgrower schemes, and commodity societies to manage the full lifecycle of commodity intake from registered farmers — including commodity and grade configuration, farmer registration, seasonal intake recording, weighbridge integration, deduction processing, bulk mobile money payment disbursement, and farmer statement generation.</w:t>
      </w:r>
    </w:p>
    <w:p>
      <w:pPr>
        <w:pStyle w:val="BodyText"/>
      </w:pPr>
      <w:r>
        <w:t xml:space="preserve">The module operates as a first-class component of Kraal Code and is designed for Uganda-first deployment with configurable support for Kenya and Rwanda cooperative structures.</w:t>
      </w:r>
    </w:p>
    <w:bookmarkStart w:id="14" w:name="X2e621db00a87a57564e693a2634d16c278c1f67"/>
    <w:p>
      <w:pPr>
        <w:pStyle w:val="Heading3"/>
      </w:pPr>
      <w:r>
        <w:t xml:space="preserve">1.2.1 Business Goals</w:t>
      </w:r>
    </w:p>
    <w:p>
      <w:pPr>
        <w:pStyle w:val="Compact"/>
        <w:numPr>
          <w:ilvl w:val="0"/>
          <w:numId w:val="1001"/>
        </w:numPr>
      </w:pPr>
      <w:r>
        <w:rPr>
          <w:b/>
          <w:bCs/>
        </w:rPr>
        <w:t xml:space="preserve">BG-COOP-01:</w:t>
      </w:r>
      <w:r>
        <w:t xml:space="preserve"> </w:t>
      </w:r>
      <w:r>
        <w:t xml:space="preserve">Reduce manual intake recording errors at collection centres by providing a validated digital capture workflow with weighbridge integration.</w:t>
      </w:r>
    </w:p>
    <w:p>
      <w:pPr>
        <w:pStyle w:val="Compact"/>
        <w:numPr>
          <w:ilvl w:val="0"/>
          <w:numId w:val="1001"/>
        </w:numPr>
      </w:pPr>
      <w:r>
        <w:rPr>
          <w:b/>
          <w:bCs/>
        </w:rPr>
        <w:t xml:space="preserve">BG-COOP-02:</w:t>
      </w:r>
      <w:r>
        <w:t xml:space="preserve"> </w:t>
      </w:r>
      <w:r>
        <w:t xml:space="preserve">Ensure accurate and auditable farmer payment by automating deduction calculations (input loans, levies) before disbursement.</w:t>
      </w:r>
    </w:p>
    <w:p>
      <w:pPr>
        <w:pStyle w:val="Compact"/>
        <w:numPr>
          <w:ilvl w:val="0"/>
          <w:numId w:val="1001"/>
        </w:numPr>
      </w:pPr>
      <w:r>
        <w:rPr>
          <w:b/>
          <w:bCs/>
        </w:rPr>
        <w:t xml:space="preserve">BG-COOP-03:</w:t>
      </w:r>
      <w:r>
        <w:t xml:space="preserve"> </w:t>
      </w:r>
      <w:r>
        <w:t xml:space="preserve">Enable cooperative societies to disburse payments to hundreds of farmers simultaneously via mobile money without manual reconciliation.</w:t>
      </w:r>
    </w:p>
    <w:p>
      <w:pPr>
        <w:pStyle w:val="Compact"/>
        <w:numPr>
          <w:ilvl w:val="0"/>
          <w:numId w:val="1001"/>
        </w:numPr>
      </w:pPr>
      <w:r>
        <w:rPr>
          <w:b/>
          <w:bCs/>
        </w:rPr>
        <w:t xml:space="preserve">BG-COOP-04:</w:t>
      </w:r>
      <w:r>
        <w:t xml:space="preserve"> </w:t>
      </w:r>
      <w:r>
        <w:t xml:space="preserve">Support field operations at sites with no internet access for up to 72 hours without data loss.</w:t>
      </w:r>
    </w:p>
    <w:p>
      <w:pPr>
        <w:pStyle w:val="Compact"/>
        <w:numPr>
          <w:ilvl w:val="0"/>
          <w:numId w:val="1001"/>
        </w:numPr>
      </w:pPr>
      <w:r>
        <w:rPr>
          <w:b/>
          <w:bCs/>
        </w:rPr>
        <w:t xml:space="preserve">BG-COOP-05:</w:t>
      </w:r>
      <w:r>
        <w:t xml:space="preserve"> </w:t>
      </w:r>
      <w:r>
        <w:t xml:space="preserve">Provide regulatory-compliant farmer statements and seasonal reports for cooperative audits in Uganda, Kenya, and Rwanda.</w:t>
      </w:r>
    </w:p>
    <w:bookmarkEnd w:id="14"/>
    <w:bookmarkStart w:id="15" w:name="X33f4a0de46e77ff016979597e947f0a546d0404"/>
    <w:p>
      <w:pPr>
        <w:pStyle w:val="Heading3"/>
      </w:pPr>
      <w:r>
        <w:t xml:space="preserve">1.2.2 In Scope</w:t>
      </w:r>
    </w:p>
    <w:p>
      <w:pPr>
        <w:pStyle w:val="Compact"/>
        <w:numPr>
          <w:ilvl w:val="0"/>
          <w:numId w:val="1002"/>
        </w:numPr>
      </w:pPr>
      <w:r>
        <w:t xml:space="preserve">Commodity and grade configuration with price-per-grade management.</w:t>
      </w:r>
    </w:p>
    <w:p>
      <w:pPr>
        <w:pStyle w:val="Compact"/>
        <w:numPr>
          <w:ilvl w:val="0"/>
          <w:numId w:val="1002"/>
        </w:numPr>
      </w:pPr>
      <w:r>
        <w:t xml:space="preserve">Farmer and outgrower registration with National Identification Number (NIN) validation, GPS coordinates, and mobile money or bank account details.</w:t>
      </w:r>
    </w:p>
    <w:p>
      <w:pPr>
        <w:pStyle w:val="Compact"/>
        <w:numPr>
          <w:ilvl w:val="0"/>
          <w:numId w:val="1002"/>
        </w:numPr>
      </w:pPr>
      <w:r>
        <w:t xml:space="preserve">Group and society hierarchy management (individual → group → primary society → union).</w:t>
      </w:r>
    </w:p>
    <w:p>
      <w:pPr>
        <w:pStyle w:val="Compact"/>
        <w:numPr>
          <w:ilvl w:val="0"/>
          <w:numId w:val="1002"/>
        </w:numPr>
      </w:pPr>
      <w:r>
        <w:t xml:space="preserve">Seasonal intake period configuration and commodity intake recording.</w:t>
      </w:r>
    </w:p>
    <w:p>
      <w:pPr>
        <w:pStyle w:val="Compact"/>
        <w:numPr>
          <w:ilvl w:val="0"/>
          <w:numId w:val="1002"/>
        </w:numPr>
      </w:pPr>
      <w:r>
        <w:t xml:space="preserve">RS-232 serial weighbridge integration for automatic weight capture.</w:t>
      </w:r>
    </w:p>
    <w:p>
      <w:pPr>
        <w:pStyle w:val="Compact"/>
        <w:numPr>
          <w:ilvl w:val="0"/>
          <w:numId w:val="1002"/>
        </w:numPr>
      </w:pPr>
      <w:r>
        <w:t xml:space="preserve">Input loan deduction and levy deduction processing.</w:t>
      </w:r>
    </w:p>
    <w:p>
      <w:pPr>
        <w:pStyle w:val="Compact"/>
        <w:numPr>
          <w:ilvl w:val="0"/>
          <w:numId w:val="1002"/>
        </w:numPr>
      </w:pPr>
      <w:r>
        <w:t xml:space="preserve">Mobile money bulk payment via MTN Mobile Money, Airtel Money, and M-Pesa.</w:t>
      </w:r>
    </w:p>
    <w:p>
      <w:pPr>
        <w:pStyle w:val="Compact"/>
        <w:numPr>
          <w:ilvl w:val="0"/>
          <w:numId w:val="1002"/>
        </w:numPr>
      </w:pPr>
      <w:r>
        <w:t xml:space="preserve">Farmer statements and seasonal summary reports.</w:t>
      </w:r>
    </w:p>
    <w:p>
      <w:pPr>
        <w:pStyle w:val="Compact"/>
        <w:numPr>
          <w:ilvl w:val="0"/>
          <w:numId w:val="1002"/>
        </w:numPr>
      </w:pPr>
      <w:r>
        <w:t xml:space="preserve">Offline intake mode on the mobile application with 72-hour offline support.</w:t>
      </w:r>
    </w:p>
    <w:p>
      <w:pPr>
        <w:pStyle w:val="Compact"/>
        <w:numPr>
          <w:ilvl w:val="0"/>
          <w:numId w:val="1002"/>
        </w:numPr>
      </w:pPr>
      <w:r>
        <w:t xml:space="preserve">Country-specific cooperative structure support: Uganda (tea, coffee, sugarcane, matooke), Kenya (Kenya Tea Development Agency (KTDA) structure), Rwanda (National Agricultural Export Development Board (NAEB) cooperatives).</w:t>
      </w:r>
    </w:p>
    <w:bookmarkEnd w:id="15"/>
    <w:bookmarkStart w:id="16" w:name="X35bbefea573592f89f6e185eeee88795a308b07"/>
    <w:p>
      <w:pPr>
        <w:pStyle w:val="Heading3"/>
      </w:pPr>
      <w:r>
        <w:t xml:space="preserve">1.2.3 Out of Scope</w:t>
      </w:r>
    </w:p>
    <w:p>
      <w:pPr>
        <w:pStyle w:val="Compact"/>
        <w:numPr>
          <w:ilvl w:val="0"/>
          <w:numId w:val="1003"/>
        </w:numPr>
      </w:pPr>
      <w:r>
        <w:t xml:space="preserve">General procurement of non-agricultural commodities (covered by Module 04 — Procurement).</w:t>
      </w:r>
    </w:p>
    <w:p>
      <w:pPr>
        <w:pStyle w:val="Compact"/>
        <w:numPr>
          <w:ilvl w:val="0"/>
          <w:numId w:val="1003"/>
        </w:numPr>
      </w:pPr>
      <w:r>
        <w:t xml:space="preserve">Cooperative member share registry and dividends (subject to a future module).</w:t>
      </w:r>
    </w:p>
    <w:p>
      <w:pPr>
        <w:pStyle w:val="Compact"/>
        <w:numPr>
          <w:ilvl w:val="0"/>
          <w:numId w:val="1003"/>
        </w:numPr>
      </w:pPr>
      <w:r>
        <w:t xml:space="preserve">Export logistics and shipping documentation.</w:t>
      </w:r>
    </w:p>
    <w:bookmarkEnd w:id="16"/>
    <w:bookmarkEnd w:id="17"/>
    <w:bookmarkStart w:id="18" w:name="Xabd310d40d3e037d757cbdd40e2ae9cbc67bc13"/>
    <w:p>
      <w:pPr>
        <w:pStyle w:val="Heading2"/>
      </w:pPr>
      <w:r>
        <w:t xml:space="preserve">1.3 Integrations</w:t>
      </w:r>
    </w:p>
    <w:p>
      <w:pPr>
        <w:pStyle w:val="FirstParagraph"/>
      </w:pPr>
      <w:r>
        <w:t xml:space="preserve">The Outgrower &amp; Farmer Operations module integrates with the following Kraal Code 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Module</w:t>
            </w:r>
          </w:p>
        </w:tc>
        <w:tc>
          <w:tcPr/>
          <w:p>
            <w:pPr>
              <w:pStyle w:val="Compact"/>
            </w:pPr>
            <w:r>
              <w:rPr>
                <w:b/>
                <w:bCs/>
              </w:rPr>
              <w:t xml:space="preserve">Integration Point</w:t>
            </w:r>
          </w:p>
        </w:tc>
      </w:tr>
      <w:tr>
        <w:tc>
          <w:tcPr/>
          <w:p>
            <w:pPr>
              <w:pStyle w:val="Compact"/>
            </w:pPr>
            <w:r>
              <w:t xml:space="preserve">Inventory (Module 02)</w:t>
            </w:r>
          </w:p>
        </w:tc>
        <w:tc>
          <w:tcPr/>
          <w:p>
            <w:pPr>
              <w:pStyle w:val="Compact"/>
            </w:pPr>
            <w:r>
              <w:t xml:space="preserve">Commodity intake posts stock receipts to the inventory ledger.</w:t>
            </w:r>
          </w:p>
        </w:tc>
      </w:tr>
      <w:tr>
        <w:tc>
          <w:tcPr/>
          <w:p>
            <w:pPr>
              <w:pStyle w:val="Compact"/>
            </w:pPr>
            <w:r>
              <w:t xml:space="preserve">Accounting (Module 01)</w:t>
            </w:r>
          </w:p>
        </w:tc>
        <w:tc>
          <w:tcPr/>
          <w:p>
            <w:pPr>
              <w:pStyle w:val="Compact"/>
            </w:pPr>
            <w:r>
              <w:t xml:space="preserve">Farmer payments and deductions post journal entries to the general ledger.</w:t>
            </w:r>
          </w:p>
        </w:tc>
      </w:tr>
      <w:tr>
        <w:tc>
          <w:tcPr/>
          <w:p>
            <w:pPr>
              <w:pStyle w:val="Compact"/>
            </w:pPr>
            <w:r>
              <w:t xml:space="preserve">HR &amp; Payroll (Module 05)</w:t>
            </w:r>
          </w:p>
        </w:tc>
        <w:tc>
          <w:tcPr/>
          <w:p>
            <w:pPr>
              <w:pStyle w:val="Compact"/>
            </w:pPr>
            <w:r>
              <w:t xml:space="preserve">Society staff linked to user accounts for access control.</w:t>
            </w:r>
          </w:p>
        </w:tc>
      </w:tr>
    </w:tbl>
    <w:bookmarkEnd w:id="18"/>
    <w:bookmarkStart w:id="19" w:name="Xbef6469a16f170218882ffa3479ee607f2128eb"/>
    <w:p>
      <w:pPr>
        <w:pStyle w:val="Heading2"/>
      </w:pPr>
      <w:r>
        <w:t xml:space="preserve">1.4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Term</w:t>
            </w:r>
          </w:p>
        </w:tc>
        <w:tc>
          <w:tcPr/>
          <w:p>
            <w:pPr>
              <w:pStyle w:val="Compact"/>
            </w:pPr>
            <w:r>
              <w:rPr>
                <w:b/>
                <w:bCs/>
              </w:rPr>
              <w:t xml:space="preserve">Definition</w:t>
            </w:r>
          </w:p>
        </w:tc>
      </w:tr>
      <w:tr>
        <w:tc>
          <w:tcPr/>
          <w:p>
            <w:pPr>
              <w:pStyle w:val="Compact"/>
            </w:pPr>
            <w:r>
              <w:rPr>
                <w:i/>
                <w:iCs/>
              </w:rPr>
              <w:t xml:space="preserve">Cooperative</w:t>
            </w:r>
          </w:p>
        </w:tc>
        <w:tc>
          <w:tcPr/>
          <w:p>
            <w:pPr>
              <w:pStyle w:val="Compact"/>
            </w:pPr>
            <w:r>
              <w:t xml:space="preserve">A farmer-owned organisation registered under the Cooperative Societies Act that collectively markets agricultural produce.</w:t>
            </w:r>
          </w:p>
        </w:tc>
      </w:tr>
      <w:tr>
        <w:tc>
          <w:tcPr/>
          <w:p>
            <w:pPr>
              <w:pStyle w:val="Compact"/>
            </w:pPr>
            <w:r>
              <w:rPr>
                <w:i/>
                <w:iCs/>
              </w:rPr>
              <w:t xml:space="preserve">Outgrower</w:t>
            </w:r>
          </w:p>
        </w:tc>
        <w:tc>
          <w:tcPr/>
          <w:p>
            <w:pPr>
              <w:pStyle w:val="Compact"/>
            </w:pPr>
            <w:r>
              <w:t xml:space="preserve">A farmer contracted to supply a specific commodity to a processing facility or society under a formal agreement.</w:t>
            </w:r>
          </w:p>
        </w:tc>
      </w:tr>
      <w:tr>
        <w:tc>
          <w:tcPr/>
          <w:p>
            <w:pPr>
              <w:pStyle w:val="Compact"/>
            </w:pPr>
            <w:r>
              <w:rPr>
                <w:i/>
                <w:iCs/>
              </w:rPr>
              <w:t xml:space="preserve">Intake</w:t>
            </w:r>
          </w:p>
        </w:tc>
        <w:tc>
          <w:tcPr/>
          <w:p>
            <w:pPr>
              <w:pStyle w:val="Compact"/>
            </w:pPr>
            <w:r>
              <w:t xml:space="preserve">The physical receipt and weighing of commodity delivered by a farmer at a collection centre.</w:t>
            </w:r>
          </w:p>
        </w:tc>
      </w:tr>
      <w:tr>
        <w:tc>
          <w:tcPr/>
          <w:p>
            <w:pPr>
              <w:pStyle w:val="Compact"/>
            </w:pPr>
            <w:r>
              <w:rPr>
                <w:i/>
                <w:iCs/>
              </w:rPr>
              <w:t xml:space="preserve">NIN</w:t>
            </w:r>
          </w:p>
        </w:tc>
        <w:tc>
          <w:tcPr/>
          <w:p>
            <w:pPr>
              <w:pStyle w:val="Compact"/>
            </w:pPr>
            <w:r>
              <w:t xml:space="preserve">National Identification Number — the 14-character alphanumeric identifier issued to Ugandan citizens by the National Identification and Registration Authority (NIRA).</w:t>
            </w:r>
          </w:p>
        </w:tc>
      </w:tr>
      <w:tr>
        <w:tc>
          <w:tcPr/>
          <w:p>
            <w:pPr>
              <w:pStyle w:val="Compact"/>
            </w:pPr>
            <w:r>
              <w:rPr>
                <w:i/>
                <w:iCs/>
              </w:rPr>
              <w:t xml:space="preserve">Grade</w:t>
            </w:r>
          </w:p>
        </w:tc>
        <w:tc>
          <w:tcPr/>
          <w:p>
            <w:pPr>
              <w:pStyle w:val="Compact"/>
            </w:pPr>
            <w:r>
              <w:t xml:space="preserve">A classification of commodity quality (e.g., Grade A, Grade B, Broken) that determines the unit price paid to the farmer.</w:t>
            </w:r>
          </w:p>
        </w:tc>
      </w:tr>
      <w:tr>
        <w:tc>
          <w:tcPr/>
          <w:p>
            <w:pPr>
              <w:pStyle w:val="Compact"/>
            </w:pPr>
            <w:r>
              <w:rPr>
                <w:i/>
                <w:iCs/>
              </w:rPr>
              <w:t xml:space="preserve">Society</w:t>
            </w:r>
          </w:p>
        </w:tc>
        <w:tc>
          <w:tcPr/>
          <w:p>
            <w:pPr>
              <w:pStyle w:val="Compact"/>
            </w:pPr>
            <w:r>
              <w:t xml:space="preserve">A primary cooperative society registered with the government that aggregates farmers into a formal collective.</w:t>
            </w:r>
          </w:p>
        </w:tc>
      </w:tr>
      <w:tr>
        <w:tc>
          <w:tcPr/>
          <w:p>
            <w:pPr>
              <w:pStyle w:val="Compact"/>
            </w:pPr>
            <w:r>
              <w:rPr>
                <w:i/>
                <w:iCs/>
              </w:rPr>
              <w:t xml:space="preserve">Union</w:t>
            </w:r>
          </w:p>
        </w:tc>
        <w:tc>
          <w:tcPr/>
          <w:p>
            <w:pPr>
              <w:pStyle w:val="Compact"/>
            </w:pPr>
            <w:r>
              <w:t xml:space="preserve">A secondary cooperative formed by multiple primary societies to coordinate marketing and processing at scale.</w:t>
            </w:r>
          </w:p>
        </w:tc>
      </w:tr>
      <w:tr>
        <w:tc>
          <w:tcPr/>
          <w:p>
            <w:pPr>
              <w:pStyle w:val="Compact"/>
            </w:pPr>
            <w:r>
              <w:rPr>
                <w:i/>
                <w:iCs/>
              </w:rPr>
              <w:t xml:space="preserve">KTDA</w:t>
            </w:r>
          </w:p>
        </w:tc>
        <w:tc>
          <w:tcPr/>
          <w:p>
            <w:pPr>
              <w:pStyle w:val="Compact"/>
            </w:pPr>
            <w:r>
              <w:t xml:space="preserve">Kenya Tea Development Agency — the authority managing smallholder tea factories and farmer payments in Kenya.</w:t>
            </w:r>
          </w:p>
        </w:tc>
      </w:tr>
      <w:tr>
        <w:tc>
          <w:tcPr/>
          <w:p>
            <w:pPr>
              <w:pStyle w:val="Compact"/>
            </w:pPr>
            <w:r>
              <w:rPr>
                <w:i/>
                <w:iCs/>
              </w:rPr>
              <w:t xml:space="preserve">NAEB</w:t>
            </w:r>
          </w:p>
        </w:tc>
        <w:tc>
          <w:tcPr/>
          <w:p>
            <w:pPr>
              <w:pStyle w:val="Compact"/>
            </w:pPr>
            <w:r>
              <w:t xml:space="preserve">National Agricultural Export Development Board — the Rwandan government agency overseeing coffee, tea, and pyrethrum export cooperatives.</w:t>
            </w:r>
          </w:p>
        </w:tc>
      </w:tr>
      <w:tr>
        <w:tc>
          <w:tcPr/>
          <w:p>
            <w:pPr>
              <w:pStyle w:val="Compact"/>
            </w:pPr>
            <w:r>
              <w:rPr>
                <w:i/>
                <w:iCs/>
              </w:rPr>
              <w:t xml:space="preserve">Floor Price</w:t>
            </w:r>
          </w:p>
        </w:tc>
        <w:tc>
          <w:tcPr/>
          <w:p>
            <w:pPr>
              <w:pStyle w:val="Compact"/>
            </w:pPr>
            <w:r>
              <w:t xml:space="preserve">The minimum price per kilogram guaranteed to the farmer by the cooperative regardless of market conditions.</w:t>
            </w:r>
          </w:p>
        </w:tc>
      </w:tr>
      <w:tr>
        <w:tc>
          <w:tcPr/>
          <w:p>
            <w:pPr>
              <w:pStyle w:val="Compact"/>
            </w:pPr>
            <w:r>
              <w:rPr>
                <w:i/>
                <w:iCs/>
              </w:rPr>
              <w:t xml:space="preserve">MoMo</w:t>
            </w:r>
          </w:p>
        </w:tc>
        <w:tc>
          <w:tcPr/>
          <w:p>
            <w:pPr>
              <w:pStyle w:val="Compact"/>
            </w:pPr>
            <w:r>
              <w:t xml:space="preserve">Mobile Money — a mobile-phone-based financial service; in this context refers to MTN Mobile Money, Airtel Money, or M-Pesa.</w:t>
            </w:r>
          </w:p>
        </w:tc>
      </w:tr>
      <w:tr>
        <w:tc>
          <w:tcPr/>
          <w:p>
            <w:pPr>
              <w:pStyle w:val="Compact"/>
            </w:pPr>
            <w:r>
              <w:rPr>
                <w:i/>
                <w:iCs/>
              </w:rPr>
              <w:t xml:space="preserve">RS-232</w:t>
            </w:r>
          </w:p>
        </w:tc>
        <w:tc>
          <w:tcPr/>
          <w:p>
            <w:pPr>
              <w:pStyle w:val="Compact"/>
            </w:pPr>
            <w:r>
              <w:t xml:space="preserve">A serial communication standard used by weighbridge hardware to transmit weight readings to a connected computer.</w:t>
            </w:r>
          </w:p>
        </w:tc>
      </w:tr>
      <w:tr>
        <w:tc>
          <w:tcPr/>
          <w:p>
            <w:pPr>
              <w:pStyle w:val="Compact"/>
            </w:pPr>
            <w:r>
              <w:rPr>
                <w:i/>
                <w:iCs/>
              </w:rPr>
              <w:t xml:space="preserve">Season</w:t>
            </w:r>
          </w:p>
        </w:tc>
        <w:tc>
          <w:tcPr/>
          <w:p>
            <w:pPr>
              <w:pStyle w:val="Compact"/>
            </w:pPr>
            <w:r>
              <w:t xml:space="preserve">A defined calendar period during which commodity intake is open, typically aligned with a crop harvest cycle.</w:t>
            </w:r>
          </w:p>
        </w:tc>
      </w:tr>
      <w:tr>
        <w:tc>
          <w:tcPr/>
          <w:p>
            <w:pPr>
              <w:pStyle w:val="Compact"/>
            </w:pPr>
            <w:r>
              <w:rPr>
                <w:i/>
                <w:iCs/>
              </w:rPr>
              <w:t xml:space="preserve">Deduction</w:t>
            </w:r>
          </w:p>
        </w:tc>
        <w:tc>
          <w:tcPr/>
          <w:p>
            <w:pPr>
              <w:pStyle w:val="Compact"/>
            </w:pPr>
            <w:r>
              <w:t xml:space="preserve">An amount subtracted from a farmer's gross payment before disbursement, including input loans and levies.</w:t>
            </w:r>
          </w:p>
        </w:tc>
      </w:tr>
      <w:tr>
        <w:tc>
          <w:tcPr/>
          <w:p>
            <w:pPr>
              <w:pStyle w:val="Compact"/>
            </w:pPr>
            <w:r>
              <w:rPr>
                <w:i/>
                <w:iCs/>
              </w:rPr>
              <w:t xml:space="preserve">Levy</w:t>
            </w:r>
          </w:p>
        </w:tc>
        <w:tc>
          <w:tcPr/>
          <w:p>
            <w:pPr>
              <w:pStyle w:val="Compact"/>
            </w:pPr>
            <w:r>
              <w:t xml:space="preserve">A compulsory charge collected by the society or union from the farmer's payment to fund collective services.</w:t>
            </w:r>
          </w:p>
        </w:tc>
      </w:tr>
    </w:tbl>
    <w:bookmarkEnd w:id="19"/>
    <w:bookmarkStart w:id="20" w:name="Xf5e22c4698a18c6dc3cfcf26232a90c7bdfb918"/>
    <w:p>
      <w:pPr>
        <w:pStyle w:val="Heading2"/>
      </w:pPr>
      <w:r>
        <w:t xml:space="preserve">1.5 Applicable Standards</w:t>
      </w:r>
    </w:p>
    <w:p>
      <w:pPr>
        <w:pStyle w:val="Compact"/>
        <w:numPr>
          <w:ilvl w:val="0"/>
          <w:numId w:val="1004"/>
        </w:numPr>
      </w:pPr>
      <w:r>
        <w:t xml:space="preserve">IEEE Std 830-1998: Recommended Practice for Software Requirements Specifications.</w:t>
      </w:r>
    </w:p>
    <w:p>
      <w:pPr>
        <w:pStyle w:val="Compact"/>
        <w:numPr>
          <w:ilvl w:val="0"/>
          <w:numId w:val="1004"/>
        </w:numPr>
      </w:pPr>
      <w:r>
        <w:t xml:space="preserve">IEEE Std 1233-1998: Guide for Developing System Requirements Specifications.</w:t>
      </w:r>
    </w:p>
    <w:p>
      <w:pPr>
        <w:pStyle w:val="Compact"/>
        <w:numPr>
          <w:ilvl w:val="0"/>
          <w:numId w:val="1004"/>
        </w:numPr>
      </w:pPr>
      <w:r>
        <w:t xml:space="preserve">IEEE Std 610.12-1990: Standard Glossary of Software Engineering Terminology.</w:t>
      </w:r>
    </w:p>
    <w:p>
      <w:pPr>
        <w:pStyle w:val="Compact"/>
        <w:numPr>
          <w:ilvl w:val="0"/>
          <w:numId w:val="1004"/>
        </w:numPr>
      </w:pPr>
      <w:r>
        <w:t xml:space="preserve">ASTM E1340: Standard Guide for Rapid Prototyping of Computerised Systems (referenced for iterative requirement validation).</w:t>
      </w:r>
    </w:p>
    <w:bookmarkEnd w:id="20"/>
    <w:bookmarkStart w:id="21" w:name="Xbb728e8a588812aaf60342a4bf36d1ec080324c"/>
    <w:p>
      <w:pPr>
        <w:pStyle w:val="Heading2"/>
      </w:pPr>
      <w:r>
        <w:t xml:space="preserve">1.6 Document Overview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Section</w:t>
            </w:r>
          </w:p>
        </w:tc>
        <w:tc>
          <w:tcPr/>
          <w:p>
            <w:pPr>
              <w:pStyle w:val="Compact"/>
            </w:pPr>
            <w:r>
              <w:rPr>
                <w:b/>
                <w:bCs/>
              </w:rPr>
              <w:t xml:space="preserve">Content</w:t>
            </w:r>
          </w:p>
        </w:tc>
      </w:tr>
      <w:tr>
        <w:tc>
          <w:tcPr/>
          <w:p>
            <w:pPr>
              <w:pStyle w:val="Compact"/>
            </w:pPr>
            <w:r>
              <w:t xml:space="preserve">Section 2</w:t>
            </w:r>
          </w:p>
        </w:tc>
        <w:tc>
          <w:tcPr/>
          <w:p>
            <w:pPr>
              <w:pStyle w:val="Compact"/>
            </w:pPr>
            <w:r>
              <w:t xml:space="preserve">Commodity configuration requirements (FR-COOP-001 to FR-COOP-010)</w:t>
            </w:r>
          </w:p>
        </w:tc>
      </w:tr>
      <w:tr>
        <w:tc>
          <w:tcPr/>
          <w:p>
            <w:pPr>
              <w:pStyle w:val="Compact"/>
            </w:pPr>
            <w:r>
              <w:t xml:space="preserve">Section 3</w:t>
            </w:r>
          </w:p>
        </w:tc>
        <w:tc>
          <w:tcPr/>
          <w:p>
            <w:pPr>
              <w:pStyle w:val="Compact"/>
            </w:pPr>
            <w:r>
              <w:t xml:space="preserve">Farmer registration and society hierarchy requirements (FR-COOP-011 to FR-COOP-022)</w:t>
            </w:r>
          </w:p>
        </w:tc>
      </w:tr>
      <w:tr>
        <w:tc>
          <w:tcPr/>
          <w:p>
            <w:pPr>
              <w:pStyle w:val="Compact"/>
            </w:pPr>
            <w:r>
              <w:t xml:space="preserve">Section 4</w:t>
            </w:r>
          </w:p>
        </w:tc>
        <w:tc>
          <w:tcPr/>
          <w:p>
            <w:pPr>
              <w:pStyle w:val="Compact"/>
            </w:pPr>
            <w:r>
              <w:t xml:space="preserve">Seasonal intake and weighbridge integration requirements (FR-COOP-023 to FR-COOP-035)</w:t>
            </w:r>
          </w:p>
        </w:tc>
      </w:tr>
      <w:tr>
        <w:tc>
          <w:tcPr/>
          <w:p>
            <w:pPr>
              <w:pStyle w:val="Compact"/>
            </w:pPr>
            <w:r>
              <w:t xml:space="preserve">Section 5</w:t>
            </w:r>
          </w:p>
        </w:tc>
        <w:tc>
          <w:tcPr/>
          <w:p>
            <w:pPr>
              <w:pStyle w:val="Compact"/>
            </w:pPr>
            <w:r>
              <w:t xml:space="preserve">Deductions and mobile money payment requirements (FR-COOP-036 to FR-COOP-048)</w:t>
            </w:r>
          </w:p>
        </w:tc>
      </w:tr>
      <w:tr>
        <w:tc>
          <w:tcPr/>
          <w:p>
            <w:pPr>
              <w:pStyle w:val="Compact"/>
            </w:pPr>
            <w:r>
              <w:t xml:space="preserve">Section 6</w:t>
            </w:r>
          </w:p>
        </w:tc>
        <w:tc>
          <w:tcPr/>
          <w:p>
            <w:pPr>
              <w:pStyle w:val="Compact"/>
            </w:pPr>
            <w:r>
              <w:t xml:space="preserve">Statements, reporting, and price management requirements (FR-COOP-049 to FR-COOP-058)</w:t>
            </w:r>
          </w:p>
        </w:tc>
      </w:tr>
      <w:tr>
        <w:tc>
          <w:tcPr/>
          <w:p>
            <w:pPr>
              <w:pStyle w:val="Compact"/>
            </w:pPr>
            <w:r>
              <w:t xml:space="preserve">Section 7</w:t>
            </w:r>
          </w:p>
        </w:tc>
        <w:tc>
          <w:tcPr/>
          <w:p>
            <w:pPr>
              <w:pStyle w:val="Compact"/>
            </w:pPr>
            <w:r>
              <w:t xml:space="preserve">Offline mobile intake requirements (FR-COOP-059 to FR-COOP-065)</w:t>
            </w:r>
          </w:p>
        </w:tc>
      </w:tr>
      <w:tr>
        <w:tc>
          <w:tcPr/>
          <w:p>
            <w:pPr>
              <w:pStyle w:val="Compact"/>
            </w:pPr>
            <w:r>
              <w:t xml:space="preserve">Section 8</w:t>
            </w:r>
          </w:p>
        </w:tc>
        <w:tc>
          <w:tcPr/>
          <w:p>
            <w:pPr>
              <w:pStyle w:val="Compact"/>
            </w:pPr>
            <w:r>
              <w:t xml:space="preserve">Non-functional requirements (NFR-COOP-001 to NFR-COOP-020)</w:t>
            </w:r>
          </w:p>
        </w:tc>
      </w:tr>
      <w:tr>
        <w:tc>
          <w:tcPr/>
          <w:p>
            <w:pPr>
              <w:pStyle w:val="Compact"/>
            </w:pPr>
            <w:r>
              <w:t xml:space="preserve">Section 9</w:t>
            </w:r>
          </w:p>
        </w:tc>
        <w:tc>
          <w:tcPr/>
          <w:p>
            <w:pPr>
              <w:pStyle w:val="Compact"/>
            </w:pPr>
            <w:r>
              <w:t xml:space="preserve">Traceability matrix and context gap register</w:t>
            </w:r>
          </w:p>
        </w:tc>
      </w:tr>
    </w:tbl>
    <w:bookmarkEnd w:id="21"/>
    <w:bookmarkEnd w:id="22"/>
    <w:bookmarkStart w:id="28" w:name="Xd8abf0659e52843af7285d0e9a1b4f8a5e7337e"/>
    <w:p>
      <w:pPr>
        <w:pStyle w:val="Heading1"/>
      </w:pPr>
      <w:r>
        <w:t xml:space="preserve">2. Commodity Configuration Requirements</w:t>
      </w:r>
    </w:p>
    <w:bookmarkStart w:id="23" w:name="Xaaedca1e1f7f8bafe093120ca8334d9cbfaef13"/>
    <w:p>
      <w:pPr>
        <w:pStyle w:val="Heading2"/>
      </w:pPr>
      <w:r>
        <w:t xml:space="preserve">2.1 Overview</w:t>
      </w:r>
    </w:p>
    <w:p>
      <w:pPr>
        <w:pStyle w:val="FirstParagraph"/>
      </w:pPr>
      <w:r>
        <w:t xml:space="preserve">This section specifies requirements for configuring the commodities, grade classifications, price schedules, and seasonal parameters that govern all downstream intake and payment operations. Commodity configuration is performed by an authorised administrator and serves as the master reference data for the module.</w:t>
      </w:r>
    </w:p>
    <w:bookmarkEnd w:id="23"/>
    <w:bookmarkStart w:id="24" w:name="X1cf82cc0d5b75f108c716decb70623eaf235ae8"/>
    <w:p>
      <w:pPr>
        <w:pStyle w:val="Heading2"/>
      </w:pPr>
      <w:r>
        <w:t xml:space="preserve">2.2 Commodity Type Management</w:t>
      </w:r>
    </w:p>
    <w:p>
      <w:pPr>
        <w:pStyle w:val="FirstParagraph"/>
      </w:pPr>
      <w:r>
        <w:rPr>
          <w:b/>
          <w:bCs/>
        </w:rPr>
        <w:t xml:space="preserve">FR-COOP-001</w:t>
      </w:r>
      <w:r>
        <w:t xml:space="preserve"> </w:t>
      </w:r>
      <w:r>
        <w:t xml:space="preserve">— When an administrator submits a new commodity record with a unique name, commodity category (e.g., Tea, Coffee, Sugarcane, Matooke), and unit of measure, the system shall create the commodity record and make it available for selection in intake, grade, and price configurations.</w:t>
      </w:r>
    </w:p>
    <w:p>
      <w:pPr>
        <w:pStyle w:val="BodyText"/>
      </w:pPr>
      <w:r>
        <w:rPr>
          <w:i/>
          <w:iCs/>
        </w:rPr>
        <w:t xml:space="preserve">Acceptance criterion:</w:t>
      </w:r>
      <w:r>
        <w:t xml:space="preserve"> </w:t>
      </w:r>
      <w:r>
        <w:t xml:space="preserve">A commodity named "Arabica Coffee" with unit "KG" is retrievable in the commodity list within 1 second of submission.</w:t>
      </w:r>
    </w:p>
    <w:p>
      <w:pPr>
        <w:pStyle w:val="BodyText"/>
      </w:pPr>
      <w:r>
        <w:rPr>
          <w:b/>
          <w:bCs/>
        </w:rPr>
        <w:t xml:space="preserve">FR-COOP-002</w:t>
      </w:r>
      <w:r>
        <w:t xml:space="preserve"> </w:t>
      </w:r>
      <w:r>
        <w:t xml:space="preserve">— When an administrator attempts to save a commodity record with a name that already exists within the same tenant, the system shall reject the submission and display the message: "A commodity with this name already exists."</w:t>
      </w:r>
    </w:p>
    <w:p>
      <w:pPr>
        <w:pStyle w:val="BodyText"/>
      </w:pPr>
      <w:r>
        <w:rPr>
          <w:i/>
          <w:iCs/>
        </w:rPr>
        <w:t xml:space="preserve">Acceptance criterion:</w:t>
      </w:r>
      <w:r>
        <w:t xml:space="preserve"> </w:t>
      </w:r>
      <w:r>
        <w:t xml:space="preserve">Duplicate name submission returns HTTP 409 and the error message; no duplicate record is created.</w:t>
      </w:r>
    </w:p>
    <w:p>
      <w:pPr>
        <w:pStyle w:val="BodyText"/>
      </w:pPr>
      <w:r>
        <w:rPr>
          <w:b/>
          <w:bCs/>
        </w:rPr>
        <w:t xml:space="preserve">FR-COOP-003</w:t>
      </w:r>
      <w:r>
        <w:t xml:space="preserve"> </w:t>
      </w:r>
      <w:r>
        <w:t xml:space="preserve">— When an administrator deactivates a commodity, the system shall prevent new intake records from referencing that commodity while preserving all historical intake and payment records that reference it.</w:t>
      </w:r>
    </w:p>
    <w:p>
      <w:pPr>
        <w:pStyle w:val="BodyText"/>
      </w:pPr>
      <w:r>
        <w:rPr>
          <w:i/>
          <w:iCs/>
        </w:rPr>
        <w:t xml:space="preserve">Acceptance criterion:</w:t>
      </w:r>
      <w:r>
        <w:t xml:space="preserve"> </w:t>
      </w:r>
      <w:r>
        <w:t xml:space="preserve">A deactivated commodity does not appear in the intake commodity selector; existing intake records remain intact and queryable.</w:t>
      </w:r>
    </w:p>
    <w:bookmarkEnd w:id="24"/>
    <w:bookmarkStart w:id="25" w:name="Xc3f1cbc3e485e2374aeb66b37b2b76156f97335"/>
    <w:p>
      <w:pPr>
        <w:pStyle w:val="Heading2"/>
      </w:pPr>
      <w:r>
        <w:t xml:space="preserve">2.3 Grade Configuration</w:t>
      </w:r>
    </w:p>
    <w:p>
      <w:pPr>
        <w:pStyle w:val="FirstParagraph"/>
      </w:pPr>
      <w:r>
        <w:rPr>
          <w:b/>
          <w:bCs/>
        </w:rPr>
        <w:t xml:space="preserve">FR-COOP-004</w:t>
      </w:r>
      <w:r>
        <w:t xml:space="preserve"> </w:t>
      </w:r>
      <w:r>
        <w:t xml:space="preserve">— When an administrator opens a commodity record and adds a grade entry with a grade code, grade description, and active status, the system shall persist the grade and associate it with the parent commodity.</w:t>
      </w:r>
    </w:p>
    <w:p>
      <w:pPr>
        <w:pStyle w:val="BodyText"/>
      </w:pPr>
      <w:r>
        <w:rPr>
          <w:i/>
          <w:iCs/>
        </w:rPr>
        <w:t xml:space="preserve">Acceptance criterion:</w:t>
      </w:r>
      <w:r>
        <w:t xml:space="preserve"> </w:t>
      </w:r>
      <w:r>
        <w:t xml:space="preserve">For commodity "Robusta Coffee", grades "Grade A", "Grade B", and "Broken" are each saved and listed under that commodity in the grade management screen.</w:t>
      </w:r>
    </w:p>
    <w:p>
      <w:pPr>
        <w:pStyle w:val="BodyText"/>
      </w:pPr>
      <w:r>
        <w:rPr>
          <w:b/>
          <w:bCs/>
        </w:rPr>
        <w:t xml:space="preserve">FR-COOP-005</w:t>
      </w:r>
      <w:r>
        <w:t xml:space="preserve"> </w:t>
      </w:r>
      <w:r>
        <w:t xml:space="preserve">— When an administrator deactivates a grade, the system shall exclude that grade from the intake grade selector for new entries and flag any open intake batches that reference the deactivated grade with the warning: "Grade [code] is inactive — review intake batch [batch ID]."</w:t>
      </w:r>
    </w:p>
    <w:p>
      <w:pPr>
        <w:pStyle w:val="BodyText"/>
      </w:pPr>
      <w:r>
        <w:rPr>
          <w:i/>
          <w:iCs/>
        </w:rPr>
        <w:t xml:space="preserve">Acceptance criterion:</w:t>
      </w:r>
      <w:r>
        <w:t xml:space="preserve"> </w:t>
      </w:r>
      <w:r>
        <w:t xml:space="preserve">Deactivating "Broken" removes it from the intake form grade dropdown and triggers the warning for any open batches containing it.</w:t>
      </w:r>
    </w:p>
    <w:p>
      <w:pPr>
        <w:pStyle w:val="BodyText"/>
      </w:pPr>
      <w:r>
        <w:rPr>
          <w:b/>
          <w:bCs/>
        </w:rPr>
        <w:t xml:space="preserve">FR-COOP-006</w:t>
      </w:r>
      <w:r>
        <w:t xml:space="preserve"> </w:t>
      </w:r>
      <w:r>
        <w:t xml:space="preserve">— When an administrator assigns a price to a grade for a specified season, the system shall store the grade-price record linked to the season, commodity, and grade, and apply this price as the default unit price during intake recording.</w:t>
      </w:r>
    </w:p>
    <w:p>
      <w:pPr>
        <w:pStyle w:val="BodyText"/>
      </w:pPr>
      <w:r>
        <w:rPr>
          <w:i/>
          <w:iCs/>
        </w:rPr>
        <w:t xml:space="preserve">Acceptance criterion:</w:t>
      </w:r>
      <w:r>
        <w:t xml:space="preserve"> </w:t>
      </w:r>
      <w:r>
        <w:t xml:space="preserve">Grade "Grade A" for "Tea" in season "2025 Long Rains" has price UGX 450/kg; a new intake entry auto-populates 450 as the unit price when Grade A Tea is selected.</w:t>
      </w:r>
    </w:p>
    <w:bookmarkEnd w:id="25"/>
    <w:bookmarkStart w:id="26" w:name="X944e13b03090c4ec4081e857209fe96226c040f"/>
    <w:p>
      <w:pPr>
        <w:pStyle w:val="Heading2"/>
      </w:pPr>
      <w:r>
        <w:t xml:space="preserve">2.4 Price-Per-Grade Management</w:t>
      </w:r>
    </w:p>
    <w:p>
      <w:pPr>
        <w:pStyle w:val="FirstParagraph"/>
      </w:pPr>
      <w:r>
        <w:rPr>
          <w:b/>
          <w:bCs/>
        </w:rPr>
        <w:t xml:space="preserve">FR-COOP-007</w:t>
      </w:r>
      <w:r>
        <w:t xml:space="preserve"> </w:t>
      </w:r>
      <w:r>
        <w:t xml:space="preserve">— When an administrator sets a floor price for a commodity-grade-season combination, the system shall reject any manual price entry during intake that is below the floor price and display: "Entered price UGX [amount] is below the floor price of UGX [floor]."</w:t>
      </w:r>
    </w:p>
    <w:p>
      <w:pPr>
        <w:pStyle w:val="BodyText"/>
      </w:pPr>
      <w:r>
        <w:rPr>
          <w:i/>
          <w:iCs/>
        </w:rPr>
        <w:t xml:space="preserve">Acceptance criterion:</w:t>
      </w:r>
      <w:r>
        <w:t xml:space="preserve"> </w:t>
      </w:r>
      <w:r>
        <w:t xml:space="preserve">Floor price UGX 400/kg; a manual entry of UGX 380/kg is rejected with the specified message.</w:t>
      </w:r>
    </w:p>
    <w:p>
      <w:pPr>
        <w:pStyle w:val="BodyText"/>
      </w:pPr>
      <w:r>
        <w:rPr>
          <w:b/>
          <w:bCs/>
        </w:rPr>
        <w:t xml:space="preserve">FR-COOP-008</w:t>
      </w:r>
      <w:r>
        <w:t xml:space="preserve"> </w:t>
      </w:r>
      <w:r>
        <w:t xml:space="preserve">— When an administrator updates a grade price mid-season, the system shall apply the new price only to intake entries created after the effective date and retain the old price on entries created before that date.</w:t>
      </w:r>
    </w:p>
    <w:p>
      <w:pPr>
        <w:pStyle w:val="BodyText"/>
      </w:pPr>
      <w:r>
        <w:rPr>
          <w:i/>
          <w:iCs/>
        </w:rPr>
        <w:t xml:space="preserve">Acceptance criterion:</w:t>
      </w:r>
      <w:r>
        <w:t xml:space="preserve"> </w:t>
      </w:r>
      <w:r>
        <w:t xml:space="preserve">Intake entry dated 2025-03-01 retains UGX 450/kg; entry dated 2025-03-15 (after price change to UGX 470/kg on 2025-03-10) shows UGX 470/kg.</w:t>
      </w:r>
    </w:p>
    <w:p>
      <w:pPr>
        <w:pStyle w:val="BodyText"/>
      </w:pPr>
      <w:r>
        <w:rPr>
          <w:b/>
          <w:bCs/>
        </w:rPr>
        <w:t xml:space="preserve">FR-COOP-009</w:t>
      </w:r>
      <w:r>
        <w:t xml:space="preserve"> </w:t>
      </w:r>
      <w:r>
        <w:t xml:space="preserve">— When an administrator configures a premium percentage for a grade, the system shall calculate the effective price as:</w:t>
      </w:r>
    </w:p>
    <w:p>
      <w:pPr>
        <w:pStyle w:val="BodyText"/>
      </w:pPr>
      <m:oMath>
        <m:r>
          <m:t>E</m:t>
        </m:r>
        <m:r>
          <m:t>f</m:t>
        </m:r>
        <m:r>
          <m:t>f</m:t>
        </m:r>
        <m:r>
          <m:t>e</m:t>
        </m:r>
        <m:r>
          <m:t>c</m:t>
        </m:r>
        <m:r>
          <m:t>t</m:t>
        </m:r>
        <m:r>
          <m:t>i</m:t>
        </m:r>
        <m:r>
          <m:t>v</m:t>
        </m:r>
        <m:r>
          <m:t>e</m:t>
        </m:r>
        <m:r>
          <m:t>P</m:t>
        </m:r>
        <m:r>
          <m:t>r</m:t>
        </m:r>
        <m:r>
          <m:t>i</m:t>
        </m:r>
        <m:r>
          <m:t>c</m:t>
        </m:r>
        <m:r>
          <m:t>e</m:t>
        </m:r>
        <m:r>
          <m:rPr>
            <m:sty m:val="p"/>
          </m:rPr>
          <m:t>=</m:t>
        </m:r>
        <m:r>
          <m:t>B</m:t>
        </m:r>
        <m:r>
          <m:t>a</m:t>
        </m:r>
        <m:r>
          <m:t>s</m:t>
        </m:r>
        <m:r>
          <m:t>e</m:t>
        </m:r>
        <m:r>
          <m:t>G</m:t>
        </m:r>
        <m:r>
          <m:t>r</m:t>
        </m:r>
        <m:r>
          <m:t>a</m:t>
        </m:r>
        <m:r>
          <m:t>d</m:t>
        </m:r>
        <m:r>
          <m:t>e</m:t>
        </m:r>
        <m:r>
          <m:t>P</m:t>
        </m:r>
        <m:r>
          <m:t>r</m:t>
        </m:r>
        <m:r>
          <m:t>i</m:t>
        </m:r>
        <m:r>
          <m:t>c</m:t>
        </m:r>
        <m:r>
          <m:t>e</m:t>
        </m:r>
        <m:r>
          <m:rPr>
            <m:sty m:val="p"/>
          </m:rPr>
          <m:t>×</m:t>
        </m:r>
        <m:r>
          <m:rPr>
            <m:sty m:val="p"/>
          </m:rPr>
          <m:t>(</m:t>
        </m:r>
        <m:r>
          <m:t>1</m:t>
        </m:r>
        <m:r>
          <m:rPr>
            <m:sty m:val="p"/>
          </m:rPr>
          <m:t>+</m:t>
        </m:r>
        <m:r>
          <m:t>P</m:t>
        </m:r>
        <m:r>
          <m:t>r</m:t>
        </m:r>
        <m:r>
          <m:t>e</m:t>
        </m:r>
        <m:r>
          <m:t>m</m:t>
        </m:r>
        <m:r>
          <m:t>i</m:t>
        </m:r>
        <m:r>
          <m:t>u</m:t>
        </m:r>
        <m:r>
          <m:t>m</m:t>
        </m:r>
        <m:r>
          <m:t>R</m:t>
        </m:r>
        <m:r>
          <m:t>a</m:t>
        </m:r>
        <m:r>
          <m:t>t</m:t>
        </m:r>
        <m:r>
          <m:t>e</m:t>
        </m:r>
        <m:r>
          <m:rPr>
            <m:sty m:val="p"/>
          </m:rPr>
          <m:t>)</m:t>
        </m:r>
      </m:oMath>
    </w:p>
    <w:p>
      <w:pPr>
        <w:pStyle w:val="BodyText"/>
      </w:pPr>
      <w:r>
        <w:t xml:space="preserve">and store the effective price on the intake entry.</w:t>
      </w:r>
    </w:p>
    <w:p>
      <w:pPr>
        <w:pStyle w:val="BodyText"/>
      </w:pPr>
      <w:r>
        <w:rPr>
          <w:i/>
          <w:iCs/>
        </w:rPr>
        <w:t xml:space="preserve">Acceptance criterion:</w:t>
      </w:r>
      <w:r>
        <w:t xml:space="preserve"> </w:t>
      </w:r>
      <w:r>
        <w:t xml:space="preserve">Base price UGX 450, premium 10% → effective price UGX 495.00 stored on the intake record.</w:t>
      </w:r>
    </w:p>
    <w:bookmarkEnd w:id="26"/>
    <w:bookmarkStart w:id="27" w:name="X169505a610a9155d445d8a7929731a2e798b7dd"/>
    <w:p>
      <w:pPr>
        <w:pStyle w:val="Heading2"/>
      </w:pPr>
      <w:r>
        <w:t xml:space="preserve">2.5 Seasonal Configuration</w:t>
      </w:r>
    </w:p>
    <w:p>
      <w:pPr>
        <w:pStyle w:val="FirstParagraph"/>
      </w:pPr>
      <w:r>
        <w:rPr>
          <w:b/>
          <w:bCs/>
        </w:rPr>
        <w:t xml:space="preserve">FR-COOP-010</w:t>
      </w:r>
      <w:r>
        <w:t xml:space="preserve"> </w:t>
      </w:r>
      <w:r>
        <w:t xml:space="preserve">— When an administrator creates a season record with a name, start date, end date, and linked commodity, the system shall activate the season on the start date, accept intake entries throughout the season window, and automatically close intake on the end date at 23:59 server time.</w:t>
      </w:r>
    </w:p>
    <w:p>
      <w:pPr>
        <w:pStyle w:val="BodyText"/>
      </w:pPr>
      <w:r>
        <w:rPr>
          <w:i/>
          <w:iCs/>
        </w:rPr>
        <w:t xml:space="preserve">Acceptance criterion:</w:t>
      </w:r>
      <w:r>
        <w:t xml:space="preserve"> </w:t>
      </w:r>
      <w:r>
        <w:t xml:space="preserve">Season "2025 Long Rains Tea" with end date 2025-06-30 accepts intake on 2025-06-30 at 23:58 and rejects intake attempted on 2025-07-01 with: "Season is closed."</w:t>
      </w:r>
    </w:p>
    <w:p>
      <w:pPr>
        <w:pStyle w:val="BodyText"/>
      </w:pPr>
      <w:r>
        <w:rPr>
          <w:i/>
          <w:iCs/>
        </w:rPr>
        <w:t xml:space="preserve">Interim decision (baselined).</w:t>
      </w:r>
      <w:r>
        <w:t xml:space="preserve"> </w:t>
      </w:r>
      <w:r>
        <w:t xml:space="preserve">A commodity supports multiple concurrent active seasons per tenant (e.g., two harvests per year); the active-season count is unbounded by configuration, and intake is validated against the specific season selected at capture rather than against a single open season.</w:t>
      </w:r>
    </w:p>
    <w:bookmarkEnd w:id="27"/>
    <w:bookmarkEnd w:id="28"/>
    <w:bookmarkStart w:id="35" w:name="Xe2fbacbfa5c12659cf34498c9d671d7529f777c"/>
    <w:p>
      <w:pPr>
        <w:pStyle w:val="Heading1"/>
      </w:pPr>
      <w:r>
        <w:t xml:space="preserve">3. Farmer Registration and Society Hierarchy Requirements</w:t>
      </w:r>
    </w:p>
    <w:bookmarkStart w:id="29" w:name="X90037fffeb0517eb9be28959be4b42079adccec"/>
    <w:p>
      <w:pPr>
        <w:pStyle w:val="Heading2"/>
      </w:pPr>
      <w:r>
        <w:t xml:space="preserve">3.1 Overview</w:t>
      </w:r>
    </w:p>
    <w:p>
      <w:pPr>
        <w:pStyle w:val="FirstParagraph"/>
      </w:pPr>
      <w:r>
        <w:t xml:space="preserve">This section specifies requirements for registering individual farmers and outgrowers, validating their national identity, recording geographic and financial data, and organising them within a multi-level cooperative hierarchy. The hierarchy model supports Uganda's standard four-level structure as well as KTDA and NAEB configurations.</w:t>
      </w:r>
    </w:p>
    <w:bookmarkEnd w:id="29"/>
    <w:bookmarkStart w:id="30" w:name="X239a7eae462b3fca8e47d81fa4fb1cf2a2d3e62"/>
    <w:p>
      <w:pPr>
        <w:pStyle w:val="Heading2"/>
      </w:pPr>
      <w:r>
        <w:t xml:space="preserve">3.2 Farmer Record and NIN Validation</w:t>
      </w:r>
    </w:p>
    <w:p>
      <w:pPr>
        <w:pStyle w:val="FirstParagraph"/>
      </w:pPr>
      <w:r>
        <w:rPr>
          <w:b/>
          <w:bCs/>
        </w:rPr>
        <w:t xml:space="preserve">FR-COOP-011</w:t>
      </w:r>
      <w:r>
        <w:t xml:space="preserve"> </w:t>
      </w:r>
      <w:r>
        <w:t xml:space="preserve">— When a registration officer submits a farmer record containing first name, last name, date of birth, sex, NIN, phone number, and primary commodity, the system shall validate the NIN format (14 alphanumeric characters matching the pattern</w:t>
      </w:r>
      <w:r>
        <w:t xml:space="preserve"> </w:t>
      </w:r>
      <w:r>
        <w:rPr>
          <w:rStyle w:val="VerbatimChar"/>
        </w:rPr>
        <w:t xml:space="preserve">[A-Z]{2}[0-9]{7}[A-Z]{5}</w:t>
      </w:r>
      <w:r>
        <w:t xml:space="preserve"> </w:t>
      </w:r>
      <w:r>
        <w:t xml:space="preserve">for Uganda), persist the record, and return the assigned farmer ID within 2 seconds.</w:t>
      </w:r>
    </w:p>
    <w:p>
      <w:pPr>
        <w:pStyle w:val="BodyText"/>
      </w:pPr>
      <w:r>
        <w:rPr>
          <w:i/>
          <w:iCs/>
        </w:rPr>
        <w:t xml:space="preserve">Acceptance criterion:</w:t>
      </w:r>
      <w:r>
        <w:t xml:space="preserve"> </w:t>
      </w:r>
      <w:r>
        <w:t xml:space="preserve">NIN "CM12345678ABCDE" passes format validation and the record is saved; NIN "CM123" is rejected with: "NIN must be 14 alphanumeric characters in the correct format."</w:t>
      </w:r>
    </w:p>
    <w:p>
      <w:pPr>
        <w:pStyle w:val="BodyText"/>
      </w:pPr>
      <w:r>
        <w:rPr>
          <w:i/>
          <w:iCs/>
        </w:rPr>
        <w:t xml:space="preserve">Interim decision (baselined).</w:t>
      </w:r>
      <w:r>
        <w:t xml:space="preserve"> </w:t>
      </w:r>
      <w:r>
        <w:t xml:space="preserve">Registration performs format-only NIN validation (14-character pattern check). Live NIRA NIN verification is a Roadmap integration delivered through the integration layer when API access is provisioned; the farmer record carries a</w:t>
      </w:r>
      <w:r>
        <w:t xml:space="preserve"> </w:t>
      </w:r>
      <w:r>
        <w:rPr>
          <w:rStyle w:val="VerbatimChar"/>
        </w:rPr>
        <w:t xml:space="preserve">nin_verified</w:t>
      </w:r>
      <w:r>
        <w:t xml:space="preserve"> </w:t>
      </w:r>
      <w:r>
        <w:t xml:space="preserve">flag defaulting to format-validated.</w:t>
      </w:r>
    </w:p>
    <w:p>
      <w:pPr>
        <w:pStyle w:val="BodyText"/>
      </w:pPr>
      <w:r>
        <w:rPr>
          <w:b/>
          <w:bCs/>
        </w:rPr>
        <w:t xml:space="preserve">FR-COOP-012</w:t>
      </w:r>
      <w:r>
        <w:t xml:space="preserve"> </w:t>
      </w:r>
      <w:r>
        <w:t xml:space="preserve">— When a registration officer submits a farmer record with a NIN that already exists in the tenant, the system shall reject the submission and display: "A farmer with NIN [value] is already registered as [Farmer Name] (ID: [ID])."</w:t>
      </w:r>
    </w:p>
    <w:p>
      <w:pPr>
        <w:pStyle w:val="BodyText"/>
      </w:pPr>
      <w:r>
        <w:rPr>
          <w:i/>
          <w:iCs/>
        </w:rPr>
        <w:t xml:space="preserve">Acceptance criterion:</w:t>
      </w:r>
      <w:r>
        <w:t xml:space="preserve"> </w:t>
      </w:r>
      <w:r>
        <w:t xml:space="preserve">Duplicate NIN submission returns the existing farmer's name and ID; no duplicate record is created.</w:t>
      </w:r>
    </w:p>
    <w:p>
      <w:pPr>
        <w:pStyle w:val="BodyText"/>
      </w:pPr>
      <w:r>
        <w:rPr>
          <w:b/>
          <w:bCs/>
        </w:rPr>
        <w:t xml:space="preserve">FR-COOP-013</w:t>
      </w:r>
      <w:r>
        <w:t xml:space="preserve"> </w:t>
      </w:r>
      <w:r>
        <w:t xml:space="preserve">— When a registration officer edits a field on an existing farmer record, the system shall record the previous value, the new value, the editing user, and the timestamp in an immutable audit log entry for that farmer.</w:t>
      </w:r>
    </w:p>
    <w:p>
      <w:pPr>
        <w:pStyle w:val="BodyText"/>
      </w:pPr>
      <w:r>
        <w:rPr>
          <w:i/>
          <w:iCs/>
        </w:rPr>
        <w:t xml:space="preserve">Acceptance criterion:</w:t>
      </w:r>
      <w:r>
        <w:t xml:space="preserve"> </w:t>
      </w:r>
      <w:r>
        <w:t xml:space="preserve">Changing a farmer's phone number creates an audit log entry with old value, new value, user ID, and UTC timestamp retrievable via the audit trail screen.</w:t>
      </w:r>
    </w:p>
    <w:bookmarkEnd w:id="30"/>
    <w:bookmarkStart w:id="31" w:name="Xcfe87c3dadd9f393bc2a9d4d08c975448ed63e6"/>
    <w:p>
      <w:pPr>
        <w:pStyle w:val="Heading2"/>
      </w:pPr>
      <w:r>
        <w:t xml:space="preserve">3.3 GPS Coordinates</w:t>
      </w:r>
    </w:p>
    <w:p>
      <w:pPr>
        <w:pStyle w:val="FirstParagraph"/>
      </w:pPr>
      <w:r>
        <w:rPr>
          <w:b/>
          <w:bCs/>
        </w:rPr>
        <w:t xml:space="preserve">FR-COOP-014</w:t>
      </w:r>
      <w:r>
        <w:t xml:space="preserve"> </w:t>
      </w:r>
      <w:r>
        <w:t xml:space="preserve">— When a registration officer enters or captures GPS coordinates for a farmer's farm plot, the system shall validate that the latitude is in the range −90.000000 to 90.000000 and the longitude is in the range −180.000000 to 180.000000, store the coordinates to 6 decimal places, and display the location on a map preview.</w:t>
      </w:r>
    </w:p>
    <w:p>
      <w:pPr>
        <w:pStyle w:val="BodyText"/>
      </w:pPr>
      <w:r>
        <w:rPr>
          <w:i/>
          <w:iCs/>
        </w:rPr>
        <w:t xml:space="preserve">Acceptance criterion:</w:t>
      </w:r>
      <w:r>
        <w:t xml:space="preserve"> </w:t>
      </w:r>
      <w:r>
        <w:t xml:space="preserve">Coordinates (0.347596, 32.582520) are accepted and displayed on the map; coordinates (91.0, 32.5) are rejected with: "Latitude must be between −90 and 90."</w:t>
      </w:r>
    </w:p>
    <w:p>
      <w:pPr>
        <w:pStyle w:val="BodyText"/>
      </w:pPr>
      <w:r>
        <w:rPr>
          <w:b/>
          <w:bCs/>
        </w:rPr>
        <w:t xml:space="preserve">FR-COOP-015</w:t>
      </w:r>
      <w:r>
        <w:t xml:space="preserve"> </w:t>
      </w:r>
      <w:r>
        <w:t xml:space="preserve">— When the mobile application has GPS hardware access and the registration officer taps "Capture GPS", the system shall read the device location and auto-populate the latitude and longitude fields with a positional accuracy of ≤ 10 metres (CEP-50).</w:t>
      </w:r>
    </w:p>
    <w:p>
      <w:pPr>
        <w:pStyle w:val="BodyText"/>
      </w:pPr>
      <w:r>
        <w:rPr>
          <w:i/>
          <w:iCs/>
        </w:rPr>
        <w:t xml:space="preserve">Acceptance criterion:</w:t>
      </w:r>
      <w:r>
        <w:t xml:space="preserve"> </w:t>
      </w:r>
      <w:r>
        <w:t xml:space="preserve">Auto-capture populates coordinates within 10 metres of the actual farm location as verified by a reference GPS device.</w:t>
      </w:r>
    </w:p>
    <w:bookmarkEnd w:id="31"/>
    <w:bookmarkStart w:id="32" w:name="Xb27a0b83c135a7a2c8e88f29daf1ce427d045d4"/>
    <w:p>
      <w:pPr>
        <w:pStyle w:val="Heading2"/>
      </w:pPr>
      <w:r>
        <w:t xml:space="preserve">3.4 Payment Details (Bank and Mobile Money)</w:t>
      </w:r>
    </w:p>
    <w:p>
      <w:pPr>
        <w:pStyle w:val="FirstParagraph"/>
      </w:pPr>
      <w:r>
        <w:rPr>
          <w:b/>
          <w:bCs/>
        </w:rPr>
        <w:t xml:space="preserve">FR-COOP-016</w:t>
      </w:r>
      <w:r>
        <w:t xml:space="preserve"> </w:t>
      </w:r>
      <w:r>
        <w:t xml:space="preserve">— When a registration officer saves payment details for a farmer, the system shall store one or more of the following payment methods: bank account (bank name, branch, account number, account name) or mobile money (provider: MTN/Airtel/M-Pesa, phone number), and designate one method as the default disbursement channel.</w:t>
      </w:r>
    </w:p>
    <w:p>
      <w:pPr>
        <w:pStyle w:val="BodyText"/>
      </w:pPr>
      <w:r>
        <w:rPr>
          <w:i/>
          <w:iCs/>
        </w:rPr>
        <w:t xml:space="preserve">Acceptance criterion:</w:t>
      </w:r>
      <w:r>
        <w:t xml:space="preserve"> </w:t>
      </w:r>
      <w:r>
        <w:t xml:space="preserve">A farmer record with MTN MoMo number 0771234567 as default and a Centenary Bank account as secondary is saved; the disbursement engine uses the MTN number by default.</w:t>
      </w:r>
    </w:p>
    <w:p>
      <w:pPr>
        <w:pStyle w:val="BodyText"/>
      </w:pPr>
      <w:r>
        <w:rPr>
          <w:b/>
          <w:bCs/>
        </w:rPr>
        <w:t xml:space="preserve">FR-COOP-017</w:t>
      </w:r>
      <w:r>
        <w:t xml:space="preserve"> </w:t>
      </w:r>
      <w:r>
        <w:t xml:space="preserve">— When a registration officer enters a mobile money phone number, the system shall validate the number against the provider's prefix rules (MTN Uganda: 077x/078x; Airtel Uganda: 070x/075x; M-Pesa Kenya: 07xx/01xx) and reject non-matching numbers with: "Phone number [value] does not match the prefix rules for [provider]."</w:t>
      </w:r>
    </w:p>
    <w:p>
      <w:pPr>
        <w:pStyle w:val="BodyText"/>
      </w:pPr>
      <w:r>
        <w:rPr>
          <w:i/>
          <w:iCs/>
        </w:rPr>
        <w:t xml:space="preserve">Acceptance criterion:</w:t>
      </w:r>
      <w:r>
        <w:t xml:space="preserve"> </w:t>
      </w:r>
      <w:r>
        <w:t xml:space="preserve">Number "0701234567" submitted as MTN is rejected; submitted as Airtel is accepted.</w:t>
      </w:r>
    </w:p>
    <w:bookmarkEnd w:id="32"/>
    <w:bookmarkStart w:id="33" w:name="Xae9731997253e2267418bed7696d0696302c7d2"/>
    <w:p>
      <w:pPr>
        <w:pStyle w:val="Heading2"/>
      </w:pPr>
      <w:r>
        <w:t xml:space="preserve">3.5 Society Hierarchy</w:t>
      </w:r>
    </w:p>
    <w:p>
      <w:pPr>
        <w:pStyle w:val="FirstParagraph"/>
      </w:pPr>
      <w:r>
        <w:rPr>
          <w:b/>
          <w:bCs/>
        </w:rPr>
        <w:t xml:space="preserve">FR-COOP-018</w:t>
      </w:r>
      <w:r>
        <w:t xml:space="preserve"> </w:t>
      </w:r>
      <w:r>
        <w:t xml:space="preserve">— When an administrator creates a group record with a name, location, and parent primary society, the system shall persist the group and make it selectable as the organisational unit when registering individual farmers.</w:t>
      </w:r>
    </w:p>
    <w:p>
      <w:pPr>
        <w:pStyle w:val="BodyText"/>
      </w:pPr>
      <w:r>
        <w:rPr>
          <w:i/>
          <w:iCs/>
        </w:rPr>
        <w:t xml:space="preserve">Acceptance criterion:</w:t>
      </w:r>
      <w:r>
        <w:t xml:space="preserve"> </w:t>
      </w:r>
      <w:r>
        <w:t xml:space="preserve">Group "Butebo Farmers Group" under society "Butebo Primary Cooperative Society" is created; a farmer can be assigned to it during registration.</w:t>
      </w:r>
    </w:p>
    <w:p>
      <w:pPr>
        <w:pStyle w:val="BodyText"/>
      </w:pPr>
      <w:r>
        <w:rPr>
          <w:b/>
          <w:bCs/>
        </w:rPr>
        <w:t xml:space="preserve">FR-COOP-019</w:t>
      </w:r>
      <w:r>
        <w:t xml:space="preserve"> </w:t>
      </w:r>
      <w:r>
        <w:t xml:space="preserve">— When an administrator creates a primary society record with a name, registration number, district, and parent union (optional), the system shall persist the record and display it as a selectable node in the hierarchy tree.</w:t>
      </w:r>
    </w:p>
    <w:p>
      <w:pPr>
        <w:pStyle w:val="BodyText"/>
      </w:pPr>
      <w:r>
        <w:rPr>
          <w:i/>
          <w:iCs/>
        </w:rPr>
        <w:t xml:space="preserve">Acceptance criterion:</w:t>
      </w:r>
      <w:r>
        <w:t xml:space="preserve"> </w:t>
      </w:r>
      <w:r>
        <w:t xml:space="preserve">Society "Butebo Primary Cooperative Society" (reg. no. CS-2021-0045) is created and visible in the hierarchy.</w:t>
      </w:r>
    </w:p>
    <w:p>
      <w:pPr>
        <w:pStyle w:val="BodyText"/>
      </w:pPr>
      <w:r>
        <w:rPr>
          <w:b/>
          <w:bCs/>
        </w:rPr>
        <w:t xml:space="preserve">FR-COOP-020</w:t>
      </w:r>
      <w:r>
        <w:t xml:space="preserve"> </w:t>
      </w:r>
      <w:r>
        <w:t xml:space="preserve">— When an administrator creates a union record with a name and registration number, the system shall persist the record as the top-level node in the hierarchy; primary societies may be linked to this union.</w:t>
      </w:r>
    </w:p>
    <w:p>
      <w:pPr>
        <w:pStyle w:val="BodyText"/>
      </w:pPr>
      <w:r>
        <w:rPr>
          <w:i/>
          <w:iCs/>
        </w:rPr>
        <w:t xml:space="preserve">Acceptance criterion:</w:t>
      </w:r>
      <w:r>
        <w:t xml:space="preserve"> </w:t>
      </w:r>
      <w:r>
        <w:t xml:space="preserve">Union "Eastern Uganda Cooperative Union" is created; societies are linked to it and the hierarchy renders correctly.</w:t>
      </w:r>
    </w:p>
    <w:p>
      <w:pPr>
        <w:pStyle w:val="BodyText"/>
      </w:pPr>
      <w:r>
        <w:rPr>
          <w:b/>
          <w:bCs/>
        </w:rPr>
        <w:t xml:space="preserve">FR-COOP-021</w:t>
      </w:r>
      <w:r>
        <w:t xml:space="preserve"> </w:t>
      </w:r>
      <w:r>
        <w:t xml:space="preserve">— When a user requests the hierarchy view for a cooperative union, the system shall render the complete tree (union → societies → groups → farmers) with record counts at each node, and the response shall load within 3 seconds for a hierarchy of up to 10,000 farmer records.</w:t>
      </w:r>
    </w:p>
    <w:p>
      <w:pPr>
        <w:pStyle w:val="BodyText"/>
      </w:pPr>
      <w:r>
        <w:rPr>
          <w:i/>
          <w:iCs/>
        </w:rPr>
        <w:t xml:space="preserve">Acceptance criterion:</w:t>
      </w:r>
      <w:r>
        <w:t xml:space="preserve"> </w:t>
      </w:r>
      <w:r>
        <w:t xml:space="preserve">A union with 3 societies, 12 groups, and 2,500 farmers renders its full hierarchy within 3 seconds as measured from request submission to first meaningful paint.</w:t>
      </w:r>
    </w:p>
    <w:bookmarkEnd w:id="33"/>
    <w:bookmarkStart w:id="34" w:name="Xf7912b93aedd866a57eb51f9f8346508ff5312a"/>
    <w:p>
      <w:pPr>
        <w:pStyle w:val="Heading2"/>
      </w:pPr>
      <w:r>
        <w:t xml:space="preserve">3.6 Kenya KTDA and Rwanda NAEB Structure Support</w:t>
      </w:r>
    </w:p>
    <w:p>
      <w:pPr>
        <w:pStyle w:val="FirstParagraph"/>
      </w:pPr>
      <w:r>
        <w:rPr>
          <w:b/>
          <w:bCs/>
        </w:rPr>
        <w:t xml:space="preserve">FR-COOP-022</w:t>
      </w:r>
      <w:r>
        <w:t xml:space="preserve"> </w:t>
      </w:r>
      <w:r>
        <w:t xml:space="preserve">— When a tenant is configured for the Kenya (KTDA) jurisdiction, the system shall:</w:t>
      </w:r>
    </w:p>
    <w:p>
      <w:pPr>
        <w:pStyle w:val="Compact"/>
        <w:numPr>
          <w:ilvl w:val="0"/>
          <w:numId w:val="1005"/>
        </w:numPr>
      </w:pPr>
      <w:r>
        <w:t xml:space="preserve">Replace the Uganda NIN field with the Kenya National ID field (8-digit numeric).</w:t>
      </w:r>
    </w:p>
    <w:p>
      <w:pPr>
        <w:pStyle w:val="Compact"/>
        <w:numPr>
          <w:ilvl w:val="0"/>
          <w:numId w:val="1005"/>
        </w:numPr>
      </w:pPr>
      <w:r>
        <w:t xml:space="preserve">Relabel the primary society tier as "Factory" to align with KTDA nomenclature.</w:t>
      </w:r>
    </w:p>
    <w:p>
      <w:pPr>
        <w:pStyle w:val="Compact"/>
        <w:numPr>
          <w:ilvl w:val="0"/>
          <w:numId w:val="1005"/>
        </w:numPr>
      </w:pPr>
      <w:r>
        <w:t xml:space="preserve">Apply the KTDA two-payment-cycle model (green leaf payment + bonus payment) in the payment configuration for that tenant.</w:t>
      </w:r>
    </w:p>
    <w:p>
      <w:pPr>
        <w:pStyle w:val="FirstParagraph"/>
      </w:pPr>
      <w:r>
        <w:t xml:space="preserve">When a tenant is configured for the Rwanda (NAEB) jurisdiction, the system shall:</w:t>
      </w:r>
    </w:p>
    <w:p>
      <w:pPr>
        <w:pStyle w:val="Compact"/>
        <w:numPr>
          <w:ilvl w:val="0"/>
          <w:numId w:val="1006"/>
        </w:numPr>
      </w:pPr>
      <w:r>
        <w:t xml:space="preserve">Replace the Uganda NIN field with the Rwanda National ID field (16-digit numeric).</w:t>
      </w:r>
    </w:p>
    <w:p>
      <w:pPr>
        <w:pStyle w:val="Compact"/>
        <w:numPr>
          <w:ilvl w:val="0"/>
          <w:numId w:val="1006"/>
        </w:numPr>
      </w:pPr>
      <w:r>
        <w:t xml:space="preserve">Relabel the union tier as "NAEB Cooperative" and the primary society tier as "Washing Station" for coffee cooperatives.</w:t>
      </w:r>
    </w:p>
    <w:p>
      <w:pPr>
        <w:pStyle w:val="Compact"/>
        <w:numPr>
          <w:ilvl w:val="0"/>
          <w:numId w:val="1006"/>
        </w:numPr>
      </w:pPr>
      <w:r>
        <w:t xml:space="preserve">Apply NAEB export levy deduction rules as the default levy schedule.</w:t>
      </w:r>
    </w:p>
    <w:p>
      <w:pPr>
        <w:pStyle w:val="FirstParagraph"/>
      </w:pPr>
      <w:r>
        <w:rPr>
          <w:i/>
          <w:iCs/>
        </w:rPr>
        <w:t xml:space="preserve">Acceptance criterion:</w:t>
      </w:r>
      <w:r>
        <w:t xml:space="preserve"> </w:t>
      </w:r>
      <w:r>
        <w:t xml:space="preserve">A Kenya-configured tenant shows "Factory" in the hierarchy and "Kenya National ID" on the farmer form; the Uganda NIN label does not appear. A Rwanda-configured tenant shows "Washing Station" and "NAEB Cooperative" labels.</w:t>
      </w:r>
    </w:p>
    <w:p>
      <w:pPr>
        <w:pStyle w:val="BodyText"/>
      </w:pPr>
      <w:r>
        <w:rPr>
          <w:i/>
          <w:iCs/>
        </w:rPr>
        <w:t xml:space="preserve">Interim decision (baselined).</w:t>
      </w:r>
      <w:r>
        <w:t xml:space="preserve"> </w:t>
      </w:r>
      <w:r>
        <w:t xml:space="preserve">Green-leaf and bonus payment-cycle dates and calculation rules are tenant-configurable parameters in the commodity-board profile, not hard-coded; a tenant may seed them from the prevailing KTDA seasonal norms.</w:t>
      </w:r>
    </w:p>
    <w:p>
      <w:pPr>
        <w:pStyle w:val="BodyText"/>
      </w:pPr>
      <w:r>
        <w:rPr>
          <w:i/>
          <w:iCs/>
        </w:rPr>
        <w:t xml:space="preserve">Interim decision (baselined).</w:t>
      </w:r>
      <w:r>
        <w:t xml:space="preserve"> </w:t>
      </w:r>
      <w:r>
        <w:t xml:space="preserve">Export-levy percentages (e.g., NAEB coffee and tea rates) are tenant-configurable values in the statutory-levy configuration and default to zero until the tenant enters the rate in force for its jurisdiction.</w:t>
      </w:r>
      <w:r>
        <w:t xml:space="preserve"> </w:t>
      </w:r>
      <w:r>
        <w:rPr>
          <w:i/>
          <w:iCs/>
        </w:rPr>
        <w:t xml:space="preserve">(Roadmap — board-published levy-schedule sync.)</w:t>
      </w:r>
    </w:p>
    <w:bookmarkEnd w:id="34"/>
    <w:bookmarkEnd w:id="35"/>
    <w:bookmarkStart w:id="41" w:name="Xb19436de0e729d80f2cb181fed766cf06fccd19"/>
    <w:p>
      <w:pPr>
        <w:pStyle w:val="Heading1"/>
      </w:pPr>
      <w:r>
        <w:t xml:space="preserve">4. Seasonal Intake and Weighbridge Integration Requirements</w:t>
      </w:r>
    </w:p>
    <w:bookmarkStart w:id="36" w:name="X4e640066bc2aaf7152d59a8f504a4169cafa087"/>
    <w:p>
      <w:pPr>
        <w:pStyle w:val="Heading2"/>
      </w:pPr>
      <w:r>
        <w:t xml:space="preserve">4.1 Overview</w:t>
      </w:r>
    </w:p>
    <w:p>
      <w:pPr>
        <w:pStyle w:val="FirstParagraph"/>
      </w:pPr>
      <w:r>
        <w:t xml:space="preserve">This section specifies requirements for opening and managing seasonal intake periods, recording individual commodity deliveries from farmers, integrating with RS-232 weighbridge hardware for automatic weight capture, and posting validated batches to the inventory and accounting ledgers.</w:t>
      </w:r>
    </w:p>
    <w:bookmarkEnd w:id="36"/>
    <w:bookmarkStart w:id="37" w:name="X022547938ed52139207855088b4f398e26aea47"/>
    <w:p>
      <w:pPr>
        <w:pStyle w:val="Heading2"/>
      </w:pPr>
      <w:r>
        <w:t xml:space="preserve">4.2 Seasonal Intake Periods</w:t>
      </w:r>
    </w:p>
    <w:p>
      <w:pPr>
        <w:pStyle w:val="FirstParagraph"/>
      </w:pPr>
      <w:r>
        <w:rPr>
          <w:b/>
          <w:bCs/>
        </w:rPr>
        <w:t xml:space="preserve">FR-COOP-023</w:t>
      </w:r>
      <w:r>
        <w:t xml:space="preserve"> </w:t>
      </w:r>
      <w:r>
        <w:t xml:space="preserve">— When an administrator opens an intake period for a season by selecting the season record and setting the collection centre, the system shall activate an intake session that constrains all new intake entries to the active season's commodity, date range, and price schedule.</w:t>
      </w:r>
    </w:p>
    <w:p>
      <w:pPr>
        <w:pStyle w:val="BodyText"/>
      </w:pPr>
      <w:r>
        <w:rPr>
          <w:i/>
          <w:iCs/>
        </w:rPr>
        <w:t xml:space="preserve">Acceptance criterion:</w:t>
      </w:r>
      <w:r>
        <w:t xml:space="preserve"> </w:t>
      </w:r>
      <w:r>
        <w:t xml:space="preserve">An active intake session for "2025 Long Rains Tea" at "Butebo Collection Centre" only accepts Tea entries dated within the season's start-to-end window.</w:t>
      </w:r>
    </w:p>
    <w:p>
      <w:pPr>
        <w:pStyle w:val="BodyText"/>
      </w:pPr>
      <w:r>
        <w:rPr>
          <w:b/>
          <w:bCs/>
        </w:rPr>
        <w:t xml:space="preserve">FR-COOP-024</w:t>
      </w:r>
      <w:r>
        <w:t xml:space="preserve"> </w:t>
      </w:r>
      <w:r>
        <w:t xml:space="preserve">— When an administrator closes an intake period, the system shall set the period status to "Closed", prevent new intake entries from being added, and require a supervisor PIN or two-factor confirmation before the period transitions to "Closed".</w:t>
      </w:r>
    </w:p>
    <w:p>
      <w:pPr>
        <w:pStyle w:val="BodyText"/>
      </w:pPr>
      <w:r>
        <w:rPr>
          <w:i/>
          <w:iCs/>
        </w:rPr>
        <w:t xml:space="preserve">Acceptance criterion:</w:t>
      </w:r>
      <w:r>
        <w:t xml:space="preserve"> </w:t>
      </w:r>
      <w:r>
        <w:t xml:space="preserve">A supervisor enters their PIN; the period transitions to "Closed" and the "New Intake" button is disabled; an attempt to add intake via the API returns HTTP 403.</w:t>
      </w:r>
    </w:p>
    <w:p>
      <w:pPr>
        <w:pStyle w:val="BodyText"/>
      </w:pPr>
      <w:r>
        <w:rPr>
          <w:b/>
          <w:bCs/>
        </w:rPr>
        <w:t xml:space="preserve">FR-COOP-025</w:t>
      </w:r>
      <w:r>
        <w:t xml:space="preserve"> </w:t>
      </w:r>
      <w:r>
        <w:t xml:space="preserve">— When an intake period is closed, the system shall generate a period closure summary showing: total weight received (kg), total number of entries, total gross value (UGX), breakdown by grade, and breakdown by society/group.</w:t>
      </w:r>
    </w:p>
    <w:p>
      <w:pPr>
        <w:pStyle w:val="BodyText"/>
      </w:pPr>
      <w:r>
        <w:rPr>
          <w:i/>
          <w:iCs/>
        </w:rPr>
        <w:t xml:space="preserve">Acceptance criterion:</w:t>
      </w:r>
      <w:r>
        <w:t xml:space="preserve"> </w:t>
      </w:r>
      <w:r>
        <w:t xml:space="preserve">A period with 150 entries across 3 grades produces a closure summary with correct aggregated totals matching the sum of individual entries (verified by independent calculation).</w:t>
      </w:r>
    </w:p>
    <w:bookmarkEnd w:id="37"/>
    <w:bookmarkStart w:id="38" w:name="X70b082ba0c414b4f04b96e381aeb8cd53e6cfc9"/>
    <w:p>
      <w:pPr>
        <w:pStyle w:val="Heading2"/>
      </w:pPr>
      <w:r>
        <w:t xml:space="preserve">4.3 Intake Entry Recording</w:t>
      </w:r>
    </w:p>
    <w:p>
      <w:pPr>
        <w:pStyle w:val="FirstParagraph"/>
      </w:pPr>
      <w:r>
        <w:rPr>
          <w:b/>
          <w:bCs/>
        </w:rPr>
        <w:t xml:space="preserve">FR-COOP-026</w:t>
      </w:r>
      <w:r>
        <w:t xml:space="preserve"> </w:t>
      </w:r>
      <w:r>
        <w:t xml:space="preserve">— When a collection officer selects a registered farmer, selects a commodity and grade, and submits an intake entry with the recorded weight (kg) and delivery date, the system shall compute the gross payment as:</w:t>
      </w:r>
    </w:p>
    <w:p>
      <w:pPr>
        <w:pStyle w:val="BodyText"/>
      </w:pPr>
      <m:oMath>
        <m:r>
          <m:t>G</m:t>
        </m:r>
        <m:r>
          <m:t>r</m:t>
        </m:r>
        <m:r>
          <m:t>o</m:t>
        </m:r>
        <m:r>
          <m:t>s</m:t>
        </m:r>
        <m:r>
          <m:t>s</m:t>
        </m:r>
        <m:r>
          <m:t>P</m:t>
        </m:r>
        <m:r>
          <m:t>a</m:t>
        </m:r>
        <m:r>
          <m:t>y</m:t>
        </m:r>
        <m:r>
          <m:t>m</m:t>
        </m:r>
        <m:r>
          <m:t>e</m:t>
        </m:r>
        <m:r>
          <m:t>n</m:t>
        </m:r>
        <m:r>
          <m:t>t</m:t>
        </m:r>
        <m:r>
          <m:rPr>
            <m:sty m:val="p"/>
          </m:rPr>
          <m:t>=</m:t>
        </m:r>
        <m:r>
          <m:t>W</m:t>
        </m:r>
        <m:r>
          <m:t>e</m:t>
        </m:r>
        <m:r>
          <m:t>i</m:t>
        </m:r>
        <m:r>
          <m:t>g</m:t>
        </m:r>
        <m:r>
          <m:t>h</m:t>
        </m:r>
        <m:r>
          <m:t>t</m:t>
        </m:r>
        <m:r>
          <m:rPr>
            <m:sty m:val="p"/>
          </m:rPr>
          <m:t>×</m:t>
        </m:r>
        <m:r>
          <m:t>G</m:t>
        </m:r>
        <m:r>
          <m:t>r</m:t>
        </m:r>
        <m:r>
          <m:t>a</m:t>
        </m:r>
        <m:r>
          <m:t>d</m:t>
        </m:r>
        <m:r>
          <m:t>e</m:t>
        </m:r>
        <m:r>
          <m:t>P</m:t>
        </m:r>
        <m:r>
          <m:t>r</m:t>
        </m:r>
        <m:r>
          <m:t>i</m:t>
        </m:r>
        <m:r>
          <m:t>c</m:t>
        </m:r>
        <m:r>
          <m:t>e</m:t>
        </m:r>
      </m:oMath>
    </w:p>
    <w:p>
      <w:pPr>
        <w:pStyle w:val="BodyText"/>
      </w:pPr>
      <w:r>
        <w:t xml:space="preserve">persist the entry with a unique intake reference number, and display the computed gross payment to the officer.</w:t>
      </w:r>
    </w:p>
    <w:p>
      <w:pPr>
        <w:pStyle w:val="BodyText"/>
      </w:pPr>
      <w:r>
        <w:rPr>
          <w:i/>
          <w:iCs/>
        </w:rPr>
        <w:t xml:space="preserve">Acceptance criterion:</w:t>
      </w:r>
      <w:r>
        <w:t xml:space="preserve"> </w:t>
      </w:r>
      <w:r>
        <w:t xml:space="preserve">120 kg of Grade A Tea at UGX 450/kg → GrossPayment = UGX 54,000; the entry is stored with a unique reference and the computed value displayed within 1 second of submission.</w:t>
      </w:r>
    </w:p>
    <w:p>
      <w:pPr>
        <w:pStyle w:val="BodyText"/>
      </w:pPr>
      <w:r>
        <w:rPr>
          <w:b/>
          <w:bCs/>
        </w:rPr>
        <w:t xml:space="preserve">FR-COOP-027</w:t>
      </w:r>
      <w:r>
        <w:t xml:space="preserve"> </w:t>
      </w:r>
      <w:r>
        <w:t xml:space="preserve">— When a collection officer submits an intake entry with a weight of 0 kg or a negative weight, the system shall reject the entry and display: "Weight must be greater than 0."</w:t>
      </w:r>
    </w:p>
    <w:p>
      <w:pPr>
        <w:pStyle w:val="BodyText"/>
      </w:pPr>
      <w:r>
        <w:rPr>
          <w:i/>
          <w:iCs/>
        </w:rPr>
        <w:t xml:space="preserve">Acceptance criterion:</w:t>
      </w:r>
      <w:r>
        <w:t xml:space="preserve"> </w:t>
      </w:r>
      <w:r>
        <w:t xml:space="preserve">Submission with weight = 0 returns the specified error; no record is created.</w:t>
      </w:r>
    </w:p>
    <w:p>
      <w:pPr>
        <w:pStyle w:val="BodyText"/>
      </w:pPr>
      <w:r>
        <w:rPr>
          <w:b/>
          <w:bCs/>
        </w:rPr>
        <w:t xml:space="preserve">FR-COOP-028</w:t>
      </w:r>
      <w:r>
        <w:t xml:space="preserve"> </w:t>
      </w:r>
      <w:r>
        <w:t xml:space="preserve">— When a collection officer submits an intake entry for a farmer who is not registered or whose registration is inactive, the system shall reject the entry and display: "Farmer [ID/Name] is not active. Complete registration before recording intake."</w:t>
      </w:r>
    </w:p>
    <w:p>
      <w:pPr>
        <w:pStyle w:val="BodyText"/>
      </w:pPr>
      <w:r>
        <w:rPr>
          <w:i/>
          <w:iCs/>
        </w:rPr>
        <w:t xml:space="preserve">Acceptance criterion:</w:t>
      </w:r>
      <w:r>
        <w:t xml:space="preserve"> </w:t>
      </w:r>
      <w:r>
        <w:t xml:space="preserve">An intake attempt for an unregistered farmer ID returns the rejection message; the entry is not persisted.</w:t>
      </w:r>
    </w:p>
    <w:p>
      <w:pPr>
        <w:pStyle w:val="BodyText"/>
      </w:pPr>
      <w:r>
        <w:rPr>
          <w:b/>
          <w:bCs/>
        </w:rPr>
        <w:t xml:space="preserve">FR-COOP-029</w:t>
      </w:r>
      <w:r>
        <w:t xml:space="preserve"> </w:t>
      </w:r>
      <w:r>
        <w:t xml:space="preserve">— When a collection officer records more than 1 intake entry per farmer per day for the same commodity, the system shall display a warning: "Farmer [Name] already has [N] intake entry/entries today for [Commodity]. Proceed?" and require explicit confirmation before saving.</w:t>
      </w:r>
    </w:p>
    <w:p>
      <w:pPr>
        <w:pStyle w:val="BodyText"/>
      </w:pPr>
      <w:r>
        <w:rPr>
          <w:i/>
          <w:iCs/>
        </w:rPr>
        <w:t xml:space="preserve">Acceptance criterion:</w:t>
      </w:r>
      <w:r>
        <w:t xml:space="preserve"> </w:t>
      </w:r>
      <w:r>
        <w:t xml:space="preserve">A second Tea entry for the same farmer on the same day triggers the warning; the officer must confirm; the record is only saved after confirmation.</w:t>
      </w:r>
    </w:p>
    <w:bookmarkEnd w:id="38"/>
    <w:bookmarkStart w:id="39" w:name="Xb2379ef08345b6e398f2e9690401518edf6308e"/>
    <w:p>
      <w:pPr>
        <w:pStyle w:val="Heading2"/>
      </w:pPr>
      <w:r>
        <w:t xml:space="preserve">4.4 Weighbridge RS-232 Serial Integration</w:t>
      </w:r>
    </w:p>
    <w:p>
      <w:pPr>
        <w:pStyle w:val="FirstParagraph"/>
      </w:pPr>
      <w:r>
        <w:rPr>
          <w:b/>
          <w:bCs/>
        </w:rPr>
        <w:t xml:space="preserve">FR-COOP-030</w:t>
      </w:r>
      <w:r>
        <w:t xml:space="preserve"> </w:t>
      </w:r>
      <w:r>
        <w:t xml:space="preserve">— When a weighbridge device is connected via RS-232 serial port and the collection officer initiates weight capture, the system shall read the weight data stream from the configured COM port at the configured baud rate (default: 9600 baud, 8 data bits, no parity, 1 stop bit), parse the weight value, populate the weight field on the intake form, and display the raw serial string in a diagnostic field.</w:t>
      </w:r>
    </w:p>
    <w:p>
      <w:pPr>
        <w:pStyle w:val="BodyText"/>
      </w:pPr>
      <w:r>
        <w:rPr>
          <w:i/>
          <w:iCs/>
        </w:rPr>
        <w:t xml:space="preserve">Acceptance criterion:</w:t>
      </w:r>
      <w:r>
        <w:t xml:space="preserve"> </w:t>
      </w:r>
      <w:r>
        <w:t xml:space="preserve">A weighbridge transmitting "00120.5 KG\r\n" results in the weight field being auto-populated with 120.5; the raw string is shown in the diagnostic display.</w:t>
      </w:r>
    </w:p>
    <w:p>
      <w:pPr>
        <w:pStyle w:val="BodyText"/>
      </w:pPr>
      <w:r>
        <w:rPr>
          <w:b/>
          <w:bCs/>
        </w:rPr>
        <w:t xml:space="preserve">FR-COOP-031</w:t>
      </w:r>
      <w:r>
        <w:t xml:space="preserve"> </w:t>
      </w:r>
      <w:r>
        <w:t xml:space="preserve">— When the RS-232 connection is configured but the serial port does not respond within 5 seconds of a capture request, the system shall display: "Weighbridge not responding on [COM port]. Check cable and power." and allow the officer to enter weight manually.</w:t>
      </w:r>
    </w:p>
    <w:p>
      <w:pPr>
        <w:pStyle w:val="BodyText"/>
      </w:pPr>
      <w:r>
        <w:rPr>
          <w:i/>
          <w:iCs/>
        </w:rPr>
        <w:t xml:space="preserve">Acceptance criterion:</w:t>
      </w:r>
      <w:r>
        <w:t xml:space="preserve"> </w:t>
      </w:r>
      <w:r>
        <w:t xml:space="preserve">With the COM port disconnected, a capture attempt triggers the timeout message after exactly 5 seconds (± 200 ms); the weight field remains editable.</w:t>
      </w:r>
    </w:p>
    <w:p>
      <w:pPr>
        <w:pStyle w:val="BodyText"/>
      </w:pPr>
      <w:r>
        <w:rPr>
          <w:b/>
          <w:bCs/>
        </w:rPr>
        <w:t xml:space="preserve">FR-COOP-032</w:t>
      </w:r>
      <w:r>
        <w:t xml:space="preserve"> </w:t>
      </w:r>
      <w:r>
        <w:t xml:space="preserve">— When the system receives a weight reading from the weighbridge that is below the minimum stable weight threshold (configurable, default 1.0 kg) or is flagged as unstable by the weighbridge (detected via device-specific stability flag in the data string), the system shall reject the reading, display: "Weight is unstable — place commodity on scale and retry", and not auto-populate the weight field.</w:t>
      </w:r>
    </w:p>
    <w:p>
      <w:pPr>
        <w:pStyle w:val="BodyText"/>
      </w:pPr>
      <w:r>
        <w:rPr>
          <w:i/>
          <w:iCs/>
        </w:rPr>
        <w:t xml:space="preserve">Acceptance criterion:</w:t>
      </w:r>
      <w:r>
        <w:t xml:space="preserve"> </w:t>
      </w:r>
      <w:r>
        <w:t xml:space="preserve">A simulated unstable reading string that contains the device's instability flag does not populate the weight field; the specified message is shown.</w:t>
      </w:r>
    </w:p>
    <w:p>
      <w:pPr>
        <w:pStyle w:val="BodyText"/>
      </w:pPr>
      <w:r>
        <w:rPr>
          <w:b/>
          <w:bCs/>
        </w:rPr>
        <w:t xml:space="preserve">FR-COOP-033</w:t>
      </w:r>
      <w:r>
        <w:t xml:space="preserve"> </w:t>
      </w:r>
      <w:r>
        <w:t xml:space="preserve">— When an administrator configures the weighbridge integration settings, the system shall provide fields for: COM port (e.g., COM1–COM20), baud rate (1200 / 2400 / 4800 / 9600 / 19200 / 38400 / 57600 / 115200), data bits (7 / 8), parity (None / Even / Odd), stop bits (1 / 2), and a regex pattern for parsing the weight value from the device's raw output string.</w:t>
      </w:r>
    </w:p>
    <w:p>
      <w:pPr>
        <w:pStyle w:val="BodyText"/>
      </w:pPr>
      <w:r>
        <w:rPr>
          <w:i/>
          <w:iCs/>
        </w:rPr>
        <w:t xml:space="preserve">Acceptance criterion:</w:t>
      </w:r>
      <w:r>
        <w:t xml:space="preserve"> </w:t>
      </w:r>
      <w:r>
        <w:t xml:space="preserve">Configuration saved with COM3, 9600 baud, 8N1, and parse pattern</w:t>
      </w:r>
      <w:r>
        <w:t xml:space="preserve"> </w:t>
      </w:r>
      <w:r>
        <w:rPr>
          <w:rStyle w:val="VerbatimChar"/>
        </w:rPr>
        <w:t xml:space="preserve">(\d+\.?\d*)\s*KG</w:t>
      </w:r>
      <w:r>
        <w:t xml:space="preserve"> </w:t>
      </w:r>
      <w:r>
        <w:t xml:space="preserve">is persisted and applied on the next capture request.</w:t>
      </w:r>
    </w:p>
    <w:p>
      <w:pPr>
        <w:pStyle w:val="BodyText"/>
      </w:pPr>
      <w:r>
        <w:rPr>
          <w:i/>
          <w:iCs/>
        </w:rPr>
        <w:t xml:space="preserve">Interim decision (baselined).</w:t>
      </w:r>
      <w:r>
        <w:t xml:space="preserve"> </w:t>
      </w:r>
      <w:r>
        <w:t xml:space="preserve">The weighbridge interface is hardware-agnostic: the serial port, baud rate, frame format, and weight parse pattern are tenant configuration (see Section above), so any RS-232 indicator (e.g., Avery Weigh-Tronix, Mettler Toledo) is supported by entering its output pattern. The stability-flag byte position is a configurable field defaulting to none (capture on operator confirmation).</w:t>
      </w:r>
      <w:r>
        <w:t xml:space="preserve"> </w:t>
      </w:r>
      <w:r>
        <w:rPr>
          <w:i/>
          <w:iCs/>
        </w:rPr>
        <w:t xml:space="preserve">(Roadmap — a certified per-model profile library.)</w:t>
      </w:r>
    </w:p>
    <w:bookmarkEnd w:id="39"/>
    <w:bookmarkStart w:id="40" w:name="Xa00855cfbeff51e0087b45a62f2ad989aec15d5"/>
    <w:p>
      <w:pPr>
        <w:pStyle w:val="Heading2"/>
      </w:pPr>
      <w:r>
        <w:t xml:space="preserve">4.5 Batch Posting</w:t>
      </w:r>
    </w:p>
    <w:p>
      <w:pPr>
        <w:pStyle w:val="FirstParagraph"/>
      </w:pPr>
      <w:r>
        <w:rPr>
          <w:b/>
          <w:bCs/>
        </w:rPr>
        <w:t xml:space="preserve">FR-COOP-034</w:t>
      </w:r>
      <w:r>
        <w:t xml:space="preserve"> </w:t>
      </w:r>
      <w:r>
        <w:t xml:space="preserve">— When a supervisor approves a completed intake batch, the system shall post a stock receipt to the Inventory module (Module 02) with the commodity, total weight, collection centre as receiving warehouse, and the intake period reference, and post the corresponding payable journal entry to the Accounting module (Module 01) with farmer payables allocated to each farmer's ledger account.</w:t>
      </w:r>
    </w:p>
    <w:p>
      <w:pPr>
        <w:pStyle w:val="BodyText"/>
      </w:pPr>
      <w:r>
        <w:rPr>
          <w:i/>
          <w:iCs/>
        </w:rPr>
        <w:t xml:space="preserve">Acceptance criterion:</w:t>
      </w:r>
      <w:r>
        <w:t xml:space="preserve"> </w:t>
      </w:r>
      <w:r>
        <w:t xml:space="preserve">Approving a batch of 50 Tea entries totalling 6,000 kg creates 1 stock receipt in Module 02 for 6,000 kg Tea and 50 individual journal entries in Module 01 (one per farmer) that sum to the batch gross total; no entry is created if approval is not granted.</w:t>
      </w:r>
    </w:p>
    <w:p>
      <w:pPr>
        <w:pStyle w:val="BodyText"/>
      </w:pPr>
      <w:r>
        <w:rPr>
          <w:b/>
          <w:bCs/>
        </w:rPr>
        <w:t xml:space="preserve">FR-COOP-035</w:t>
      </w:r>
      <w:r>
        <w:t xml:space="preserve"> </w:t>
      </w:r>
      <w:r>
        <w:t xml:space="preserve">— When a supervisor attempts to post a batch that contains entries flagged with a</w:t>
      </w:r>
      <w:r>
        <w:t xml:space="preserve"> </w:t>
      </w:r>
      <w:r>
        <w:rPr>
          <w:rStyle w:val="VerbatimChar"/>
        </w:rPr>
        <w:t xml:space="preserve">[V&amp;V-FAIL]</w:t>
      </w:r>
      <w:r>
        <w:t xml:space="preserve"> </w:t>
      </w:r>
      <w:r>
        <w:t xml:space="preserve">data quality error (e.g., weight outside valid range, unresolved grade mismatch), the system shall block the posting, display a list of all flagged entries with their error descriptions, and require each flag to be resolved before re-attempting the post.</w:t>
      </w:r>
    </w:p>
    <w:p>
      <w:pPr>
        <w:pStyle w:val="BodyText"/>
      </w:pPr>
      <w:r>
        <w:rPr>
          <w:i/>
          <w:iCs/>
        </w:rPr>
        <w:t xml:space="preserve">Acceptance criterion:</w:t>
      </w:r>
      <w:r>
        <w:t xml:space="preserve"> </w:t>
      </w:r>
      <w:r>
        <w:t xml:space="preserve">A batch with 2 flagged entries cannot be posted until both flags are cleared; the block message lists the entry reference numbers and error descriptions.</w:t>
      </w:r>
    </w:p>
    <w:bookmarkEnd w:id="40"/>
    <w:bookmarkEnd w:id="41"/>
    <w:bookmarkStart w:id="47" w:name="Xa3cb29940f44ee283ff091997f3b056801d8eac"/>
    <w:p>
      <w:pPr>
        <w:pStyle w:val="Heading1"/>
      </w:pPr>
      <w:r>
        <w:t xml:space="preserve">5. Deductions and Mobile Money Payment Requirements</w:t>
      </w:r>
    </w:p>
    <w:bookmarkStart w:id="42" w:name="Xc719e00ed9ce0b2b0576dca6ea38b4056582a83"/>
    <w:p>
      <w:pPr>
        <w:pStyle w:val="Heading2"/>
      </w:pPr>
      <w:r>
        <w:t xml:space="preserve">5.1 Overview</w:t>
      </w:r>
    </w:p>
    <w:p>
      <w:pPr>
        <w:pStyle w:val="FirstParagraph"/>
      </w:pPr>
      <w:r>
        <w:t xml:space="preserve">This section specifies requirements for calculating and applying all deductions against a farmer's gross intake payment — including outstanding input loan balances and society or union levies — and for disbursing net payments to farmers via mobile money bulk transfer.</w:t>
      </w:r>
    </w:p>
    <w:bookmarkEnd w:id="42"/>
    <w:bookmarkStart w:id="43" w:name="X3cde380cbf48e53b51175d15a475e3fbf2abdcb"/>
    <w:p>
      <w:pPr>
        <w:pStyle w:val="Heading2"/>
      </w:pPr>
      <w:r>
        <w:t xml:space="preserve">5.2 Payment Calculation Formula</w:t>
      </w:r>
    </w:p>
    <w:p>
      <w:pPr>
        <w:pStyle w:val="FirstParagraph"/>
      </w:pPr>
      <w:r>
        <w:t xml:space="preserve">The net farmer payment is computed as:</w:t>
      </w:r>
    </w:p>
    <w:p>
      <w:pPr>
        <w:pStyle w:val="BodyText"/>
      </w:pPr>
      <m:oMath>
        <m:r>
          <m:t>F</m:t>
        </m:r>
        <m:r>
          <m:t>a</m:t>
        </m:r>
        <m:r>
          <m:t>r</m:t>
        </m:r>
        <m:r>
          <m:t>m</m:t>
        </m:r>
        <m:r>
          <m:t>e</m:t>
        </m:r>
        <m:r>
          <m:t>r</m:t>
        </m:r>
        <m:r>
          <m:t>P</m:t>
        </m:r>
        <m:r>
          <m:t>a</m:t>
        </m:r>
        <m:r>
          <m:t>y</m:t>
        </m:r>
        <m:r>
          <m:t>m</m:t>
        </m:r>
        <m:r>
          <m:t>e</m:t>
        </m:r>
        <m:r>
          <m:t>n</m:t>
        </m:r>
        <m:r>
          <m:t>t</m:t>
        </m:r>
        <m:r>
          <m:rPr>
            <m:sty m:val="p"/>
          </m:rPr>
          <m:t>=</m:t>
        </m:r>
        <m:r>
          <m:rPr>
            <m:sty m:val="p"/>
          </m:rPr>
          <m:t>(</m:t>
        </m:r>
        <m:r>
          <m:t>W</m:t>
        </m:r>
        <m:r>
          <m:t>e</m:t>
        </m:r>
        <m:r>
          <m:t>i</m:t>
        </m:r>
        <m:r>
          <m:t>g</m:t>
        </m:r>
        <m:r>
          <m:t>h</m:t>
        </m:r>
        <m:r>
          <m:t>t</m:t>
        </m:r>
        <m:r>
          <m:rPr>
            <m:sty m:val="p"/>
          </m:rPr>
          <m:t>×</m:t>
        </m:r>
        <m:r>
          <m:t>G</m:t>
        </m:r>
        <m:r>
          <m:t>r</m:t>
        </m:r>
        <m:r>
          <m:t>a</m:t>
        </m:r>
        <m:r>
          <m:t>d</m:t>
        </m:r>
        <m:r>
          <m:t>e</m:t>
        </m:r>
        <m:r>
          <m:t>P</m:t>
        </m:r>
        <m:r>
          <m:t>r</m:t>
        </m:r>
        <m:r>
          <m:t>i</m:t>
        </m:r>
        <m:r>
          <m:t>c</m:t>
        </m:r>
        <m:r>
          <m:t>e</m:t>
        </m:r>
        <m:r>
          <m:rPr>
            <m:sty m:val="p"/>
          </m:rPr>
          <m:t>)</m:t>
        </m:r>
        <m:r>
          <m:rPr>
            <m:sty m:val="p"/>
          </m:rPr>
          <m:t>−</m:t>
        </m:r>
        <m:r>
          <m:rPr>
            <m:sty m:val="p"/>
          </m:rPr>
          <m:t>∑</m:t>
        </m:r>
        <m:r>
          <m:t>D</m:t>
        </m:r>
        <m:r>
          <m:t>e</m:t>
        </m:r>
        <m:r>
          <m:t>d</m:t>
        </m:r>
        <m:r>
          <m:t>u</m:t>
        </m:r>
        <m:r>
          <m:t>c</m:t>
        </m:r>
        <m:r>
          <m:t>t</m:t>
        </m:r>
        <m:r>
          <m:t>i</m:t>
        </m:r>
        <m:r>
          <m:t>o</m:t>
        </m:r>
        <m:r>
          <m:t>n</m:t>
        </m:r>
        <m:r>
          <m:t>s</m:t>
        </m:r>
      </m:oMath>
    </w:p>
    <w:p>
      <w:pPr>
        <w:pStyle w:val="BodyText"/>
      </w:pPr>
      <w:r>
        <w:t xml:space="preserve">where</w:t>
      </w:r>
      <w:r>
        <w:t xml:space="preserve"> </w:t>
      </w:r>
      <m:oMath>
        <m:r>
          <m:rPr>
            <m:sty m:val="p"/>
          </m:rPr>
          <m:t>∑</m:t>
        </m:r>
        <m:r>
          <m:t>D</m:t>
        </m:r>
        <m:r>
          <m:t>e</m:t>
        </m:r>
        <m:r>
          <m:t>d</m:t>
        </m:r>
        <m:r>
          <m:t>u</m:t>
        </m:r>
        <m:r>
          <m:t>c</m:t>
        </m:r>
        <m:r>
          <m:t>t</m:t>
        </m:r>
        <m:r>
          <m:t>i</m:t>
        </m:r>
        <m:r>
          <m:t>o</m:t>
        </m:r>
        <m:r>
          <m:t>n</m:t>
        </m:r>
        <m:r>
          <m:t>s</m:t>
        </m:r>
      </m:oMath>
      <w:r>
        <w:t xml:space="preserve"> </w:t>
      </w:r>
      <w:r>
        <w:t xml:space="preserve">includes all active input loan instalments and all applicable levies for the intake entry's season and commodity.</w:t>
      </w:r>
    </w:p>
    <w:bookmarkEnd w:id="43"/>
    <w:bookmarkStart w:id="44" w:name="Xa53cea8bda5034ecfb53af4fc56c925d9ea8ad5"/>
    <w:p>
      <w:pPr>
        <w:pStyle w:val="Heading2"/>
      </w:pPr>
      <w:r>
        <w:t xml:space="preserve">5.3 Input Loan Deductions</w:t>
      </w:r>
    </w:p>
    <w:p>
      <w:pPr>
        <w:pStyle w:val="FirstParagraph"/>
      </w:pPr>
      <w:r>
        <w:rPr>
          <w:b/>
          <w:bCs/>
        </w:rPr>
        <w:t xml:space="preserve">FR-COOP-036</w:t>
      </w:r>
      <w:r>
        <w:t xml:space="preserve"> </w:t>
      </w:r>
      <w:r>
        <w:t xml:space="preserve">— When an intake entry is saved for a farmer who has an outstanding input loan balance, the system shall retrieve all active loan records for that farmer, compute the instalment amount per the loan's repayment schedule, and apply the deduction automatically on the intake entry.</w:t>
      </w:r>
    </w:p>
    <w:p>
      <w:pPr>
        <w:pStyle w:val="BodyText"/>
      </w:pPr>
      <w:r>
        <w:rPr>
          <w:i/>
          <w:iCs/>
        </w:rPr>
        <w:t xml:space="preserve">Acceptance criterion:</w:t>
      </w:r>
      <w:r>
        <w:t xml:space="preserve"> </w:t>
      </w:r>
      <w:r>
        <w:t xml:space="preserve">Farmer with outstanding loan UGX 120,000 on a 4-instalment schedule; single intake entry deducts UGX 30,000 (UGX 120,000 ÷ 4); net payment reflects the deduction.</w:t>
      </w:r>
    </w:p>
    <w:p>
      <w:pPr>
        <w:pStyle w:val="BodyText"/>
      </w:pPr>
      <w:r>
        <w:rPr>
          <w:b/>
          <w:bCs/>
        </w:rPr>
        <w:t xml:space="preserve">FR-COOP-037</w:t>
      </w:r>
      <w:r>
        <w:t xml:space="preserve"> </w:t>
      </w:r>
      <w:r>
        <w:t xml:space="preserve">— When a loan deduction would result in a negative net payment (i.e.,</w:t>
      </w:r>
      <w:r>
        <w:t xml:space="preserve"> </w:t>
      </w:r>
      <m:oMath>
        <m:r>
          <m:rPr>
            <m:sty m:val="p"/>
          </m:rPr>
          <m:t>∑</m:t>
        </m:r>
        <m:r>
          <m:t>D</m:t>
        </m:r>
        <m:r>
          <m:t>e</m:t>
        </m:r>
        <m:r>
          <m:t>d</m:t>
        </m:r>
        <m:r>
          <m:t>u</m:t>
        </m:r>
        <m:r>
          <m:t>c</m:t>
        </m:r>
        <m:r>
          <m:t>t</m:t>
        </m:r>
        <m:r>
          <m:t>i</m:t>
        </m:r>
        <m:r>
          <m:t>o</m:t>
        </m:r>
        <m:r>
          <m:t>n</m:t>
        </m:r>
        <m:r>
          <m:t>s</m:t>
        </m:r>
        <m:r>
          <m:rPr>
            <m:sty m:val="p"/>
          </m:rPr>
          <m:t>&gt;</m:t>
        </m:r>
        <m:r>
          <m:t>G</m:t>
        </m:r>
        <m:r>
          <m:t>r</m:t>
        </m:r>
        <m:r>
          <m:t>o</m:t>
        </m:r>
        <m:r>
          <m:t>s</m:t>
        </m:r>
        <m:r>
          <m:t>s</m:t>
        </m:r>
        <m:r>
          <m:t>P</m:t>
        </m:r>
        <m:r>
          <m:t>a</m:t>
        </m:r>
        <m:r>
          <m:t>y</m:t>
        </m:r>
        <m:r>
          <m:t>m</m:t>
        </m:r>
        <m:r>
          <m:t>e</m:t>
        </m:r>
        <m:r>
          <m:t>n</m:t>
        </m:r>
        <m:r>
          <m:t>t</m:t>
        </m:r>
      </m:oMath>
      <w:r>
        <w:t xml:space="preserve">), the system shall cap the deduction at the gross payment amount, set the net payment to UGX 0, and carry forward the unrecovered balance to the farmer's next intake entry.</w:t>
      </w:r>
    </w:p>
    <w:p>
      <w:pPr>
        <w:pStyle w:val="BodyText"/>
      </w:pPr>
      <w:r>
        <w:rPr>
          <w:i/>
          <w:iCs/>
        </w:rPr>
        <w:t xml:space="preserve">Acceptance criterion:</w:t>
      </w:r>
      <w:r>
        <w:t xml:space="preserve"> </w:t>
      </w:r>
      <w:r>
        <w:t xml:space="preserve">GrossPayment = UGX 18,000; loan instalment = UGX 25,000 → deduction capped at UGX 18,000; net = UGX 0; loan balance reduced by UGX 18,000 with UGX 7,000 carried forward.</w:t>
      </w:r>
    </w:p>
    <w:p>
      <w:pPr>
        <w:pStyle w:val="BodyText"/>
      </w:pPr>
      <w:r>
        <w:rPr>
          <w:b/>
          <w:bCs/>
        </w:rPr>
        <w:t xml:space="preserve">FR-COOP-038</w:t>
      </w:r>
      <w:r>
        <w:t xml:space="preserve"> </w:t>
      </w:r>
      <w:r>
        <w:t xml:space="preserve">— When a loan is fully repaid (outstanding balance reaches UGX 0), the system shall mark the loan as "Closed", stop generating deductions for that loan on subsequent intake entries, and record the closure date and final repayment intake reference.</w:t>
      </w:r>
    </w:p>
    <w:p>
      <w:pPr>
        <w:pStyle w:val="BodyText"/>
      </w:pPr>
      <w:r>
        <w:rPr>
          <w:i/>
          <w:iCs/>
        </w:rPr>
        <w:t xml:space="preserve">Acceptance criterion:</w:t>
      </w:r>
      <w:r>
        <w:t xml:space="preserve"> </w:t>
      </w:r>
      <w:r>
        <w:t xml:space="preserve">After the final instalment deduction, the loan record status changes to "Closed" and no further deductions are applied on the next intake entry for that farmer.</w:t>
      </w:r>
    </w:p>
    <w:p>
      <w:pPr>
        <w:pStyle w:val="BodyText"/>
      </w:pPr>
      <w:r>
        <w:rPr>
          <w:b/>
          <w:bCs/>
        </w:rPr>
        <w:t xml:space="preserve">FR-COOP-039</w:t>
      </w:r>
      <w:r>
        <w:t xml:space="preserve"> </w:t>
      </w:r>
      <w:r>
        <w:t xml:space="preserve">— When an administrator registers a new input loan for a farmer, the system shall require: loan amount, disbursement date, repayment method (equal instalments per intake / fixed amount per intake / full deduction on first intake), number of instalments (if applicable), and linked commodity season, and persist the loan record with status "Active".</w:t>
      </w:r>
    </w:p>
    <w:p>
      <w:pPr>
        <w:pStyle w:val="BodyText"/>
      </w:pPr>
      <w:r>
        <w:rPr>
          <w:i/>
          <w:iCs/>
        </w:rPr>
        <w:t xml:space="preserve">Acceptance criterion:</w:t>
      </w:r>
      <w:r>
        <w:t xml:space="preserve"> </w:t>
      </w:r>
      <w:r>
        <w:t xml:space="preserve">A loan of UGX 200,000 over 5 equal instalments for "2025 Coffee Season" is saved; the system computes instalment = UGX 40,000 and applies it correctly on the next 5 intake entries.</w:t>
      </w:r>
    </w:p>
    <w:bookmarkEnd w:id="44"/>
    <w:bookmarkStart w:id="45" w:name="X99b1211a6691d45e3ac256493a2109d261582f5"/>
    <w:p>
      <w:pPr>
        <w:pStyle w:val="Heading2"/>
      </w:pPr>
      <w:r>
        <w:t xml:space="preserve">5.4 Levy Deductions</w:t>
      </w:r>
    </w:p>
    <w:p>
      <w:pPr>
        <w:pStyle w:val="FirstParagraph"/>
      </w:pPr>
      <w:r>
        <w:rPr>
          <w:b/>
          <w:bCs/>
        </w:rPr>
        <w:t xml:space="preserve">FR-COOP-040</w:t>
      </w:r>
      <w:r>
        <w:t xml:space="preserve"> </w:t>
      </w:r>
      <w:r>
        <w:t xml:space="preserve">— When an intake entry is saved, the system shall compute and apply all levy deductions configured for the intake's commodity, society, and season, using:</w:t>
      </w:r>
    </w:p>
    <w:p>
      <w:pPr>
        <w:pStyle w:val="BodyText"/>
      </w:pPr>
      <m:oMath>
        <m:r>
          <m:t>L</m:t>
        </m:r>
        <m:r>
          <m:t>e</m:t>
        </m:r>
        <m:r>
          <m:t>v</m:t>
        </m:r>
        <m:r>
          <m:t>y</m:t>
        </m:r>
        <m:r>
          <m:t>A</m:t>
        </m:r>
        <m:r>
          <m:t>m</m:t>
        </m:r>
        <m:r>
          <m:t>o</m:t>
        </m:r>
        <m:r>
          <m:t>u</m:t>
        </m:r>
        <m:r>
          <m:t>n</m:t>
        </m:r>
        <m:r>
          <m:t>t</m:t>
        </m:r>
        <m:r>
          <m:rPr>
            <m:sty m:val="p"/>
          </m:rPr>
          <m:t>=</m:t>
        </m:r>
        <m:r>
          <m:t>G</m:t>
        </m:r>
        <m:r>
          <m:t>r</m:t>
        </m:r>
        <m:r>
          <m:t>o</m:t>
        </m:r>
        <m:r>
          <m:t>s</m:t>
        </m:r>
        <m:r>
          <m:t>s</m:t>
        </m:r>
        <m:r>
          <m:t>P</m:t>
        </m:r>
        <m:r>
          <m:t>a</m:t>
        </m:r>
        <m:r>
          <m:t>y</m:t>
        </m:r>
        <m:r>
          <m:t>m</m:t>
        </m:r>
        <m:r>
          <m:t>e</m:t>
        </m:r>
        <m:r>
          <m:t>n</m:t>
        </m:r>
        <m:r>
          <m:t>t</m:t>
        </m:r>
        <m:r>
          <m:rPr>
            <m:sty m:val="p"/>
          </m:rPr>
          <m:t>×</m:t>
        </m:r>
        <m:r>
          <m:t>L</m:t>
        </m:r>
        <m:r>
          <m:t>e</m:t>
        </m:r>
        <m:r>
          <m:t>v</m:t>
        </m:r>
        <m:r>
          <m:t>y</m:t>
        </m:r>
        <m:r>
          <m:t>R</m:t>
        </m:r>
        <m:r>
          <m:t>a</m:t>
        </m:r>
        <m:r>
          <m:t>t</m:t>
        </m:r>
        <m:r>
          <m:t>e</m:t>
        </m:r>
      </m:oMath>
    </w:p>
    <w:p>
      <w:pPr>
        <w:pStyle w:val="BodyText"/>
      </w:pPr>
      <w:r>
        <w:t xml:space="preserve">for percentage-based levies, or the configured fixed amount per kilogram for per-kg levies.</w:t>
      </w:r>
    </w:p>
    <w:p>
      <w:pPr>
        <w:pStyle w:val="BodyText"/>
      </w:pPr>
      <w:r>
        <w:rPr>
          <w:i/>
          <w:iCs/>
        </w:rPr>
        <w:t xml:space="preserve">Acceptance criterion:</w:t>
      </w:r>
      <w:r>
        <w:t xml:space="preserve"> </w:t>
      </w:r>
      <w:r>
        <w:t xml:space="preserve">Society levy 2% of gross on Tea entry GrossPayment UGX 54,000 → LevyAmount = UGX 1,080; this appears as a line item on the deductions breakdown.</w:t>
      </w:r>
    </w:p>
    <w:p>
      <w:pPr>
        <w:pStyle w:val="BodyText"/>
      </w:pPr>
      <w:r>
        <w:rPr>
          <w:b/>
          <w:bCs/>
        </w:rPr>
        <w:t xml:space="preserve">FR-COOP-041</w:t>
      </w:r>
      <w:r>
        <w:t xml:space="preserve"> </w:t>
      </w:r>
      <w:r>
        <w:t xml:space="preserve">— When a union levy is configured for a commodity season, the system shall apply the union levy as a separate deduction line from the society levy, remit the union levy amount to the union's ledger account, and display both levies as distinct line items on the farmer's payment breakdown.</w:t>
      </w:r>
    </w:p>
    <w:p>
      <w:pPr>
        <w:pStyle w:val="BodyText"/>
      </w:pPr>
      <w:r>
        <w:rPr>
          <w:i/>
          <w:iCs/>
        </w:rPr>
        <w:t xml:space="preserve">Acceptance criterion:</w:t>
      </w:r>
      <w:r>
        <w:t xml:space="preserve"> </w:t>
      </w:r>
      <w:r>
        <w:t xml:space="preserve">Society levy = UGX 1,080 (2%) and union levy = UGX 540 (1%) both appear as separate lines on the payment breakdown; total deductions = UGX 1,620 (assuming no loan).</w:t>
      </w:r>
    </w:p>
    <w:p>
      <w:pPr>
        <w:pStyle w:val="BodyText"/>
      </w:pPr>
      <w:r>
        <w:rPr>
          <w:b/>
          <w:bCs/>
        </w:rPr>
        <w:t xml:space="preserve">FR-COOP-042</w:t>
      </w:r>
      <w:r>
        <w:t xml:space="preserve"> </w:t>
      </w:r>
      <w:r>
        <w:t xml:space="preserve">— When an administrator configures a levy, the system shall require: levy name, levy type (percentage of gross / fixed amount per kg), rate or amount, applicable commodity, applicable society or union, and effective season, and persist the levy record as active.</w:t>
      </w:r>
    </w:p>
    <w:p>
      <w:pPr>
        <w:pStyle w:val="BodyText"/>
      </w:pPr>
      <w:r>
        <w:rPr>
          <w:i/>
          <w:iCs/>
        </w:rPr>
        <w:t xml:space="preserve">Acceptance criterion:</w:t>
      </w:r>
      <w:r>
        <w:t xml:space="preserve"> </w:t>
      </w:r>
      <w:r>
        <w:t xml:space="preserve">A "NAEB Export Levy" at 1.5% of gross for Rwanda Arabica coffee in the 2025 season is saved and applied on the next intake entry for a Rwanda tenant.</w:t>
      </w:r>
    </w:p>
    <w:p>
      <w:pPr>
        <w:pStyle w:val="BodyText"/>
      </w:pPr>
      <w:r>
        <w:rPr>
          <w:b/>
          <w:bCs/>
        </w:rPr>
        <w:t xml:space="preserve">FR-COOP-043</w:t>
      </w:r>
      <w:r>
        <w:t xml:space="preserve"> </w:t>
      </w:r>
      <w:r>
        <w:t xml:space="preserve">— When a levy is deactivated mid-season, the system shall stop applying that levy to intake entries created after the deactivation date and retain it on all entries created before that date.</w:t>
      </w:r>
    </w:p>
    <w:p>
      <w:pPr>
        <w:pStyle w:val="BodyText"/>
      </w:pPr>
      <w:r>
        <w:rPr>
          <w:i/>
          <w:iCs/>
        </w:rPr>
        <w:t xml:space="preserve">Acceptance criterion:</w:t>
      </w:r>
      <w:r>
        <w:t xml:space="preserve"> </w:t>
      </w:r>
      <w:r>
        <w:t xml:space="preserve">Levy deactivated 2025-04-15 → entries dated 2025-04-14 retain the levy; entries dated 2025-04-16 do not include it.</w:t>
      </w:r>
    </w:p>
    <w:bookmarkEnd w:id="45"/>
    <w:bookmarkStart w:id="46" w:name="Xf30ef2b4a6dc67365f90da023cdc64093db9134"/>
    <w:p>
      <w:pPr>
        <w:pStyle w:val="Heading2"/>
      </w:pPr>
      <w:r>
        <w:t xml:space="preserve">5.5 Mobile Money Bulk Payment</w:t>
      </w:r>
    </w:p>
    <w:p>
      <w:pPr>
        <w:pStyle w:val="FirstParagraph"/>
      </w:pPr>
      <w:r>
        <w:rPr>
          <w:b/>
          <w:bCs/>
        </w:rPr>
        <w:t xml:space="preserve">FR-COOP-044</w:t>
      </w:r>
      <w:r>
        <w:t xml:space="preserve"> </w:t>
      </w:r>
      <w:r>
        <w:t xml:space="preserve">— When a payment officer initiates a bulk payment run for a season and collection centre, the system shall:</w:t>
      </w:r>
    </w:p>
    <w:p>
      <w:pPr>
        <w:pStyle w:val="Compact"/>
        <w:numPr>
          <w:ilvl w:val="0"/>
          <w:numId w:val="1007"/>
        </w:numPr>
      </w:pPr>
      <w:r>
        <w:t xml:space="preserve">Aggregate all approved, unpaid intake entries.</w:t>
      </w:r>
    </w:p>
    <w:p>
      <w:pPr>
        <w:pStyle w:val="Compact"/>
        <w:numPr>
          <w:ilvl w:val="0"/>
          <w:numId w:val="1007"/>
        </w:numPr>
      </w:pPr>
      <w:r>
        <w:t xml:space="preserve">Compute the net payment per farmer (gross minus all deductions).</w:t>
      </w:r>
    </w:p>
    <w:p>
      <w:pPr>
        <w:pStyle w:val="Compact"/>
        <w:numPr>
          <w:ilvl w:val="0"/>
          <w:numId w:val="1007"/>
        </w:numPr>
      </w:pPr>
      <w:r>
        <w:t xml:space="preserve">Generate a payment batch record with a unique batch reference, total payout amount, farmer count, and status "Pending".</w:t>
      </w:r>
    </w:p>
    <w:p>
      <w:pPr>
        <w:pStyle w:val="Compact"/>
        <w:numPr>
          <w:ilvl w:val="0"/>
          <w:numId w:val="1007"/>
        </w:numPr>
      </w:pPr>
      <w:r>
        <w:t xml:space="preserve">Present the payment batch for supervisor approval before disbursement.</w:t>
      </w:r>
    </w:p>
    <w:p>
      <w:pPr>
        <w:pStyle w:val="FirstParagraph"/>
      </w:pPr>
      <w:r>
        <w:rPr>
          <w:i/>
          <w:iCs/>
        </w:rPr>
        <w:t xml:space="preserve">Acceptance criterion:</w:t>
      </w:r>
      <w:r>
        <w:t xml:space="preserve"> </w:t>
      </w:r>
      <w:r>
        <w:t xml:space="preserve">A bulk run for 200 farmers produces a batch record with the correct total (independently verified) and status "Pending"; no disbursement is initiated without approval.</w:t>
      </w:r>
    </w:p>
    <w:p>
      <w:pPr>
        <w:pStyle w:val="BodyText"/>
      </w:pPr>
      <w:r>
        <w:rPr>
          <w:b/>
          <w:bCs/>
        </w:rPr>
        <w:t xml:space="preserve">FR-COOP-045</w:t>
      </w:r>
      <w:r>
        <w:t xml:space="preserve"> </w:t>
      </w:r>
      <w:r>
        <w:t xml:space="preserve">— When a supervisor approves the payment batch, the system shall submit individual payment instructions to the configured Mobile Money API (MTN Mobile Money Uganda / Airtel Money Uganda / M-Pesa Kenya) for each farmer using the farmer's registered default MoMo number and net payment amount.</w:t>
      </w:r>
    </w:p>
    <w:p>
      <w:pPr>
        <w:pStyle w:val="BodyText"/>
      </w:pPr>
      <w:r>
        <w:rPr>
          <w:i/>
          <w:iCs/>
        </w:rPr>
        <w:t xml:space="preserve">Acceptance criterion:</w:t>
      </w:r>
      <w:r>
        <w:t xml:space="preserve"> </w:t>
      </w:r>
      <w:r>
        <w:t xml:space="preserve">Batch approval triggers API calls to the configured provider; each call includes the correct farmer phone number, amount, and batch reference as the transaction reference.</w:t>
      </w:r>
    </w:p>
    <w:p>
      <w:pPr>
        <w:pStyle w:val="BodyText"/>
      </w:pPr>
      <w:r>
        <w:rPr>
          <w:b/>
          <w:bCs/>
        </w:rPr>
        <w:t xml:space="preserve">FR-COOP-046</w:t>
      </w:r>
      <w:r>
        <w:t xml:space="preserve"> </w:t>
      </w:r>
      <w:r>
        <w:t xml:space="preserve">— When the Mobile Money API returns a success callback for a farmer payment, the system shall mark that farmer's payment record as "Paid", record the provider transaction ID, and update the batch completion counter.</w:t>
      </w:r>
    </w:p>
    <w:p>
      <w:pPr>
        <w:pStyle w:val="BodyText"/>
      </w:pPr>
      <w:r>
        <w:t xml:space="preserve">When the API returns a failure callback (insufficient float, invalid number, or provider error), the system shall mark the specific farmer's payment as "Failed", log the provider error code and description, and allow the payment officer to retry the failed payment separately without re-initiating the entire batch.</w:t>
      </w:r>
    </w:p>
    <w:p>
      <w:pPr>
        <w:pStyle w:val="BodyText"/>
      </w:pPr>
      <w:r>
        <w:rPr>
          <w:i/>
          <w:iCs/>
        </w:rPr>
        <w:t xml:space="preserve">Acceptance criterion:</w:t>
      </w:r>
      <w:r>
        <w:t xml:space="preserve"> </w:t>
      </w:r>
      <w:r>
        <w:t xml:space="preserve">A batch of 10 where 8 succeed and 2 fail produces 8 "Paid" records and 2 "Failed" records with logged error codes; the retry function re-submits only the 2 failed records.</w:t>
      </w:r>
    </w:p>
    <w:p>
      <w:pPr>
        <w:pStyle w:val="BodyText"/>
      </w:pPr>
      <w:r>
        <w:rPr>
          <w:b/>
          <w:bCs/>
        </w:rPr>
        <w:t xml:space="preserve">FR-COOP-047</w:t>
      </w:r>
      <w:r>
        <w:t xml:space="preserve"> </w:t>
      </w:r>
      <w:r>
        <w:t xml:space="preserve">— When the system has submitted payment instructions and not received a callback within the provider timeout window (configurable, default 120 seconds), the system shall mark the payment status as "Pending — Awaiting Confirmation" and alert the payment officer: "Payment to [Farmer Name] ([phone]) is awaiting confirmation after [timeout] seconds."</w:t>
      </w:r>
    </w:p>
    <w:p>
      <w:pPr>
        <w:pStyle w:val="BodyText"/>
      </w:pPr>
      <w:r>
        <w:rPr>
          <w:i/>
          <w:iCs/>
        </w:rPr>
        <w:t xml:space="preserve">Acceptance criterion:</w:t>
      </w:r>
      <w:r>
        <w:t xml:space="preserve"> </w:t>
      </w:r>
      <w:r>
        <w:t xml:space="preserve">A simulated API timeout of 130 seconds (10 seconds past the 120-second threshold) triggers the alert; the record is marked "Pending — Awaiting Confirmation".</w:t>
      </w:r>
    </w:p>
    <w:p>
      <w:pPr>
        <w:pStyle w:val="BodyText"/>
      </w:pPr>
      <w:r>
        <w:rPr>
          <w:b/>
          <w:bCs/>
        </w:rPr>
        <w:t xml:space="preserve">FR-COOP-048</w:t>
      </w:r>
      <w:r>
        <w:t xml:space="preserve"> </w:t>
      </w:r>
      <w:r>
        <w:t xml:space="preserve">— When the payment batch is fully reconciled (all entries are "Paid", "Failed", or "Cancelled"), the system shall update the batch status to "Completed", post the disbursement journal entry to the Accounting module (Module 01), and mark the corresponding intake entries as "Payment Processed".</w:t>
      </w:r>
    </w:p>
    <w:p>
      <w:pPr>
        <w:pStyle w:val="BodyText"/>
      </w:pPr>
      <w:r>
        <w:rPr>
          <w:i/>
          <w:iCs/>
        </w:rPr>
        <w:t xml:space="preserve">Acceptance criterion:</w:t>
      </w:r>
      <w:r>
        <w:t xml:space="preserve"> </w:t>
      </w:r>
      <w:r>
        <w:t xml:space="preserve">A batch with 198 "Paid" and 2 "Cancelled" entries transitions to "Completed", a journal debit to Farmer Payables and credit to Cash/MoMo Float is posted in Module 01, and all 200 intake entries are marked "Payment Processed".</w:t>
      </w:r>
    </w:p>
    <w:p>
      <w:pPr>
        <w:pStyle w:val="BodyText"/>
      </w:pPr>
      <w:r>
        <w:rPr>
          <w:i/>
          <w:iCs/>
        </w:rPr>
        <w:t xml:space="preserve">Interim decision (baselined, Roadmap GAP-011).</w:t>
      </w:r>
      <w:r>
        <w:t xml:space="preserve"> </w:t>
      </w:r>
      <w:r>
        <w:t xml:space="preserve">The mobile-money disbursement contract is abstracted behind the integration-layer</w:t>
      </w:r>
      <w:r>
        <w:t xml:space="preserve"> </w:t>
      </w:r>
      <w:r>
        <w:rPr>
          <w:rStyle w:val="VerbatimChar"/>
        </w:rPr>
        <w:t xml:space="preserve">MoMoService</w:t>
      </w:r>
      <w:r>
        <w:t xml:space="preserve">; the interim assumption is the provider Bulk Disbursement API with bearer-token authentication. Until live MTN Mobile Money and Airtel Money credentials are provisioned, batches are staged as a disbursement file and reconciled on statement import. The specific live API version and authentication method are confirmed at integration time.</w:t>
      </w:r>
    </w:p>
    <w:p>
      <w:pPr>
        <w:pStyle w:val="BodyText"/>
      </w:pPr>
      <w:r>
        <w:rPr>
          <w:i/>
          <w:iCs/>
        </w:rPr>
        <w:t xml:space="preserve">Interim decision (baselined).</w:t>
      </w:r>
      <w:r>
        <w:t xml:space="preserve"> </w:t>
      </w:r>
      <w:r>
        <w:t xml:space="preserve">Float-balance checking is a pre-disbursement gate: the system verifies available float against the batch total before submission and blocks a batch that would overdraw the float, independent of the provider API response.</w:t>
      </w:r>
    </w:p>
    <w:bookmarkEnd w:id="46"/>
    <w:bookmarkEnd w:id="47"/>
    <w:bookmarkStart w:id="53" w:name="X6ca08a3c5dc05485845e19318d95f01df051e32"/>
    <w:p>
      <w:pPr>
        <w:pStyle w:val="Heading1"/>
      </w:pPr>
      <w:r>
        <w:t xml:space="preserve">6. Statements, Reporting, and Price Management Requirements</w:t>
      </w:r>
    </w:p>
    <w:bookmarkStart w:id="48" w:name="Xdb47e599aadb572582bcb9ea2176f19395e80b1"/>
    <w:p>
      <w:pPr>
        <w:pStyle w:val="Heading2"/>
      </w:pPr>
      <w:r>
        <w:t xml:space="preserve">6.1 Overview</w:t>
      </w:r>
    </w:p>
    <w:p>
      <w:pPr>
        <w:pStyle w:val="FirstParagraph"/>
      </w:pPr>
      <w:r>
        <w:t xml:space="preserve">This section specifies requirements for generating per-farmer statements, seasonal summaries, society-level reports, and for managing the three-tier price model (floor price, market price, premium) that underpins all payment calculations.</w:t>
      </w:r>
    </w:p>
    <w:bookmarkEnd w:id="48"/>
    <w:bookmarkStart w:id="49" w:name="X2bcf746df3f4f7ca1e9c654668b3f2e9efaf945"/>
    <w:p>
      <w:pPr>
        <w:pStyle w:val="Heading2"/>
      </w:pPr>
      <w:r>
        <w:t xml:space="preserve">6.2 Farmer Statements</w:t>
      </w:r>
    </w:p>
    <w:p>
      <w:pPr>
        <w:pStyle w:val="FirstParagraph"/>
      </w:pPr>
      <w:r>
        <w:rPr>
          <w:b/>
          <w:bCs/>
        </w:rPr>
        <w:t xml:space="preserve">FR-COOP-049</w:t>
      </w:r>
      <w:r>
        <w:t xml:space="preserve"> </w:t>
      </w:r>
      <w:r>
        <w:t xml:space="preserve">— When a farmer, collection officer, or administrator requests a farmer statement for a specified season, the system shall generate a statement document containing: farmer name and ID, NIN (masked to last 4 characters), society and group, season name, a line-by-line listing of all intake entries (date, commodity, grade, weight, unit price, gross payment, itemised deductions, net payment), and a totals summary row, within 5 seconds of the request.</w:t>
      </w:r>
    </w:p>
    <w:p>
      <w:pPr>
        <w:pStyle w:val="BodyText"/>
      </w:pPr>
      <w:r>
        <w:rPr>
          <w:i/>
          <w:iCs/>
        </w:rPr>
        <w:t xml:space="preserve">Acceptance criterion:</w:t>
      </w:r>
      <w:r>
        <w:t xml:space="preserve"> </w:t>
      </w:r>
      <w:r>
        <w:t xml:space="preserve">A statement for a farmer with 30 intake entries in a season is generated in ≤ 5 seconds; the totals summary matches the sum of line items (verified independently); NIN displays as "**********ABCDE".</w:t>
      </w:r>
    </w:p>
    <w:p>
      <w:pPr>
        <w:pStyle w:val="BodyText"/>
      </w:pPr>
      <w:r>
        <w:rPr>
          <w:b/>
          <w:bCs/>
        </w:rPr>
        <w:t xml:space="preserve">FR-COOP-050</w:t>
      </w:r>
      <w:r>
        <w:t xml:space="preserve"> </w:t>
      </w:r>
      <w:r>
        <w:t xml:space="preserve">— When a farmer statement is generated, the system shall render it in PDF format suitable for A4 printing with the cooperative's name, logo, and season header on each page, and allow download from the web interface and share via the mobile application.</w:t>
      </w:r>
    </w:p>
    <w:p>
      <w:pPr>
        <w:pStyle w:val="BodyText"/>
      </w:pPr>
      <w:r>
        <w:rPr>
          <w:i/>
          <w:iCs/>
        </w:rPr>
        <w:t xml:space="preserve">Acceptance criterion:</w:t>
      </w:r>
      <w:r>
        <w:t xml:space="preserve"> </w:t>
      </w:r>
      <w:r>
        <w:t xml:space="preserve">The PDF renders correctly on A4, contains the cooperative branding, and is downloadable from the web and shareable from the mobile app.</w:t>
      </w:r>
    </w:p>
    <w:p>
      <w:pPr>
        <w:pStyle w:val="BodyText"/>
      </w:pPr>
      <w:r>
        <w:rPr>
          <w:b/>
          <w:bCs/>
        </w:rPr>
        <w:t xml:space="preserve">FR-COOP-051</w:t>
      </w:r>
      <w:r>
        <w:t xml:space="preserve"> </w:t>
      </w:r>
      <w:r>
        <w:t xml:space="preserve">— When a cooperative manager requests a bulk statement generation for all farmers in a society for a season, the system shall generate all individual statements as a single merged PDF or as a ZIP archive of individual PDFs (configurable), and complete the generation within 60 seconds for up to 500 farmers.</w:t>
      </w:r>
    </w:p>
    <w:p>
      <w:pPr>
        <w:pStyle w:val="BodyText"/>
      </w:pPr>
      <w:r>
        <w:rPr>
          <w:i/>
          <w:iCs/>
        </w:rPr>
        <w:t xml:space="preserve">Acceptance criterion:</w:t>
      </w:r>
      <w:r>
        <w:t xml:space="preserve"> </w:t>
      </w:r>
      <w:r>
        <w:t xml:space="preserve">Bulk generation for 300 farmers completes within 60 seconds and produces a ZIP containing 300 individual PDF files, each correctly named with the farmer ID.</w:t>
      </w:r>
    </w:p>
    <w:bookmarkEnd w:id="49"/>
    <w:bookmarkStart w:id="50" w:name="X123d69f6c0aadb72667336ce5d2435a161843d1"/>
    <w:p>
      <w:pPr>
        <w:pStyle w:val="Heading2"/>
      </w:pPr>
      <w:r>
        <w:t xml:space="preserve">6.3 Seasonal Summaries</w:t>
      </w:r>
    </w:p>
    <w:p>
      <w:pPr>
        <w:pStyle w:val="FirstParagraph"/>
      </w:pPr>
      <w:r>
        <w:rPr>
          <w:b/>
          <w:bCs/>
        </w:rPr>
        <w:t xml:space="preserve">FR-COOP-052</w:t>
      </w:r>
      <w:r>
        <w:t xml:space="preserve"> </w:t>
      </w:r>
      <w:r>
        <w:t xml:space="preserve">— When an administrator requests a seasonal summary report for a season, the system shall produce a report containing: total weight received (kg) by grade and by society, total gross value, total deductions (by type: loan, society levy, union levy), total net disbursed, number of active farmers, number of payment batches, and the batch reconciliation status.</w:t>
      </w:r>
    </w:p>
    <w:p>
      <w:pPr>
        <w:pStyle w:val="BodyText"/>
      </w:pPr>
      <w:r>
        <w:rPr>
          <w:i/>
          <w:iCs/>
        </w:rPr>
        <w:t xml:space="preserve">Acceptance criterion:</w:t>
      </w:r>
      <w:r>
        <w:t xml:space="preserve"> </w:t>
      </w:r>
      <w:r>
        <w:t xml:space="preserve">The seasonal summary totals for weight, gross, deductions, and net are consistent with the sum of all individual farmer statements for the same season (cross-check tolerance: UGX 0 — no rounding discrepancy).</w:t>
      </w:r>
    </w:p>
    <w:p>
      <w:pPr>
        <w:pStyle w:val="BodyText"/>
      </w:pPr>
      <w:r>
        <w:rPr>
          <w:b/>
          <w:bCs/>
        </w:rPr>
        <w:t xml:space="preserve">FR-COOP-053</w:t>
      </w:r>
      <w:r>
        <w:t xml:space="preserve"> </w:t>
      </w:r>
      <w:r>
        <w:t xml:space="preserve">— When an administrator exports the seasonal summary to Excel (</w:t>
      </w:r>
      <w:r>
        <w:rPr>
          <w:rStyle w:val="VerbatimChar"/>
        </w:rPr>
        <w:t xml:space="preserve">.xlsx</w:t>
      </w:r>
      <w:r>
        <w:t xml:space="preserve">), the system shall produce a file with one row per farmer, all numeric columns formatted as numbers (not text), all date columns formatted as ISO 8601 (</w:t>
      </w:r>
      <w:r>
        <w:rPr>
          <w:rStyle w:val="VerbatimChar"/>
        </w:rPr>
        <w:t xml:space="preserve">YYYY-MM-DD</w:t>
      </w:r>
      <w:r>
        <w:t xml:space="preserve">), and column headers in row 1.</w:t>
      </w:r>
    </w:p>
    <w:p>
      <w:pPr>
        <w:pStyle w:val="BodyText"/>
      </w:pPr>
      <w:r>
        <w:rPr>
          <w:i/>
          <w:iCs/>
        </w:rPr>
        <w:t xml:space="preserve">Acceptance criterion:</w:t>
      </w:r>
      <w:r>
        <w:t xml:space="preserve"> </w:t>
      </w:r>
      <w:r>
        <w:t xml:space="preserve">The exported</w:t>
      </w:r>
      <w:r>
        <w:t xml:space="preserve"> </w:t>
      </w:r>
      <w:r>
        <w:rPr>
          <w:rStyle w:val="VerbatimChar"/>
        </w:rPr>
        <w:t xml:space="preserve">.xlsx</w:t>
      </w:r>
      <w:r>
        <w:t xml:space="preserve"> </w:t>
      </w:r>
      <w:r>
        <w:t xml:space="preserve">file opens in Microsoft Excel 365; numeric columns sum correctly using Excel's SUM function; date columns sort correctly in chronological order.</w:t>
      </w:r>
    </w:p>
    <w:bookmarkEnd w:id="50"/>
    <w:bookmarkStart w:id="51" w:name="X3b18a5fff2e961a6304ecacca192d94bfd85b40"/>
    <w:p>
      <w:pPr>
        <w:pStyle w:val="Heading2"/>
      </w:pPr>
      <w:r>
        <w:t xml:space="preserve">6.4 Society Reports</w:t>
      </w:r>
    </w:p>
    <w:p>
      <w:pPr>
        <w:pStyle w:val="FirstParagraph"/>
      </w:pPr>
      <w:r>
        <w:rPr>
          <w:b/>
          <w:bCs/>
        </w:rPr>
        <w:t xml:space="preserve">FR-COOP-054</w:t>
      </w:r>
      <w:r>
        <w:t xml:space="preserve"> </w:t>
      </w:r>
      <w:r>
        <w:t xml:space="preserve">— When a society manager requests a society performance report for a date range, the system shall display: intake volume (kg) by commodity and grade, farmer count, average weight per farmer, total levies collected (society and union), and a comparison to the same period in the prior year (if prior data exists).</w:t>
      </w:r>
    </w:p>
    <w:p>
      <w:pPr>
        <w:pStyle w:val="BodyText"/>
      </w:pPr>
      <w:r>
        <w:rPr>
          <w:i/>
          <w:iCs/>
        </w:rPr>
        <w:t xml:space="preserve">Acceptance criterion:</w:t>
      </w:r>
      <w:r>
        <w:t xml:space="preserve"> </w:t>
      </w:r>
      <w:r>
        <w:t xml:space="preserve">Report for "Butebo Primary Cooperative Society" Q1 2025 shows correct totals and, when prior-year data exists, displays the year-on-year delta as a percentage.</w:t>
      </w:r>
    </w:p>
    <w:p>
      <w:pPr>
        <w:pStyle w:val="BodyText"/>
      </w:pPr>
      <w:r>
        <w:rPr>
          <w:b/>
          <w:bCs/>
        </w:rPr>
        <w:t xml:space="preserve">FR-COOP-055</w:t>
      </w:r>
      <w:r>
        <w:t xml:space="preserve"> </w:t>
      </w:r>
      <w:r>
        <w:t xml:space="preserve">— When a society treasurer requests a levy collection report for a season, the system shall list all levy deductions by levy type, the total collected per levy type, and the remittance status (pending transfer to union / transferred) with the transfer reference where applicable.</w:t>
      </w:r>
    </w:p>
    <w:p>
      <w:pPr>
        <w:pStyle w:val="BodyText"/>
      </w:pPr>
      <w:r>
        <w:rPr>
          <w:i/>
          <w:iCs/>
        </w:rPr>
        <w:t xml:space="preserve">Acceptance criterion:</w:t>
      </w:r>
      <w:r>
        <w:t xml:space="preserve"> </w:t>
      </w:r>
      <w:r>
        <w:t xml:space="preserve">The levy report shows society levy total = UGX X and union levy total = UGX Y with distinct remittance statuses; totals match the sum of levy lines on all individual payment records.</w:t>
      </w:r>
    </w:p>
    <w:bookmarkEnd w:id="51"/>
    <w:bookmarkStart w:id="52" w:name="Xa4b6e14ae5f84b3d0f7ab8269a762d3cc99ebc6"/>
    <w:p>
      <w:pPr>
        <w:pStyle w:val="Heading2"/>
      </w:pPr>
      <w:r>
        <w:t xml:space="preserve">6.5 Price Management</w:t>
      </w:r>
    </w:p>
    <w:p>
      <w:pPr>
        <w:pStyle w:val="FirstParagraph"/>
      </w:pPr>
      <w:r>
        <w:rPr>
          <w:b/>
          <w:bCs/>
        </w:rPr>
        <w:t xml:space="preserve">FR-COOP-056</w:t>
      </w:r>
      <w:r>
        <w:t xml:space="preserve"> </w:t>
      </w:r>
      <w:r>
        <w:t xml:space="preserve">— When a price administrator sets a market price for a commodity-grade-season combination, the system shall store the market price, record the effective date, and use the market price as the default unit price on new intake entries unless the market price is below the configured floor price, in which case the floor price is applied.</w:t>
      </w:r>
    </w:p>
    <w:p>
      <w:pPr>
        <w:pStyle w:val="BodyText"/>
      </w:pPr>
      <m:oMath>
        <m:r>
          <m:t>A</m:t>
        </m:r>
        <m:r>
          <m:t>p</m:t>
        </m:r>
        <m:r>
          <m:t>p</m:t>
        </m:r>
        <m:r>
          <m:t>l</m:t>
        </m:r>
        <m:r>
          <m:t>i</m:t>
        </m:r>
        <m:r>
          <m:t>e</m:t>
        </m:r>
        <m:r>
          <m:t>d</m:t>
        </m:r>
        <m:r>
          <m:t>P</m:t>
        </m:r>
        <m:r>
          <m:t>r</m:t>
        </m:r>
        <m:r>
          <m:t>i</m:t>
        </m:r>
        <m:r>
          <m:t>c</m:t>
        </m:r>
        <m:r>
          <m:t>e</m:t>
        </m:r>
        <m:r>
          <m:rPr>
            <m:sty m:val="p"/>
          </m:rPr>
          <m:t>=</m:t>
        </m:r>
        <m:r>
          <m:rPr>
            <m:sty m:val="p"/>
          </m:rPr>
          <m:t>max</m:t>
        </m:r>
        <m:r>
          <m:rPr>
            <m:sty m:val="p"/>
          </m:rPr>
          <m:t>(</m:t>
        </m:r>
        <m:r>
          <m:t>M</m:t>
        </m:r>
        <m:r>
          <m:t>a</m:t>
        </m:r>
        <m:r>
          <m:t>r</m:t>
        </m:r>
        <m:r>
          <m:t>k</m:t>
        </m:r>
        <m:r>
          <m:t>e</m:t>
        </m:r>
        <m:r>
          <m:t>t</m:t>
        </m:r>
        <m:r>
          <m:t>P</m:t>
        </m:r>
        <m:r>
          <m:t>r</m:t>
        </m:r>
        <m:r>
          <m:t>i</m:t>
        </m:r>
        <m:r>
          <m:t>c</m:t>
        </m:r>
        <m:r>
          <m:t>e</m:t>
        </m:r>
        <m:r>
          <m:rPr>
            <m:sty m:val="p"/>
          </m:rPr>
          <m:t>,</m:t>
        </m:r>
        <m:r>
          <m:t>F</m:t>
        </m:r>
        <m:r>
          <m:t>l</m:t>
        </m:r>
        <m:r>
          <m:t>o</m:t>
        </m:r>
        <m:r>
          <m:t>o</m:t>
        </m:r>
        <m:r>
          <m:t>r</m:t>
        </m:r>
        <m:r>
          <m:t>P</m:t>
        </m:r>
        <m:r>
          <m:t>r</m:t>
        </m:r>
        <m:r>
          <m:t>i</m:t>
        </m:r>
        <m:r>
          <m:t>c</m:t>
        </m:r>
        <m:r>
          <m:t>e</m:t>
        </m:r>
        <m:r>
          <m:rPr>
            <m:sty m:val="p"/>
          </m:rPr>
          <m:t>)</m:t>
        </m:r>
      </m:oMath>
    </w:p>
    <w:p>
      <w:pPr>
        <w:pStyle w:val="BodyText"/>
      </w:pPr>
      <w:r>
        <w:rPr>
          <w:i/>
          <w:iCs/>
        </w:rPr>
        <w:t xml:space="preserve">Acceptance criterion:</w:t>
      </w:r>
      <w:r>
        <w:t xml:space="preserve"> </w:t>
      </w:r>
      <w:r>
        <w:t xml:space="preserve">MarketPrice = UGX 380/kg, FloorPrice = UGX 400/kg → applied price = UGX 400 on intake entries. MarketPrice = UGX 470/kg, FloorPrice = UGX 400/kg → applied price = UGX 470.</w:t>
      </w:r>
    </w:p>
    <w:p>
      <w:pPr>
        <w:pStyle w:val="BodyText"/>
      </w:pPr>
      <w:r>
        <w:rPr>
          <w:b/>
          <w:bCs/>
        </w:rPr>
        <w:t xml:space="preserve">FR-COOP-057</w:t>
      </w:r>
      <w:r>
        <w:t xml:space="preserve"> </w:t>
      </w:r>
      <w:r>
        <w:t xml:space="preserve">— When a price administrator views the price history for a commodity-grade, the system shall display a chronological list of all price changes for all seasons, showing: effective date, price type (floor / market / effective), value (UGX), and the user who set the price.</w:t>
      </w:r>
    </w:p>
    <w:p>
      <w:pPr>
        <w:pStyle w:val="BodyText"/>
      </w:pPr>
      <w:r>
        <w:rPr>
          <w:i/>
          <w:iCs/>
        </w:rPr>
        <w:t xml:space="preserve">Acceptance criterion:</w:t>
      </w:r>
      <w:r>
        <w:t xml:space="preserve"> </w:t>
      </w:r>
      <w:r>
        <w:t xml:space="preserve">Price history for "Arabica Coffee Grade A" shows all historical price records in descending date order; each row includes the setting user and timestamp.</w:t>
      </w:r>
    </w:p>
    <w:p>
      <w:pPr>
        <w:pStyle w:val="BodyText"/>
      </w:pPr>
      <w:r>
        <w:rPr>
          <w:b/>
          <w:bCs/>
        </w:rPr>
        <w:t xml:space="preserve">FR-COOP-058</w:t>
      </w:r>
      <w:r>
        <w:t xml:space="preserve"> </w:t>
      </w:r>
      <w:r>
        <w:t xml:space="preserve">— When a price administrator attempts to set a floor price lower than the union's published minimum support price (if configured), the system shall display a warning: "Floor price UGX [value] is below the union's minimum support price of UGX [MSP]. Confirm override?" and require explicit confirmation before saving.</w:t>
      </w:r>
    </w:p>
    <w:p>
      <w:pPr>
        <w:pStyle w:val="BodyText"/>
      </w:pPr>
      <w:r>
        <w:rPr>
          <w:i/>
          <w:iCs/>
        </w:rPr>
        <w:t xml:space="preserve">Acceptance criterion:</w:t>
      </w:r>
      <w:r>
        <w:t xml:space="preserve"> </w:t>
      </w:r>
      <w:r>
        <w:t xml:space="preserve">MSP = UGX 420/kg; attempting floor price = UGX 410/kg triggers the warning; the price is only saved after the administrator confirms.</w:t>
      </w:r>
    </w:p>
    <w:p>
      <w:pPr>
        <w:pStyle w:val="BodyText"/>
      </w:pPr>
      <w:r>
        <w:rPr>
          <w:i/>
          <w:iCs/>
        </w:rPr>
        <w:t xml:space="preserve">Interim decision (baselined).</w:t>
      </w:r>
      <w:r>
        <w:t xml:space="preserve"> </w:t>
      </w:r>
      <w:r>
        <w:t xml:space="preserve">The minimum support price (e.g., a UCDA-published floor) is entered and maintained manually by the tenant administrator in the commodity pricing configuration, with effective-dated history.</w:t>
      </w:r>
      <w:r>
        <w:t xml:space="preserve"> </w:t>
      </w:r>
      <w:r>
        <w:rPr>
          <w:i/>
          <w:iCs/>
        </w:rPr>
        <w:t xml:space="preserve">(Roadmap — automated price-schedule fetch from a commodity-board API.)</w:t>
      </w:r>
    </w:p>
    <w:bookmarkEnd w:id="52"/>
    <w:bookmarkEnd w:id="53"/>
    <w:bookmarkStart w:id="59" w:name="X1f072ed7576342afd5d44267db124f2f911a6f9"/>
    <w:p>
      <w:pPr>
        <w:pStyle w:val="Heading1"/>
      </w:pPr>
      <w:r>
        <w:t xml:space="preserve">7. Offline Mobile Intake Requirements</w:t>
      </w:r>
    </w:p>
    <w:bookmarkStart w:id="54" w:name="Xd5aa20d3879535509f670caba433c6ff498c106"/>
    <w:p>
      <w:pPr>
        <w:pStyle w:val="Heading2"/>
      </w:pPr>
      <w:r>
        <w:t xml:space="preserve">7.1 Overview</w:t>
      </w:r>
    </w:p>
    <w:p>
      <w:pPr>
        <w:pStyle w:val="FirstParagraph"/>
      </w:pPr>
      <w:r>
        <w:t xml:space="preserve">This section specifies requirements for the mobile application's offline intake capability. Collection centres in rural Uganda, Kenya, and Rwanda frequently have no reliable internet access. The system shall sustain full intake recording for a continuous offline period of up to 72 hours, then synchronise without data loss when connectivity is restored.</w:t>
      </w:r>
    </w:p>
    <w:bookmarkEnd w:id="54"/>
    <w:bookmarkStart w:id="55" w:name="Xc7f9ad601851daa49075c9ed2a7d871d33b9370"/>
    <w:p>
      <w:pPr>
        <w:pStyle w:val="Heading2"/>
      </w:pPr>
      <w:r>
        <w:t xml:space="preserve">7.2 Offline Mode Activation and Duration</w:t>
      </w:r>
    </w:p>
    <w:p>
      <w:pPr>
        <w:pStyle w:val="FirstParagraph"/>
      </w:pPr>
      <w:r>
        <w:rPr>
          <w:b/>
          <w:bCs/>
        </w:rPr>
        <w:t xml:space="preserve">FR-COOP-059</w:t>
      </w:r>
      <w:r>
        <w:t xml:space="preserve"> </w:t>
      </w:r>
      <w:r>
        <w:t xml:space="preserve">— When the mobile application detects that internet connectivity is unavailable (zero HTTP response within 10 seconds of a connectivity probe), the system shall automatically switch to offline mode, display a persistent banner: "Offline mode — data will sync when connected", and continue to accept intake entries using the locally cached commodity, grade, price, and farmer data.</w:t>
      </w:r>
    </w:p>
    <w:p>
      <w:pPr>
        <w:pStyle w:val="BodyText"/>
      </w:pPr>
      <w:r>
        <w:rPr>
          <w:i/>
          <w:iCs/>
        </w:rPr>
        <w:t xml:space="preserve">Acceptance criterion:</w:t>
      </w:r>
      <w:r>
        <w:t xml:space="preserve"> </w:t>
      </w:r>
      <w:r>
        <w:t xml:space="preserve">With Wi-Fi disabled, the app displays the offline banner within 10 seconds and successfully records 5 intake entries; no data loss occurs.</w:t>
      </w:r>
    </w:p>
    <w:p>
      <w:pPr>
        <w:pStyle w:val="BodyText"/>
      </w:pPr>
      <w:r>
        <w:rPr>
          <w:b/>
          <w:bCs/>
        </w:rPr>
        <w:t xml:space="preserve">FR-COOP-060</w:t>
      </w:r>
      <w:r>
        <w:t xml:space="preserve"> </w:t>
      </w:r>
      <w:r>
        <w:t xml:space="preserve">— When the device has been in offline mode for 68 hours (4 hours before the 72-hour limit), the system shall display a warning notification: "Offline mode expires in 4 hours. Connect to internet to sync data." When the device reaches 72 hours of continuous offline operation without syncing, the system shall lock new intake entry creation and display: "Offline data limit reached. Sync required before recording more intake."</w:t>
      </w:r>
    </w:p>
    <w:p>
      <w:pPr>
        <w:pStyle w:val="BodyText"/>
      </w:pPr>
      <w:r>
        <w:rPr>
          <w:i/>
          <w:iCs/>
        </w:rPr>
        <w:t xml:space="preserve">Acceptance criterion:</w:t>
      </w:r>
      <w:r>
        <w:t xml:space="preserve"> </w:t>
      </w:r>
      <w:r>
        <w:t xml:space="preserve">The 68-hour warning is displayed at exactly 68 hours (± 5 minutes); at 72 hours the intake form is disabled and the lock message is displayed.</w:t>
      </w:r>
    </w:p>
    <w:bookmarkEnd w:id="55"/>
    <w:bookmarkStart w:id="56" w:name="X1e2b2bc416ac25514d38091fd3095cbb5e4db55"/>
    <w:p>
      <w:pPr>
        <w:pStyle w:val="Heading2"/>
      </w:pPr>
      <w:r>
        <w:t xml:space="preserve">7.3 Local Data Storage</w:t>
      </w:r>
    </w:p>
    <w:p>
      <w:pPr>
        <w:pStyle w:val="FirstParagraph"/>
      </w:pPr>
      <w:r>
        <w:rPr>
          <w:b/>
          <w:bCs/>
        </w:rPr>
        <w:t xml:space="preserve">FR-COOP-061</w:t>
      </w:r>
      <w:r>
        <w:t xml:space="preserve"> </w:t>
      </w:r>
      <w:r>
        <w:t xml:space="preserve">— When a collection officer records an intake entry in offline mode, the system shall persist the entry to the device's local encrypted database, assign a temporary local reference number (prefixed</w:t>
      </w:r>
      <w:r>
        <w:t xml:space="preserve"> </w:t>
      </w:r>
      <w:r>
        <w:rPr>
          <w:rStyle w:val="VerbatimChar"/>
        </w:rPr>
        <w:t xml:space="preserve">TMP-</w:t>
      </w:r>
      <w:r>
        <w:t xml:space="preserve">), and include: farmer ID, commodity, grade, weight, date, GPS timestamp of the device, and the device's offline session ID.</w:t>
      </w:r>
    </w:p>
    <w:p>
      <w:pPr>
        <w:pStyle w:val="BodyText"/>
      </w:pPr>
      <w:r>
        <w:rPr>
          <w:i/>
          <w:iCs/>
        </w:rPr>
        <w:t xml:space="preserve">Acceptance criterion:</w:t>
      </w:r>
      <w:r>
        <w:t xml:space="preserve"> </w:t>
      </w:r>
      <w:r>
        <w:t xml:space="preserve">50 intake entries recorded offline are visible in the offline queue with</w:t>
      </w:r>
      <w:r>
        <w:t xml:space="preserve"> </w:t>
      </w:r>
      <w:r>
        <w:rPr>
          <w:rStyle w:val="VerbatimChar"/>
        </w:rPr>
        <w:t xml:space="preserve">TMP-</w:t>
      </w:r>
      <w:r>
        <w:t xml:space="preserve"> </w:t>
      </w:r>
      <w:r>
        <w:t xml:space="preserve">prefixed references; the local database file is AES-256 encrypted; entries are not accessible outside the application sandbox.</w:t>
      </w:r>
    </w:p>
    <w:bookmarkEnd w:id="56"/>
    <w:bookmarkStart w:id="57" w:name="X014cd745ebe012ac1e3c2f68f9683e71b9ceac0"/>
    <w:p>
      <w:pPr>
        <w:pStyle w:val="Heading2"/>
      </w:pPr>
      <w:r>
        <w:t xml:space="preserve">7.4 Sync and Conflict Resolution</w:t>
      </w:r>
    </w:p>
    <w:p>
      <w:pPr>
        <w:pStyle w:val="FirstParagraph"/>
      </w:pPr>
      <w:r>
        <w:rPr>
          <w:b/>
          <w:bCs/>
        </w:rPr>
        <w:t xml:space="preserve">FR-COOP-062</w:t>
      </w:r>
      <w:r>
        <w:t xml:space="preserve"> </w:t>
      </w:r>
      <w:r>
        <w:t xml:space="preserve">— When internet connectivity is restored, the mobile application shall automatically initiate a sync within 30 seconds of detecting connectivity, transmit all locally queued intake entries to the server in chronological order, and display a sync progress indicator with the count of entries pending and entries confirmed.</w:t>
      </w:r>
    </w:p>
    <w:p>
      <w:pPr>
        <w:pStyle w:val="BodyText"/>
      </w:pPr>
      <w:r>
        <w:rPr>
          <w:i/>
          <w:iCs/>
        </w:rPr>
        <w:t xml:space="preserve">Acceptance criterion:</w:t>
      </w:r>
      <w:r>
        <w:t xml:space="preserve"> </w:t>
      </w:r>
      <w:r>
        <w:t xml:space="preserve">On Wi-Fi re-connection, sync begins within 30 seconds; a queue of 40 entries is transmitted and confirmed within 60 seconds on a 3G-equivalent connection (1 Mbps downlink, 512 kbps uplink).</w:t>
      </w:r>
    </w:p>
    <w:p>
      <w:pPr>
        <w:pStyle w:val="BodyText"/>
      </w:pPr>
      <w:r>
        <w:rPr>
          <w:b/>
          <w:bCs/>
        </w:rPr>
        <w:t xml:space="preserve">FR-COOP-063</w:t>
      </w:r>
      <w:r>
        <w:t xml:space="preserve"> </w:t>
      </w:r>
      <w:r>
        <w:t xml:space="preserve">— When the server receives a synced intake entry and a conflicting entry for the same farmer on the same date and commodity already exists (submitted by another device or user), the system shall:</w:t>
      </w:r>
    </w:p>
    <w:p>
      <w:pPr>
        <w:pStyle w:val="Compact"/>
        <w:numPr>
          <w:ilvl w:val="0"/>
          <w:numId w:val="1008"/>
        </w:numPr>
      </w:pPr>
      <w:r>
        <w:t xml:space="preserve">Retain both entries in a conflict queue.</w:t>
      </w:r>
    </w:p>
    <w:p>
      <w:pPr>
        <w:pStyle w:val="Compact"/>
        <w:numPr>
          <w:ilvl w:val="0"/>
          <w:numId w:val="1008"/>
        </w:numPr>
      </w:pPr>
      <w:r>
        <w:t xml:space="preserve">Notify the sync initiator: "Conflict detected for Farmer [Name] on [Date] — [N] entries require manual review."</w:t>
      </w:r>
    </w:p>
    <w:p>
      <w:pPr>
        <w:pStyle w:val="Compact"/>
        <w:numPr>
          <w:ilvl w:val="0"/>
          <w:numId w:val="1008"/>
        </w:numPr>
      </w:pPr>
      <w:r>
        <w:t xml:space="preserve">Present both entries side-by-side for the supervisor to resolve by selecting the authoritative entry or merging the weights.</w:t>
      </w:r>
    </w:p>
    <w:p>
      <w:pPr>
        <w:pStyle w:val="Compact"/>
        <w:numPr>
          <w:ilvl w:val="0"/>
          <w:numId w:val="1008"/>
        </w:numPr>
      </w:pPr>
      <w:r>
        <w:t xml:space="preserve">Archive the rejected entry with status "Conflict — Rejected" and retain it in the audit log.</w:t>
      </w:r>
    </w:p>
    <w:p>
      <w:pPr>
        <w:pStyle w:val="FirstParagraph"/>
      </w:pPr>
      <w:r>
        <w:rPr>
          <w:i/>
          <w:iCs/>
        </w:rPr>
        <w:t xml:space="preserve">Acceptance criterion:</w:t>
      </w:r>
      <w:r>
        <w:t xml:space="preserve"> </w:t>
      </w:r>
      <w:r>
        <w:t xml:space="preserve">A simulated conflict produces the notification, the side-by-side review screen, and after resolution the winning entry is posted and the losing entry is archived as "Conflict — Rejected".</w:t>
      </w:r>
    </w:p>
    <w:p>
      <w:pPr>
        <w:pStyle w:val="BodyText"/>
      </w:pPr>
      <w:r>
        <w:rPr>
          <w:b/>
          <w:bCs/>
        </w:rPr>
        <w:t xml:space="preserve">FR-COOP-064</w:t>
      </w:r>
      <w:r>
        <w:t xml:space="preserve"> </w:t>
      </w:r>
      <w:r>
        <w:t xml:space="preserve">— When a sync is interrupted mid-transmission (connectivity drops before all entries are confirmed), the system shall resume the sync from the last unconfirmed entry on the next connectivity event without duplicating any already-confirmed entries.</w:t>
      </w:r>
    </w:p>
    <w:p>
      <w:pPr>
        <w:pStyle w:val="BodyText"/>
      </w:pPr>
      <w:r>
        <w:rPr>
          <w:i/>
          <w:iCs/>
        </w:rPr>
        <w:t xml:space="preserve">Acceptance criterion:</w:t>
      </w:r>
      <w:r>
        <w:t xml:space="preserve"> </w:t>
      </w:r>
      <w:r>
        <w:t xml:space="preserve">Interrupt a sync after 20 of 40 entries are confirmed; on reconnection, only the remaining 20 are retransmitted; the server receives a total of exactly 40 unique entries.</w:t>
      </w:r>
    </w:p>
    <w:bookmarkEnd w:id="57"/>
    <w:bookmarkStart w:id="58" w:name="Xf7d25d69a3d550d5867471ff170c0cdf9ab40a3"/>
    <w:p>
      <w:pPr>
        <w:pStyle w:val="Heading2"/>
      </w:pPr>
      <w:r>
        <w:t xml:space="preserve">7.5 Offline Data Security</w:t>
      </w:r>
    </w:p>
    <w:p>
      <w:pPr>
        <w:pStyle w:val="FirstParagraph"/>
      </w:pPr>
      <w:r>
        <w:rPr>
          <w:b/>
          <w:bCs/>
        </w:rPr>
        <w:t xml:space="preserve">FR-COOP-065</w:t>
      </w:r>
      <w:r>
        <w:t xml:space="preserve"> </w:t>
      </w:r>
      <w:r>
        <w:t xml:space="preserve">— When the mobile application is installed on a device, the local offline database shall be encrypted using AES-256 with a key derived from the authenticated user's session token; the database shall be wiped (all offline data deleted) if the user logs out, the session is remotely revoked, or the device is reported as lost by an administrator.</w:t>
      </w:r>
    </w:p>
    <w:p>
      <w:pPr>
        <w:pStyle w:val="BodyText"/>
      </w:pPr>
      <w:r>
        <w:rPr>
          <w:i/>
          <w:iCs/>
        </w:rPr>
        <w:t xml:space="preserve">Acceptance criterion:</w:t>
      </w:r>
      <w:r>
        <w:t xml:space="preserve"> </w:t>
      </w:r>
      <w:r>
        <w:t xml:space="preserve">Remote device revocation by an administrator triggers database wipe within 60 seconds on a connected device; on a disconnected device, the wipe executes on the next app launch after connectivity is restored. Local database files are unreadable when extracted from the device and opened outside the application.</w:t>
      </w:r>
    </w:p>
    <w:p>
      <w:pPr>
        <w:pStyle w:val="BodyText"/>
      </w:pPr>
      <w:r>
        <w:rPr>
          <w:i/>
          <w:iCs/>
        </w:rPr>
        <w:t xml:space="preserve">Interim decision (baselined).</w:t>
      </w:r>
      <w:r>
        <w:t xml:space="preserve"> </w:t>
      </w:r>
      <w:r>
        <w:t xml:space="preserve">The offline collection app targets Android first, using SQLite for the encrypted local store; an iOS build (SQLite via the same sync contract) is a Roadmap item. The sync protocol is platform-independent so the second platform reuses it without server change.</w:t>
      </w:r>
    </w:p>
    <w:p>
      <w:pPr>
        <w:pStyle w:val="BodyText"/>
      </w:pPr>
      <w:r>
        <w:rPr>
          <w:i/>
          <w:iCs/>
        </w:rPr>
        <w:t xml:space="preserve">Interim decision (baselined).</w:t>
      </w:r>
      <w:r>
        <w:t xml:space="preserve"> </w:t>
      </w:r>
      <w:r>
        <w:t xml:space="preserve">The minimum supported device is Android 9 (API level 28) with at least 2 GB RAM and 200 MB free application storage, which sizes the 72-hour offline footprint for a single collection centre. Devices below this baseline are unsupported.</w:t>
      </w:r>
    </w:p>
    <w:bookmarkEnd w:id="58"/>
    <w:bookmarkEnd w:id="59"/>
    <w:bookmarkStart w:id="67" w:name="X28edbc7fccd13f64af3229f07bd3bcecc0073fc"/>
    <w:p>
      <w:pPr>
        <w:pStyle w:val="Heading1"/>
      </w:pPr>
      <w:r>
        <w:t xml:space="preserve">8. Non-Functional Requirements</w:t>
      </w:r>
    </w:p>
    <w:bookmarkStart w:id="60" w:name="X991e6a3616925da4bffdb6cc31fb063302b7e43"/>
    <w:p>
      <w:pPr>
        <w:pStyle w:val="Heading2"/>
      </w:pPr>
      <w:r>
        <w:t xml:space="preserve">8.1 Performance</w:t>
      </w:r>
    </w:p>
    <w:p>
      <w:pPr>
        <w:pStyle w:val="FirstParagraph"/>
      </w:pPr>
      <w:r>
        <w:rPr>
          <w:b/>
          <w:bCs/>
        </w:rPr>
        <w:t xml:space="preserve">NFR-COOP-001</w:t>
      </w:r>
      <w:r>
        <w:t xml:space="preserve"> </w:t>
      </w:r>
      <w:r>
        <w:t xml:space="preserve">— Intake entry submission (FR-COOP-026) shall complete — from the officer tapping "Save" to the system displaying the confirmed gross payment — within 3 seconds at the 95th percentile (P95) under normal operating load, defined as ≤ 50 concurrent intake sessions per tenant.</w:t>
      </w:r>
    </w:p>
    <w:p>
      <w:pPr>
        <w:pStyle w:val="BodyText"/>
      </w:pPr>
      <w:r>
        <w:rPr>
          <w:i/>
          <w:iCs/>
        </w:rPr>
        <w:t xml:space="preserve">Measurement:</w:t>
      </w:r>
      <w:r>
        <w:t xml:space="preserve"> </w:t>
      </w:r>
      <w:r>
        <w:t xml:space="preserve">Load test with 50 concurrent virtual users each submitting one intake entry per 10 seconds; P95 response time ≤ 3,000 ms.</w:t>
      </w:r>
    </w:p>
    <w:p>
      <w:pPr>
        <w:pStyle w:val="BodyText"/>
      </w:pPr>
      <w:r>
        <w:rPr>
          <w:b/>
          <w:bCs/>
        </w:rPr>
        <w:t xml:space="preserve">NFR-COOP-002</w:t>
      </w:r>
      <w:r>
        <w:t xml:space="preserve"> </w:t>
      </w:r>
      <w:r>
        <w:t xml:space="preserve">— Farmer statement generation for a single farmer (FR-COOP-049) shall complete within 5 seconds at P95 for a season containing ≤ 500 intake entries for that farmer.</w:t>
      </w:r>
    </w:p>
    <w:p>
      <w:pPr>
        <w:pStyle w:val="BodyText"/>
      </w:pPr>
      <w:r>
        <w:rPr>
          <w:i/>
          <w:iCs/>
        </w:rPr>
        <w:t xml:space="preserve">Measurement:</w:t>
      </w:r>
      <w:r>
        <w:t xml:space="preserve"> </w:t>
      </w:r>
      <w:r>
        <w:t xml:space="preserve">Automated test generating a statement for a farmer with 500 entries; P95 ≤ 5,000 ms over 20 test runs.</w:t>
      </w:r>
    </w:p>
    <w:p>
      <w:pPr>
        <w:pStyle w:val="BodyText"/>
      </w:pPr>
      <w:r>
        <w:rPr>
          <w:b/>
          <w:bCs/>
        </w:rPr>
        <w:t xml:space="preserve">NFR-COOP-003</w:t>
      </w:r>
      <w:r>
        <w:t xml:space="preserve"> </w:t>
      </w:r>
      <w:r>
        <w:t xml:space="preserve">— Bulk farmer statement generation (FR-COOP-051) shall complete within 60 seconds for up to 500 farmers in a society, measured from request initiation to the file download being available.</w:t>
      </w:r>
    </w:p>
    <w:p>
      <w:pPr>
        <w:pStyle w:val="BodyText"/>
      </w:pPr>
      <w:r>
        <w:rPr>
          <w:i/>
          <w:iCs/>
        </w:rPr>
        <w:t xml:space="preserve">Measurement:</w:t>
      </w:r>
      <w:r>
        <w:t xml:space="preserve"> </w:t>
      </w:r>
      <w:r>
        <w:t xml:space="preserve">Test with a society of 500 farmers; generation completes and the download link appears within 60 seconds.</w:t>
      </w:r>
    </w:p>
    <w:p>
      <w:pPr>
        <w:pStyle w:val="BodyText"/>
      </w:pPr>
      <w:r>
        <w:rPr>
          <w:b/>
          <w:bCs/>
        </w:rPr>
        <w:t xml:space="preserve">NFR-COOP-004</w:t>
      </w:r>
      <w:r>
        <w:t xml:space="preserve"> </w:t>
      </w:r>
      <w:r>
        <w:t xml:space="preserve">— The hierarchy tree view (FR-COOP-021) shall render within 3 seconds at P95 for a hierarchy containing up to 10,000 farmer records.</w:t>
      </w:r>
    </w:p>
    <w:p>
      <w:pPr>
        <w:pStyle w:val="BodyText"/>
      </w:pPr>
      <w:r>
        <w:rPr>
          <w:i/>
          <w:iCs/>
        </w:rPr>
        <w:t xml:space="preserve">Measurement:</w:t>
      </w:r>
      <w:r>
        <w:t xml:space="preserve"> </w:t>
      </w:r>
      <w:r>
        <w:t xml:space="preserve">Performance test with a seeded hierarchy of 10,000 farmers; P95 first meaningful paint ≤ 3,000 ms.</w:t>
      </w:r>
    </w:p>
    <w:p>
      <w:pPr>
        <w:pStyle w:val="BodyText"/>
      </w:pPr>
      <w:r>
        <w:rPr>
          <w:b/>
          <w:bCs/>
        </w:rPr>
        <w:t xml:space="preserve">NFR-COOP-005</w:t>
      </w:r>
      <w:r>
        <w:t xml:space="preserve"> </w:t>
      </w:r>
      <w:r>
        <w:t xml:space="preserve">— Mobile money bulk payment API calls (FR-COOP-045) shall be submitted to the provider at a rate of ≥ 10 payment requests per second to avoid provider rate-limit throttling, with the full batch of 500 payments submitted within 50 seconds.</w:t>
      </w:r>
    </w:p>
    <w:p>
      <w:pPr>
        <w:pStyle w:val="BodyText"/>
      </w:pPr>
      <w:r>
        <w:rPr>
          <w:i/>
          <w:iCs/>
        </w:rPr>
        <w:t xml:space="preserve">Measurement:</w:t>
      </w:r>
      <w:r>
        <w:t xml:space="preserve"> </w:t>
      </w:r>
      <w:r>
        <w:t xml:space="preserve">Batch of 500 payments: all API calls submitted within 50 seconds (500 ÷ 10 = 50 s).</w:t>
      </w:r>
    </w:p>
    <w:bookmarkEnd w:id="60"/>
    <w:bookmarkStart w:id="61" w:name="Xf024a1835f18e207b55359937f9f08ed4bb8eda"/>
    <w:p>
      <w:pPr>
        <w:pStyle w:val="Heading2"/>
      </w:pPr>
      <w:r>
        <w:t xml:space="preserve">8.2 Reliability and Availability</w:t>
      </w:r>
    </w:p>
    <w:p>
      <w:pPr>
        <w:pStyle w:val="FirstParagraph"/>
      </w:pPr>
      <w:r>
        <w:rPr>
          <w:b/>
          <w:bCs/>
        </w:rPr>
        <w:t xml:space="preserve">NFR-COOP-006</w:t>
      </w:r>
      <w:r>
        <w:t xml:space="preserve"> </w:t>
      </w:r>
      <w:r>
        <w:t xml:space="preserve">— The Outgrower &amp; Farmer Operations module shall achieve a monthly uptime of ≥ 99.5% (scheduled maintenance windows excluded), equivalent to a maximum of 3.65 hours of unplanned downtime per month.</w:t>
      </w:r>
    </w:p>
    <w:p>
      <w:pPr>
        <w:pStyle w:val="BodyText"/>
      </w:pPr>
      <w:r>
        <w:rPr>
          <w:i/>
          <w:iCs/>
        </w:rPr>
        <w:t xml:space="preserve">Measurement:</w:t>
      </w:r>
      <w:r>
        <w:t xml:space="preserve"> </w:t>
      </w:r>
      <w:r>
        <w:t xml:space="preserve">Uptime monitoring via synthetic health check at 60-second intervals; SLA reported monthly.</w:t>
      </w:r>
    </w:p>
    <w:p>
      <w:pPr>
        <w:pStyle w:val="BodyText"/>
      </w:pPr>
      <w:r>
        <w:rPr>
          <w:b/>
          <w:bCs/>
        </w:rPr>
        <w:t xml:space="preserve">NFR-COOP-007</w:t>
      </w:r>
      <w:r>
        <w:t xml:space="preserve"> </w:t>
      </w:r>
      <w:r>
        <w:t xml:space="preserve">— The offline sync engine (Section 7) shall achieve zero data loss for any intake entry recorded while offline, validated by comparing the count of entries in the device's local queue at sync-start with the count of entries confirmed on the server at sync-end.</w:t>
      </w:r>
    </w:p>
    <w:p>
      <w:pPr>
        <w:pStyle w:val="BodyText"/>
      </w:pPr>
      <w:r>
        <w:rPr>
          <w:i/>
          <w:iCs/>
        </w:rPr>
        <w:t xml:space="preserve">Measurement:</w:t>
      </w:r>
      <w:r>
        <w:t xml:space="preserve"> </w:t>
      </w:r>
      <w:r>
        <w:t xml:space="preserve">End-to-end sync test with 200 offline entries across 3 simulated connectivity interruptions; server receives exactly 200 unique entries.</w:t>
      </w:r>
    </w:p>
    <w:p>
      <w:pPr>
        <w:pStyle w:val="BodyText"/>
      </w:pPr>
      <w:r>
        <w:rPr>
          <w:b/>
          <w:bCs/>
        </w:rPr>
        <w:t xml:space="preserve">NFR-COOP-008</w:t>
      </w:r>
      <w:r>
        <w:t xml:space="preserve"> </w:t>
      </w:r>
      <w:r>
        <w:t xml:space="preserve">— The weighbridge RS-232 integration (Section 4.4) shall recover from a serial port disconnect and reconnect (cable pull-and-re-insert) within 10 seconds without requiring the collection officer to restart the application.</w:t>
      </w:r>
    </w:p>
    <w:p>
      <w:pPr>
        <w:pStyle w:val="BodyText"/>
      </w:pPr>
      <w:r>
        <w:rPr>
          <w:i/>
          <w:iCs/>
        </w:rPr>
        <w:t xml:space="preserve">Measurement:</w:t>
      </w:r>
      <w:r>
        <w:t xml:space="preserve"> </w:t>
      </w:r>
      <w:r>
        <w:t xml:space="preserve">Physical RS-232 disconnect and reconnect during an active intake session; the capture button resumes functioning within 10 seconds.</w:t>
      </w:r>
    </w:p>
    <w:bookmarkEnd w:id="61"/>
    <w:bookmarkStart w:id="62" w:name="Xd206c7a7817f0e664d36f05c896119a269af5ac"/>
    <w:p>
      <w:pPr>
        <w:pStyle w:val="Heading2"/>
      </w:pPr>
      <w:r>
        <w:t xml:space="preserve">8.3 Security</w:t>
      </w:r>
    </w:p>
    <w:p>
      <w:pPr>
        <w:pStyle w:val="FirstParagraph"/>
      </w:pPr>
      <w:r>
        <w:rPr>
          <w:b/>
          <w:bCs/>
        </w:rPr>
        <w:t xml:space="preserve">NFR-COOP-009</w:t>
      </w:r>
      <w:r>
        <w:t xml:space="preserve"> </w:t>
      </w:r>
      <w:r>
        <w:t xml:space="preserve">— All farmer PII (personally identifiable information) stored in the database — including NIN, phone number, bank account number, and GPS coordinates — shall be encrypted at rest using AES-256 with tenant-specific encryption keys managed by the platform's key management service.</w:t>
      </w:r>
    </w:p>
    <w:p>
      <w:pPr>
        <w:pStyle w:val="BodyText"/>
      </w:pPr>
      <w:r>
        <w:rPr>
          <w:i/>
          <w:iCs/>
        </w:rPr>
        <w:t xml:space="preserve">Measurement:</w:t>
      </w:r>
      <w:r>
        <w:t xml:space="preserve"> </w:t>
      </w:r>
      <w:r>
        <w:t xml:space="preserve">Database column-level encryption audit; raw database dump shall contain no plaintext NIN or phone number values. Verified by extracting a raw row and confirming the NIN field is ciphertext.</w:t>
      </w:r>
    </w:p>
    <w:p>
      <w:pPr>
        <w:pStyle w:val="BodyText"/>
      </w:pPr>
      <w:r>
        <w:rPr>
          <w:b/>
          <w:bCs/>
        </w:rPr>
        <w:t xml:space="preserve">NFR-COOP-010</w:t>
      </w:r>
      <w:r>
        <w:t xml:space="preserve"> </w:t>
      </w:r>
      <w:r>
        <w:t xml:space="preserve">— All API endpoints for the Outgrower &amp; Farmer Operations module shall require a valid JSON Web Token (JWT) bearing the authenticated user's tenant ID and role claims; requests without a valid JWT shall return HTTP 401 within 200 ms.</w:t>
      </w:r>
    </w:p>
    <w:p>
      <w:pPr>
        <w:pStyle w:val="BodyText"/>
      </w:pPr>
      <w:r>
        <w:rPr>
          <w:i/>
          <w:iCs/>
        </w:rPr>
        <w:t xml:space="preserve">Measurement:</w:t>
      </w:r>
      <w:r>
        <w:t xml:space="preserve"> </w:t>
      </w:r>
      <w:r>
        <w:t xml:space="preserve">Automated security test sending requests without a token, with an expired token, and with a token from a different tenant; all three cases return HTTP 401.</w:t>
      </w:r>
    </w:p>
    <w:p>
      <w:pPr>
        <w:pStyle w:val="BodyText"/>
      </w:pPr>
      <w:r>
        <w:rPr>
          <w:b/>
          <w:bCs/>
        </w:rPr>
        <w:t xml:space="preserve">NFR-COOP-011</w:t>
      </w:r>
      <w:r>
        <w:t xml:space="preserve"> </w:t>
      </w:r>
      <w:r>
        <w:t xml:space="preserve">— Role-based access control shall enforce the following minimum permission boundaries: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Role</w:t>
            </w:r>
          </w:p>
        </w:tc>
        <w:tc>
          <w:tcPr/>
          <w:p>
            <w:pPr>
              <w:pStyle w:val="Compact"/>
            </w:pPr>
            <w:r>
              <w:rPr>
                <w:b/>
                <w:bCs/>
              </w:rPr>
              <w:t xml:space="preserve">Permitted Actions</w:t>
            </w:r>
          </w:p>
        </w:tc>
      </w:tr>
      <w:tr>
        <w:tc>
          <w:tcPr/>
          <w:p>
            <w:pPr>
              <w:pStyle w:val="Compact"/>
            </w:pPr>
            <w:r>
              <w:t xml:space="preserve">Collection Officer</w:t>
            </w:r>
          </w:p>
        </w:tc>
        <w:tc>
          <w:tcPr/>
          <w:p>
            <w:pPr>
              <w:pStyle w:val="Compact"/>
            </w:pPr>
            <w:r>
              <w:t xml:space="preserve">Record intake, view own entries</w:t>
            </w:r>
          </w:p>
        </w:tc>
      </w:tr>
      <w:tr>
        <w:tc>
          <w:tcPr/>
          <w:p>
            <w:pPr>
              <w:pStyle w:val="Compact"/>
            </w:pPr>
            <w:r>
              <w:t xml:space="preserve">Society Manager</w:t>
            </w:r>
          </w:p>
        </w:tc>
        <w:tc>
          <w:tcPr/>
          <w:p>
            <w:pPr>
              <w:pStyle w:val="Compact"/>
            </w:pPr>
            <w:r>
              <w:t xml:space="preserve">View all society entries, approve batches, generate statements</w:t>
            </w:r>
          </w:p>
        </w:tc>
      </w:tr>
      <w:tr>
        <w:tc>
          <w:tcPr/>
          <w:p>
            <w:pPr>
              <w:pStyle w:val="Compact"/>
            </w:pPr>
            <w:r>
              <w:t xml:space="preserve">Payment Officer</w:t>
            </w:r>
          </w:p>
        </w:tc>
        <w:tc>
          <w:tcPr/>
          <w:p>
            <w:pPr>
              <w:pStyle w:val="Compact"/>
            </w:pPr>
            <w:r>
              <w:t xml:space="preserve">Initiate and manage payment batches</w:t>
            </w:r>
          </w:p>
        </w:tc>
      </w:tr>
      <w:tr>
        <w:tc>
          <w:tcPr/>
          <w:p>
            <w:pPr>
              <w:pStyle w:val="Compact"/>
            </w:pPr>
            <w:r>
              <w:t xml:space="preserve">Administrator</w:t>
            </w:r>
          </w:p>
        </w:tc>
        <w:tc>
          <w:tcPr/>
          <w:p>
            <w:pPr>
              <w:pStyle w:val="Compact"/>
            </w:pPr>
            <w:r>
              <w:t xml:space="preserve">Full configuration, user management, price management</w:t>
            </w:r>
          </w:p>
        </w:tc>
      </w:tr>
      <w:tr>
        <w:tc>
          <w:tcPr/>
          <w:p>
            <w:pPr>
              <w:pStyle w:val="Compact"/>
            </w:pPr>
            <w:r>
              <w:t xml:space="preserve">Auditor</w:t>
            </w:r>
          </w:p>
        </w:tc>
        <w:tc>
          <w:tcPr/>
          <w:p>
            <w:pPr>
              <w:pStyle w:val="Compact"/>
            </w:pPr>
            <w:r>
              <w:t xml:space="preserve">Read-only access to all records and audit logs</w:t>
            </w:r>
          </w:p>
        </w:tc>
      </w:tr>
    </w:tbl>
    <w:p>
      <w:pPr>
        <w:pStyle w:val="BodyText"/>
      </w:pPr>
      <w:r>
        <w:rPr>
          <w:i/>
          <w:iCs/>
        </w:rPr>
        <w:t xml:space="preserve">Measurement:</w:t>
      </w:r>
      <w:r>
        <w:t xml:space="preserve"> </w:t>
      </w:r>
      <w:r>
        <w:t xml:space="preserve">RBAC penetration test: each role attempts an action outside its boundary; all out-of-boundary attempts return HTTP 403.</w:t>
      </w:r>
    </w:p>
    <w:p>
      <w:pPr>
        <w:pStyle w:val="BodyText"/>
      </w:pPr>
      <w:r>
        <w:rPr>
          <w:b/>
          <w:bCs/>
        </w:rPr>
        <w:t xml:space="preserve">NFR-COOP-012</w:t>
      </w:r>
      <w:r>
        <w:t xml:space="preserve"> </w:t>
      </w:r>
      <w:r>
        <w:t xml:space="preserve">— The mobile application's local offline database shall be encrypted with AES-256 (FR-COOP-065); the encryption key shall never be stored in plaintext on the device file system or in application logs.</w:t>
      </w:r>
    </w:p>
    <w:p>
      <w:pPr>
        <w:pStyle w:val="BodyText"/>
      </w:pPr>
      <w:r>
        <w:rPr>
          <w:i/>
          <w:iCs/>
        </w:rPr>
        <w:t xml:space="preserve">Measurement:</w:t>
      </w:r>
      <w:r>
        <w:t xml:space="preserve"> </w:t>
      </w:r>
      <w:r>
        <w:t xml:space="preserve">Static analysis of the mobile app binary and log output; no plaintext key material is found.</w:t>
      </w:r>
    </w:p>
    <w:bookmarkEnd w:id="62"/>
    <w:bookmarkStart w:id="63" w:name="X568d96ef3fe52cea6cf4da0522eeb8e311605e8"/>
    <w:p>
      <w:pPr>
        <w:pStyle w:val="Heading2"/>
      </w:pPr>
      <w:r>
        <w:t xml:space="preserve">8.4 Compliance and Regulatory</w:t>
      </w:r>
    </w:p>
    <w:p>
      <w:pPr>
        <w:pStyle w:val="FirstParagraph"/>
      </w:pPr>
      <w:r>
        <w:rPr>
          <w:b/>
          <w:bCs/>
        </w:rPr>
        <w:t xml:space="preserve">NFR-COOP-013</w:t>
      </w:r>
      <w:r>
        <w:t xml:space="preserve"> </w:t>
      </w:r>
      <w:r>
        <w:t xml:space="preserve">— Farmer NIN data handling shall comply with Uganda's Data Protection and Privacy Act, 2019, including: purpose limitation (NIN used only for farmer identity verification), data minimisation (only NIN and not the full NIRA record is stored), and the right of access (a farmer may request a printout of their stored personal data within 72 hours of the request).</w:t>
      </w:r>
    </w:p>
    <w:p>
      <w:pPr>
        <w:pStyle w:val="BodyText"/>
      </w:pPr>
      <w:r>
        <w:rPr>
          <w:i/>
          <w:iCs/>
        </w:rPr>
        <w:t xml:space="preserve">Measurement:</w:t>
      </w:r>
      <w:r>
        <w:t xml:space="preserve"> </w:t>
      </w:r>
      <w:r>
        <w:t xml:space="preserve">Compliance checklist audit against the Act; the data access request feature is demonstrated to retrieve and print a farmer's stored data.</w:t>
      </w:r>
    </w:p>
    <w:p>
      <w:pPr>
        <w:pStyle w:val="BodyText"/>
      </w:pPr>
      <w:r>
        <w:rPr>
          <w:b/>
          <w:bCs/>
        </w:rPr>
        <w:t xml:space="preserve">NFR-COOP-014</w:t>
      </w:r>
      <w:r>
        <w:t xml:space="preserve"> </w:t>
      </w:r>
      <w:r>
        <w:t xml:space="preserve">— Payment records, intake entries, and farmer ledger entries shall be retained for a minimum of 7 years from the close of the season in which they were created, in compliance with Uganda's Income Tax Act retention requirements.</w:t>
      </w:r>
    </w:p>
    <w:p>
      <w:pPr>
        <w:pStyle w:val="BodyText"/>
      </w:pPr>
      <w:r>
        <w:rPr>
          <w:i/>
          <w:iCs/>
        </w:rPr>
        <w:t xml:space="preserve">Measurement:</w:t>
      </w:r>
      <w:r>
        <w:t xml:space="preserve"> </w:t>
      </w:r>
      <w:r>
        <w:t xml:space="preserve">Data retention policy configuration verified in the platform's data lifecycle settings; records aged &gt; 7 years are the only records eligible for archival deletion.</w:t>
      </w:r>
    </w:p>
    <w:p>
      <w:pPr>
        <w:pStyle w:val="BodyText"/>
      </w:pPr>
      <w:r>
        <w:rPr>
          <w:b/>
          <w:bCs/>
        </w:rPr>
        <w:t xml:space="preserve">NFR-COOP-015</w:t>
      </w:r>
      <w:r>
        <w:t xml:space="preserve"> </w:t>
      </w:r>
      <w:r>
        <w:t xml:space="preserve">— For Kenya tenants, the module shall generate KTDA-compatible payment advice reports in a configurable payment-advice export whose field layout and file format (CSV, PDF, or XML) are set in the tenant commodity-board reporting profile.</w:t>
      </w:r>
      <w:r>
        <w:t xml:space="preserve"> </w:t>
      </w:r>
      <w:r>
        <w:rPr>
          <w:i/>
          <w:iCs/>
        </w:rPr>
        <w:t xml:space="preserve">(Roadmap — board-certified KTDA Factory Management System template, pending the published field specification.)</w:t>
      </w:r>
    </w:p>
    <w:bookmarkEnd w:id="63"/>
    <w:bookmarkStart w:id="64" w:name="X608f90513dbb30f8aeed0cdde657a350661e8a9"/>
    <w:p>
      <w:pPr>
        <w:pStyle w:val="Heading2"/>
      </w:pPr>
      <w:r>
        <w:t xml:space="preserve">8.5 Scalability</w:t>
      </w:r>
    </w:p>
    <w:p>
      <w:pPr>
        <w:pStyle w:val="FirstParagraph"/>
      </w:pPr>
      <w:r>
        <w:rPr>
          <w:b/>
          <w:bCs/>
        </w:rPr>
        <w:t xml:space="preserve">NFR-COOP-016</w:t>
      </w:r>
      <w:r>
        <w:t xml:space="preserve"> </w:t>
      </w:r>
      <w:r>
        <w:t xml:space="preserve">— The module shall support up to 100,000 registered farmers per tenant without degradation of intake entry P95 response time below the threshold defined in NFR-COOP-001.</w:t>
      </w:r>
    </w:p>
    <w:p>
      <w:pPr>
        <w:pStyle w:val="BodyText"/>
      </w:pPr>
      <w:r>
        <w:rPr>
          <w:i/>
          <w:iCs/>
        </w:rPr>
        <w:t xml:space="preserve">Measurement:</w:t>
      </w:r>
      <w:r>
        <w:t xml:space="preserve"> </w:t>
      </w:r>
      <w:r>
        <w:t xml:space="preserve">Load test with a seeded database of 100,000 farmers; intake entry P95 ≤ 3,000 ms.</w:t>
      </w:r>
    </w:p>
    <w:p>
      <w:pPr>
        <w:pStyle w:val="BodyText"/>
      </w:pPr>
      <w:r>
        <w:rPr>
          <w:b/>
          <w:bCs/>
        </w:rPr>
        <w:t xml:space="preserve">NFR-COOP-017</w:t>
      </w:r>
      <w:r>
        <w:t xml:space="preserve"> </w:t>
      </w:r>
      <w:r>
        <w:t xml:space="preserve">— A single payment batch shall support up to 5,000 farmer payment records without exceeding the submission time defined in NFR-COOP-005 (scaled proportionally: 5,000 payments ≤ 500 seconds).</w:t>
      </w:r>
    </w:p>
    <w:p>
      <w:pPr>
        <w:pStyle w:val="BodyText"/>
      </w:pPr>
      <w:r>
        <w:rPr>
          <w:i/>
          <w:iCs/>
        </w:rPr>
        <w:t xml:space="preserve">Measurement:</w:t>
      </w:r>
      <w:r>
        <w:t xml:space="preserve"> </w:t>
      </w:r>
      <w:r>
        <w:t xml:space="preserve">Batch of 5,000 payments submitted; all API calls dispatched within 500 seconds.</w:t>
      </w:r>
    </w:p>
    <w:bookmarkEnd w:id="64"/>
    <w:bookmarkStart w:id="65" w:name="X90e157ea1caa6e90adb9d07a7833dae93d4d771"/>
    <w:p>
      <w:pPr>
        <w:pStyle w:val="Heading2"/>
      </w:pPr>
      <w:r>
        <w:t xml:space="preserve">8.6 Usability</w:t>
      </w:r>
    </w:p>
    <w:p>
      <w:pPr>
        <w:pStyle w:val="FirstParagraph"/>
      </w:pPr>
      <w:r>
        <w:rPr>
          <w:b/>
          <w:bCs/>
        </w:rPr>
        <w:t xml:space="preserve">NFR-COOP-018</w:t>
      </w:r>
      <w:r>
        <w:t xml:space="preserve"> </w:t>
      </w:r>
      <w:r>
        <w:t xml:space="preserve">— A collection officer with no prior system training shall be able to record a complete intake entry (select farmer, select commodity/grade, capture weight, save) within 90 seconds after a 30-minute onboarding session on the mobile application.</w:t>
      </w:r>
    </w:p>
    <w:p>
      <w:pPr>
        <w:pStyle w:val="BodyText"/>
      </w:pPr>
      <w:r>
        <w:rPr>
          <w:i/>
          <w:iCs/>
        </w:rPr>
        <w:t xml:space="preserve">Measurement:</w:t>
      </w:r>
      <w:r>
        <w:t xml:space="preserve"> </w:t>
      </w:r>
      <w:r>
        <w:t xml:space="preserve">Usability test with 5 representative collection officers; median task completion time ≤ 90 seconds on the third attempt.</w:t>
      </w:r>
    </w:p>
    <w:p>
      <w:pPr>
        <w:pStyle w:val="BodyText"/>
      </w:pPr>
      <w:r>
        <w:rPr>
          <w:b/>
          <w:bCs/>
        </w:rPr>
        <w:t xml:space="preserve">NFR-COOP-019</w:t>
      </w:r>
      <w:r>
        <w:t xml:space="preserve"> </w:t>
      </w:r>
      <w:r>
        <w:t xml:space="preserve">— All user-facing error messages in the mobile application shall be available in English and Luganda; the language is set per user profile. Translation strings are supplied through the localisation language-pack mechanism; Chwezi Core ships the baseline English and Luganda packs, and a tenant may override any string.</w:t>
      </w:r>
      <w:r>
        <w:t xml:space="preserve"> </w:t>
      </w:r>
      <w:r>
        <w:rPr>
          <w:i/>
          <w:iCs/>
        </w:rPr>
        <w:t xml:space="preserve">(Roadmap — additional regional-language packs.)</w:t>
      </w:r>
    </w:p>
    <w:bookmarkEnd w:id="65"/>
    <w:bookmarkStart w:id="66" w:name="Xdcb918c4f74acbcfaba21cd7d79cc700bef11b5"/>
    <w:p>
      <w:pPr>
        <w:pStyle w:val="Heading2"/>
      </w:pPr>
      <w:r>
        <w:t xml:space="preserve">8.7 Maintainability</w:t>
      </w:r>
    </w:p>
    <w:p>
      <w:pPr>
        <w:pStyle w:val="FirstParagraph"/>
      </w:pPr>
      <w:r>
        <w:rPr>
          <w:b/>
          <w:bCs/>
        </w:rPr>
        <w:t xml:space="preserve">NFR-COOP-020</w:t>
      </w:r>
      <w:r>
        <w:t xml:space="preserve"> </w:t>
      </w:r>
      <w:r>
        <w:t xml:space="preserve">— The RS-232 weighbridge integration driver (Section 4.4) shall be implemented as a configurable plugin; adding support for a new weighbridge model shall require only a new parse-pattern configuration entry and shall not require code changes to the core intake recording flow.</w:t>
      </w:r>
    </w:p>
    <w:p>
      <w:pPr>
        <w:pStyle w:val="BodyText"/>
      </w:pPr>
      <w:r>
        <w:rPr>
          <w:i/>
          <w:iCs/>
        </w:rPr>
        <w:t xml:space="preserve">Measurement:</w:t>
      </w:r>
      <w:r>
        <w:t xml:space="preserve"> </w:t>
      </w:r>
      <w:r>
        <w:t xml:space="preserve">A new weighbridge model is integrated by adding a parse pattern to the configuration screen; no source code deployment is required; the new device captures weight correctly.</w:t>
      </w:r>
    </w:p>
    <w:bookmarkEnd w:id="66"/>
    <w:bookmarkEnd w:id="67"/>
    <w:bookmarkStart w:id="71" w:name="X6ae51479d4f61b2da7b0fdfa37dc5ed71763b70"/>
    <w:p>
      <w:pPr>
        <w:pStyle w:val="Heading1"/>
      </w:pPr>
      <w:r>
        <w:t xml:space="preserve">9. Traceability Matrix and Context Gap Register</w:t>
      </w:r>
    </w:p>
    <w:bookmarkStart w:id="68" w:name="X122f09d2a3d9a15480fcf96f5ae2de08cbc66e7"/>
    <w:p>
      <w:pPr>
        <w:pStyle w:val="Heading2"/>
      </w:pPr>
      <w:r>
        <w:t xml:space="preserve">9.1 FR-to-Business-Goal Traceability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Requirement ID</w:t>
            </w:r>
          </w:p>
        </w:tc>
        <w:tc>
          <w:tcPr/>
          <w:p>
            <w:pPr>
              <w:pStyle w:val="Compact"/>
            </w:pPr>
            <w:r>
              <w:rPr>
                <w:b/>
                <w:bCs/>
              </w:rPr>
              <w:t xml:space="preserve">Requirement Summary</w:t>
            </w:r>
          </w:p>
        </w:tc>
        <w:tc>
          <w:tcPr/>
          <w:p>
            <w:pPr>
              <w:pStyle w:val="Compact"/>
            </w:pPr>
            <w:r>
              <w:rPr>
                <w:b/>
                <w:bCs/>
              </w:rPr>
              <w:t xml:space="preserve">Business Goal</w:t>
            </w:r>
          </w:p>
        </w:tc>
        <w:tc>
          <w:tcPr/>
          <w:p>
            <w:pPr>
              <w:pStyle w:val="Compact"/>
            </w:pPr>
            <w:r>
              <w:rPr>
                <w:b/>
                <w:bCs/>
              </w:rPr>
              <w:t xml:space="preserve">Section</w:t>
            </w:r>
          </w:p>
        </w:tc>
      </w:tr>
      <w:tr>
        <w:tc>
          <w:tcPr/>
          <w:p>
            <w:pPr>
              <w:pStyle w:val="Compact"/>
            </w:pPr>
            <w:r>
              <w:t xml:space="preserve">FR-COOP-001</w:t>
            </w:r>
          </w:p>
        </w:tc>
        <w:tc>
          <w:tcPr/>
          <w:p>
            <w:pPr>
              <w:pStyle w:val="Compact"/>
            </w:pPr>
            <w:r>
              <w:t xml:space="preserve">Create commodity type record</w:t>
            </w:r>
          </w:p>
        </w:tc>
        <w:tc>
          <w:tcPr/>
          <w:p>
            <w:pPr>
              <w:pStyle w:val="Compact"/>
            </w:pPr>
            <w:r>
              <w:t xml:space="preserve">BG-COOP-01</w:t>
            </w:r>
          </w:p>
        </w:tc>
        <w:tc>
          <w:tcPr/>
          <w:p>
            <w:pPr>
              <w:pStyle w:val="Compact"/>
            </w:pPr>
            <w:r>
              <w:t xml:space="preserve">2.2</w:t>
            </w:r>
          </w:p>
        </w:tc>
      </w:tr>
      <w:tr>
        <w:tc>
          <w:tcPr/>
          <w:p>
            <w:pPr>
              <w:pStyle w:val="Compact"/>
            </w:pPr>
            <w:r>
              <w:t xml:space="preserve">FR-COOP-002</w:t>
            </w:r>
          </w:p>
        </w:tc>
        <w:tc>
          <w:tcPr/>
          <w:p>
            <w:pPr>
              <w:pStyle w:val="Compact"/>
            </w:pPr>
            <w:r>
              <w:t xml:space="preserve">Reject duplicate commodity name</w:t>
            </w:r>
          </w:p>
        </w:tc>
        <w:tc>
          <w:tcPr/>
          <w:p>
            <w:pPr>
              <w:pStyle w:val="Compact"/>
            </w:pPr>
            <w:r>
              <w:t xml:space="preserve">BG-COOP-01</w:t>
            </w:r>
          </w:p>
        </w:tc>
        <w:tc>
          <w:tcPr/>
          <w:p>
            <w:pPr>
              <w:pStyle w:val="Compact"/>
            </w:pPr>
            <w:r>
              <w:t xml:space="preserve">2.2</w:t>
            </w:r>
          </w:p>
        </w:tc>
      </w:tr>
      <w:tr>
        <w:tc>
          <w:tcPr/>
          <w:p>
            <w:pPr>
              <w:pStyle w:val="Compact"/>
            </w:pPr>
            <w:r>
              <w:t xml:space="preserve">FR-COOP-003</w:t>
            </w:r>
          </w:p>
        </w:tc>
        <w:tc>
          <w:tcPr/>
          <w:p>
            <w:pPr>
              <w:pStyle w:val="Compact"/>
            </w:pPr>
            <w:r>
              <w:t xml:space="preserve">Deactivate commodity without data loss</w:t>
            </w:r>
          </w:p>
        </w:tc>
        <w:tc>
          <w:tcPr/>
          <w:p>
            <w:pPr>
              <w:pStyle w:val="Compact"/>
            </w:pPr>
            <w:r>
              <w:t xml:space="preserve">BG-COOP-01</w:t>
            </w:r>
          </w:p>
        </w:tc>
        <w:tc>
          <w:tcPr/>
          <w:p>
            <w:pPr>
              <w:pStyle w:val="Compact"/>
            </w:pPr>
            <w:r>
              <w:t xml:space="preserve">2.2</w:t>
            </w:r>
          </w:p>
        </w:tc>
      </w:tr>
      <w:tr>
        <w:tc>
          <w:tcPr/>
          <w:p>
            <w:pPr>
              <w:pStyle w:val="Compact"/>
            </w:pPr>
            <w:r>
              <w:t xml:space="preserve">FR-COOP-004</w:t>
            </w:r>
          </w:p>
        </w:tc>
        <w:tc>
          <w:tcPr/>
          <w:p>
            <w:pPr>
              <w:pStyle w:val="Compact"/>
            </w:pPr>
            <w:r>
              <w:t xml:space="preserve">Add grade to commodity</w:t>
            </w:r>
          </w:p>
        </w:tc>
        <w:tc>
          <w:tcPr/>
          <w:p>
            <w:pPr>
              <w:pStyle w:val="Compact"/>
            </w:pPr>
            <w:r>
              <w:t xml:space="preserve">BG-COOP-01</w:t>
            </w:r>
          </w:p>
        </w:tc>
        <w:tc>
          <w:tcPr/>
          <w:p>
            <w:pPr>
              <w:pStyle w:val="Compact"/>
            </w:pPr>
            <w:r>
              <w:t xml:space="preserve">2.3</w:t>
            </w:r>
          </w:p>
        </w:tc>
      </w:tr>
      <w:tr>
        <w:tc>
          <w:tcPr/>
          <w:p>
            <w:pPr>
              <w:pStyle w:val="Compact"/>
            </w:pPr>
            <w:r>
              <w:t xml:space="preserve">FR-COOP-005</w:t>
            </w:r>
          </w:p>
        </w:tc>
        <w:tc>
          <w:tcPr/>
          <w:p>
            <w:pPr>
              <w:pStyle w:val="Compact"/>
            </w:pPr>
            <w:r>
              <w:t xml:space="preserve">Deactivate grade with batch warning</w:t>
            </w:r>
          </w:p>
        </w:tc>
        <w:tc>
          <w:tcPr/>
          <w:p>
            <w:pPr>
              <w:pStyle w:val="Compact"/>
            </w:pPr>
            <w:r>
              <w:t xml:space="preserve">BG-COOP-01</w:t>
            </w:r>
          </w:p>
        </w:tc>
        <w:tc>
          <w:tcPr/>
          <w:p>
            <w:pPr>
              <w:pStyle w:val="Compact"/>
            </w:pPr>
            <w:r>
              <w:t xml:space="preserve">2.3</w:t>
            </w:r>
          </w:p>
        </w:tc>
      </w:tr>
      <w:tr>
        <w:tc>
          <w:tcPr/>
          <w:p>
            <w:pPr>
              <w:pStyle w:val="Compact"/>
            </w:pPr>
            <w:r>
              <w:t xml:space="preserve">FR-COOP-006</w:t>
            </w:r>
          </w:p>
        </w:tc>
        <w:tc>
          <w:tcPr/>
          <w:p>
            <w:pPr>
              <w:pStyle w:val="Compact"/>
            </w:pPr>
            <w:r>
              <w:t xml:space="preserve">Assign grade price to season</w:t>
            </w:r>
          </w:p>
        </w:tc>
        <w:tc>
          <w:tcPr/>
          <w:p>
            <w:pPr>
              <w:pStyle w:val="Compact"/>
            </w:pPr>
            <w:r>
              <w:t xml:space="preserve">BG-COOP-02</w:t>
            </w:r>
          </w:p>
        </w:tc>
        <w:tc>
          <w:tcPr/>
          <w:p>
            <w:pPr>
              <w:pStyle w:val="Compact"/>
            </w:pPr>
            <w:r>
              <w:t xml:space="preserve">2.3</w:t>
            </w:r>
          </w:p>
        </w:tc>
      </w:tr>
      <w:tr>
        <w:tc>
          <w:tcPr/>
          <w:p>
            <w:pPr>
              <w:pStyle w:val="Compact"/>
            </w:pPr>
            <w:r>
              <w:t xml:space="preserve">FR-COOP-007</w:t>
            </w:r>
          </w:p>
        </w:tc>
        <w:tc>
          <w:tcPr/>
          <w:p>
            <w:pPr>
              <w:pStyle w:val="Compact"/>
            </w:pPr>
            <w:r>
              <w:t xml:space="preserve">Enforce floor price on intake</w:t>
            </w:r>
          </w:p>
        </w:tc>
        <w:tc>
          <w:tcPr/>
          <w:p>
            <w:pPr>
              <w:pStyle w:val="Compact"/>
            </w:pPr>
            <w:r>
              <w:t xml:space="preserve">BG-COOP-02</w:t>
            </w:r>
          </w:p>
        </w:tc>
        <w:tc>
          <w:tcPr/>
          <w:p>
            <w:pPr>
              <w:pStyle w:val="Compact"/>
            </w:pPr>
            <w:r>
              <w:t xml:space="preserve">2.4</w:t>
            </w:r>
          </w:p>
        </w:tc>
      </w:tr>
      <w:tr>
        <w:tc>
          <w:tcPr/>
          <w:p>
            <w:pPr>
              <w:pStyle w:val="Compact"/>
            </w:pPr>
            <w:r>
              <w:t xml:space="preserve">FR-COOP-008</w:t>
            </w:r>
          </w:p>
        </w:tc>
        <w:tc>
          <w:tcPr/>
          <w:p>
            <w:pPr>
              <w:pStyle w:val="Compact"/>
            </w:pPr>
            <w:r>
              <w:t xml:space="preserve">Apply price change prospectively</w:t>
            </w:r>
          </w:p>
        </w:tc>
        <w:tc>
          <w:tcPr/>
          <w:p>
            <w:pPr>
              <w:pStyle w:val="Compact"/>
            </w:pPr>
            <w:r>
              <w:t xml:space="preserve">BG-COOP-02</w:t>
            </w:r>
          </w:p>
        </w:tc>
        <w:tc>
          <w:tcPr/>
          <w:p>
            <w:pPr>
              <w:pStyle w:val="Compact"/>
            </w:pPr>
            <w:r>
              <w:t xml:space="preserve">2.4</w:t>
            </w:r>
          </w:p>
        </w:tc>
      </w:tr>
      <w:tr>
        <w:tc>
          <w:tcPr/>
          <w:p>
            <w:pPr>
              <w:pStyle w:val="Compact"/>
            </w:pPr>
            <w:r>
              <w:t xml:space="preserve">FR-COOP-009</w:t>
            </w:r>
          </w:p>
        </w:tc>
        <w:tc>
          <w:tcPr/>
          <w:p>
            <w:pPr>
              <w:pStyle w:val="Compact"/>
            </w:pPr>
            <w:r>
              <w:t xml:space="preserve">Premium price calculation</w:t>
            </w:r>
          </w:p>
        </w:tc>
        <w:tc>
          <w:tcPr/>
          <w:p>
            <w:pPr>
              <w:pStyle w:val="Compact"/>
            </w:pPr>
            <w:r>
              <w:t xml:space="preserve">BG-COOP-02</w:t>
            </w:r>
          </w:p>
        </w:tc>
        <w:tc>
          <w:tcPr/>
          <w:p>
            <w:pPr>
              <w:pStyle w:val="Compact"/>
            </w:pPr>
            <w:r>
              <w:t xml:space="preserve">2.4</w:t>
            </w:r>
          </w:p>
        </w:tc>
      </w:tr>
      <w:tr>
        <w:tc>
          <w:tcPr/>
          <w:p>
            <w:pPr>
              <w:pStyle w:val="Compact"/>
            </w:pPr>
            <w:r>
              <w:t xml:space="preserve">FR-COOP-010</w:t>
            </w:r>
          </w:p>
        </w:tc>
        <w:tc>
          <w:tcPr/>
          <w:p>
            <w:pPr>
              <w:pStyle w:val="Compact"/>
            </w:pPr>
            <w:r>
              <w:t xml:space="preserve">Seasonal intake window auto-open/close</w:t>
            </w:r>
          </w:p>
        </w:tc>
        <w:tc>
          <w:tcPr/>
          <w:p>
            <w:pPr>
              <w:pStyle w:val="Compact"/>
            </w:pPr>
            <w:r>
              <w:t xml:space="preserve">BG-COOP-01</w:t>
            </w:r>
          </w:p>
        </w:tc>
        <w:tc>
          <w:tcPr/>
          <w:p>
            <w:pPr>
              <w:pStyle w:val="Compact"/>
            </w:pPr>
            <w:r>
              <w:t xml:space="preserve">2.5</w:t>
            </w:r>
          </w:p>
        </w:tc>
      </w:tr>
      <w:tr>
        <w:tc>
          <w:tcPr/>
          <w:p>
            <w:pPr>
              <w:pStyle w:val="Compact"/>
            </w:pPr>
            <w:r>
              <w:t xml:space="preserve">FR-COOP-011</w:t>
            </w:r>
          </w:p>
        </w:tc>
        <w:tc>
          <w:tcPr/>
          <w:p>
            <w:pPr>
              <w:pStyle w:val="Compact"/>
            </w:pPr>
            <w:r>
              <w:t xml:space="preserve">Farmer record creation with NIN validation</w:t>
            </w:r>
          </w:p>
        </w:tc>
        <w:tc>
          <w:tcPr/>
          <w:p>
            <w:pPr>
              <w:pStyle w:val="Compact"/>
            </w:pPr>
            <w:r>
              <w:t xml:space="preserve">BG-COOP-01</w:t>
            </w:r>
          </w:p>
        </w:tc>
        <w:tc>
          <w:tcPr/>
          <w:p>
            <w:pPr>
              <w:pStyle w:val="Compact"/>
            </w:pPr>
            <w:r>
              <w:t xml:space="preserve">3.2</w:t>
            </w:r>
          </w:p>
        </w:tc>
      </w:tr>
      <w:tr>
        <w:tc>
          <w:tcPr/>
          <w:p>
            <w:pPr>
              <w:pStyle w:val="Compact"/>
            </w:pPr>
            <w:r>
              <w:t xml:space="preserve">FR-COOP-012</w:t>
            </w:r>
          </w:p>
        </w:tc>
        <w:tc>
          <w:tcPr/>
          <w:p>
            <w:pPr>
              <w:pStyle w:val="Compact"/>
            </w:pPr>
            <w:r>
              <w:t xml:space="preserve">Reject duplicate NIN</w:t>
            </w:r>
          </w:p>
        </w:tc>
        <w:tc>
          <w:tcPr/>
          <w:p>
            <w:pPr>
              <w:pStyle w:val="Compact"/>
            </w:pPr>
            <w:r>
              <w:t xml:space="preserve">BG-COOP-01</w:t>
            </w:r>
          </w:p>
        </w:tc>
        <w:tc>
          <w:tcPr/>
          <w:p>
            <w:pPr>
              <w:pStyle w:val="Compact"/>
            </w:pPr>
            <w:r>
              <w:t xml:space="preserve">3.2</w:t>
            </w:r>
          </w:p>
        </w:tc>
      </w:tr>
      <w:tr>
        <w:tc>
          <w:tcPr/>
          <w:p>
            <w:pPr>
              <w:pStyle w:val="Compact"/>
            </w:pPr>
            <w:r>
              <w:t xml:space="preserve">FR-COOP-013</w:t>
            </w:r>
          </w:p>
        </w:tc>
        <w:tc>
          <w:tcPr/>
          <w:p>
            <w:pPr>
              <w:pStyle w:val="Compact"/>
            </w:pPr>
            <w:r>
              <w:t xml:space="preserve">Farmer record audit log</w:t>
            </w:r>
          </w:p>
        </w:tc>
        <w:tc>
          <w:tcPr/>
          <w:p>
            <w:pPr>
              <w:pStyle w:val="Compact"/>
            </w:pPr>
            <w:r>
              <w:t xml:space="preserve">BG-COOP-05</w:t>
            </w:r>
          </w:p>
        </w:tc>
        <w:tc>
          <w:tcPr/>
          <w:p>
            <w:pPr>
              <w:pStyle w:val="Compact"/>
            </w:pPr>
            <w:r>
              <w:t xml:space="preserve">3.2</w:t>
            </w:r>
          </w:p>
        </w:tc>
      </w:tr>
      <w:tr>
        <w:tc>
          <w:tcPr/>
          <w:p>
            <w:pPr>
              <w:pStyle w:val="Compact"/>
            </w:pPr>
            <w:r>
              <w:t xml:space="preserve">FR-COOP-014</w:t>
            </w:r>
          </w:p>
        </w:tc>
        <w:tc>
          <w:tcPr/>
          <w:p>
            <w:pPr>
              <w:pStyle w:val="Compact"/>
            </w:pPr>
            <w:r>
              <w:t xml:space="preserve">GPS coordinate validation and storage</w:t>
            </w:r>
          </w:p>
        </w:tc>
        <w:tc>
          <w:tcPr/>
          <w:p>
            <w:pPr>
              <w:pStyle w:val="Compact"/>
            </w:pPr>
            <w:r>
              <w:t xml:space="preserve">BG-COOP-01</w:t>
            </w:r>
          </w:p>
        </w:tc>
        <w:tc>
          <w:tcPr/>
          <w:p>
            <w:pPr>
              <w:pStyle w:val="Compact"/>
            </w:pPr>
            <w:r>
              <w:t xml:space="preserve">3.3</w:t>
            </w:r>
          </w:p>
        </w:tc>
      </w:tr>
      <w:tr>
        <w:tc>
          <w:tcPr/>
          <w:p>
            <w:pPr>
              <w:pStyle w:val="Compact"/>
            </w:pPr>
            <w:r>
              <w:t xml:space="preserve">FR-COOP-015</w:t>
            </w:r>
          </w:p>
        </w:tc>
        <w:tc>
          <w:tcPr/>
          <w:p>
            <w:pPr>
              <w:pStyle w:val="Compact"/>
            </w:pPr>
            <w:r>
              <w:t xml:space="preserve">Mobile GPS auto-capture</w:t>
            </w:r>
          </w:p>
        </w:tc>
        <w:tc>
          <w:tcPr/>
          <w:p>
            <w:pPr>
              <w:pStyle w:val="Compact"/>
            </w:pPr>
            <w:r>
              <w:t xml:space="preserve">BG-COOP-01</w:t>
            </w:r>
          </w:p>
        </w:tc>
        <w:tc>
          <w:tcPr/>
          <w:p>
            <w:pPr>
              <w:pStyle w:val="Compact"/>
            </w:pPr>
            <w:r>
              <w:t xml:space="preserve">3.3</w:t>
            </w:r>
          </w:p>
        </w:tc>
      </w:tr>
      <w:tr>
        <w:tc>
          <w:tcPr/>
          <w:p>
            <w:pPr>
              <w:pStyle w:val="Compact"/>
            </w:pPr>
            <w:r>
              <w:t xml:space="preserve">FR-COOP-016</w:t>
            </w:r>
          </w:p>
        </w:tc>
        <w:tc>
          <w:tcPr/>
          <w:p>
            <w:pPr>
              <w:pStyle w:val="Compact"/>
            </w:pPr>
            <w:r>
              <w:t xml:space="preserve">Farmer payment method registration</w:t>
            </w:r>
          </w:p>
        </w:tc>
        <w:tc>
          <w:tcPr/>
          <w:p>
            <w:pPr>
              <w:pStyle w:val="Compact"/>
            </w:pPr>
            <w:r>
              <w:t xml:space="preserve">BG-COOP-03</w:t>
            </w:r>
          </w:p>
        </w:tc>
        <w:tc>
          <w:tcPr/>
          <w:p>
            <w:pPr>
              <w:pStyle w:val="Compact"/>
            </w:pPr>
            <w:r>
              <w:t xml:space="preserve">3.4</w:t>
            </w:r>
          </w:p>
        </w:tc>
      </w:tr>
      <w:tr>
        <w:tc>
          <w:tcPr/>
          <w:p>
            <w:pPr>
              <w:pStyle w:val="Compact"/>
            </w:pPr>
            <w:r>
              <w:t xml:space="preserve">FR-COOP-017</w:t>
            </w:r>
          </w:p>
        </w:tc>
        <w:tc>
          <w:tcPr/>
          <w:p>
            <w:pPr>
              <w:pStyle w:val="Compact"/>
            </w:pPr>
            <w:r>
              <w:t xml:space="preserve">MoMo phone number prefix validation</w:t>
            </w:r>
          </w:p>
        </w:tc>
        <w:tc>
          <w:tcPr/>
          <w:p>
            <w:pPr>
              <w:pStyle w:val="Compact"/>
            </w:pPr>
            <w:r>
              <w:t xml:space="preserve">BG-COOP-03</w:t>
            </w:r>
          </w:p>
        </w:tc>
        <w:tc>
          <w:tcPr/>
          <w:p>
            <w:pPr>
              <w:pStyle w:val="Compact"/>
            </w:pPr>
            <w:r>
              <w:t xml:space="preserve">3.4</w:t>
            </w:r>
          </w:p>
        </w:tc>
      </w:tr>
      <w:tr>
        <w:tc>
          <w:tcPr/>
          <w:p>
            <w:pPr>
              <w:pStyle w:val="Compact"/>
            </w:pPr>
            <w:r>
              <w:t xml:space="preserve">FR-COOP-018</w:t>
            </w:r>
          </w:p>
        </w:tc>
        <w:tc>
          <w:tcPr/>
          <w:p>
            <w:pPr>
              <w:pStyle w:val="Compact"/>
            </w:pPr>
            <w:r>
              <w:t xml:space="preserve">Group creation in hierarchy</w:t>
            </w:r>
          </w:p>
        </w:tc>
        <w:tc>
          <w:tcPr/>
          <w:p>
            <w:pPr>
              <w:pStyle w:val="Compact"/>
            </w:pPr>
            <w:r>
              <w:t xml:space="preserve">BG-COOP-01</w:t>
            </w:r>
          </w:p>
        </w:tc>
        <w:tc>
          <w:tcPr/>
          <w:p>
            <w:pPr>
              <w:pStyle w:val="Compact"/>
            </w:pPr>
            <w:r>
              <w:t xml:space="preserve">3.5</w:t>
            </w:r>
          </w:p>
        </w:tc>
      </w:tr>
      <w:tr>
        <w:tc>
          <w:tcPr/>
          <w:p>
            <w:pPr>
              <w:pStyle w:val="Compact"/>
            </w:pPr>
            <w:r>
              <w:t xml:space="preserve">FR-COOP-019</w:t>
            </w:r>
          </w:p>
        </w:tc>
        <w:tc>
          <w:tcPr/>
          <w:p>
            <w:pPr>
              <w:pStyle w:val="Compact"/>
            </w:pPr>
            <w:r>
              <w:t xml:space="preserve">Primary society creation</w:t>
            </w:r>
          </w:p>
        </w:tc>
        <w:tc>
          <w:tcPr/>
          <w:p>
            <w:pPr>
              <w:pStyle w:val="Compact"/>
            </w:pPr>
            <w:r>
              <w:t xml:space="preserve">BG-COOP-01</w:t>
            </w:r>
          </w:p>
        </w:tc>
        <w:tc>
          <w:tcPr/>
          <w:p>
            <w:pPr>
              <w:pStyle w:val="Compact"/>
            </w:pPr>
            <w:r>
              <w:t xml:space="preserve">3.5</w:t>
            </w:r>
          </w:p>
        </w:tc>
      </w:tr>
      <w:tr>
        <w:tc>
          <w:tcPr/>
          <w:p>
            <w:pPr>
              <w:pStyle w:val="Compact"/>
            </w:pPr>
            <w:r>
              <w:t xml:space="preserve">FR-COOP-020</w:t>
            </w:r>
          </w:p>
        </w:tc>
        <w:tc>
          <w:tcPr/>
          <w:p>
            <w:pPr>
              <w:pStyle w:val="Compact"/>
            </w:pPr>
            <w:r>
              <w:t xml:space="preserve">Union creation</w:t>
            </w:r>
          </w:p>
        </w:tc>
        <w:tc>
          <w:tcPr/>
          <w:p>
            <w:pPr>
              <w:pStyle w:val="Compact"/>
            </w:pPr>
            <w:r>
              <w:t xml:space="preserve">BG-COOP-01</w:t>
            </w:r>
          </w:p>
        </w:tc>
        <w:tc>
          <w:tcPr/>
          <w:p>
            <w:pPr>
              <w:pStyle w:val="Compact"/>
            </w:pPr>
            <w:r>
              <w:t xml:space="preserve">3.5</w:t>
            </w:r>
          </w:p>
        </w:tc>
      </w:tr>
      <w:tr>
        <w:tc>
          <w:tcPr/>
          <w:p>
            <w:pPr>
              <w:pStyle w:val="Compact"/>
            </w:pPr>
            <w:r>
              <w:t xml:space="preserve">FR-COOP-021</w:t>
            </w:r>
          </w:p>
        </w:tc>
        <w:tc>
          <w:tcPr/>
          <w:p>
            <w:pPr>
              <w:pStyle w:val="Compact"/>
            </w:pPr>
            <w:r>
              <w:t xml:space="preserve">Hierarchy tree view with record counts</w:t>
            </w:r>
          </w:p>
        </w:tc>
        <w:tc>
          <w:tcPr/>
          <w:p>
            <w:pPr>
              <w:pStyle w:val="Compact"/>
            </w:pPr>
            <w:r>
              <w:t xml:space="preserve">BG-COOP-01</w:t>
            </w:r>
          </w:p>
        </w:tc>
        <w:tc>
          <w:tcPr/>
          <w:p>
            <w:pPr>
              <w:pStyle w:val="Compact"/>
            </w:pPr>
            <w:r>
              <w:t xml:space="preserve">3.5</w:t>
            </w:r>
          </w:p>
        </w:tc>
      </w:tr>
      <w:tr>
        <w:tc>
          <w:tcPr/>
          <w:p>
            <w:pPr>
              <w:pStyle w:val="Compact"/>
            </w:pPr>
            <w:r>
              <w:t xml:space="preserve">FR-COOP-022</w:t>
            </w:r>
          </w:p>
        </w:tc>
        <w:tc>
          <w:tcPr/>
          <w:p>
            <w:pPr>
              <w:pStyle w:val="Compact"/>
            </w:pPr>
            <w:r>
              <w:t xml:space="preserve">KTDA and NAEB jurisdiction configuration</w:t>
            </w:r>
          </w:p>
        </w:tc>
        <w:tc>
          <w:tcPr/>
          <w:p>
            <w:pPr>
              <w:pStyle w:val="Compact"/>
            </w:pPr>
            <w:r>
              <w:t xml:space="preserve">BG-COOP-05</w:t>
            </w:r>
          </w:p>
        </w:tc>
        <w:tc>
          <w:tcPr/>
          <w:p>
            <w:pPr>
              <w:pStyle w:val="Compact"/>
            </w:pPr>
            <w:r>
              <w:t xml:space="preserve">3.6</w:t>
            </w:r>
          </w:p>
        </w:tc>
      </w:tr>
      <w:tr>
        <w:tc>
          <w:tcPr/>
          <w:p>
            <w:pPr>
              <w:pStyle w:val="Compact"/>
            </w:pPr>
            <w:r>
              <w:t xml:space="preserve">FR-COOP-023</w:t>
            </w:r>
          </w:p>
        </w:tc>
        <w:tc>
          <w:tcPr/>
          <w:p>
            <w:pPr>
              <w:pStyle w:val="Compact"/>
            </w:pPr>
            <w:r>
              <w:t xml:space="preserve">Activate intake session for season</w:t>
            </w:r>
          </w:p>
        </w:tc>
        <w:tc>
          <w:tcPr/>
          <w:p>
            <w:pPr>
              <w:pStyle w:val="Compact"/>
            </w:pPr>
            <w:r>
              <w:t xml:space="preserve">BG-COOP-01</w:t>
            </w:r>
          </w:p>
        </w:tc>
        <w:tc>
          <w:tcPr/>
          <w:p>
            <w:pPr>
              <w:pStyle w:val="Compact"/>
            </w:pPr>
            <w:r>
              <w:t xml:space="preserve">4.2</w:t>
            </w:r>
          </w:p>
        </w:tc>
      </w:tr>
      <w:tr>
        <w:tc>
          <w:tcPr/>
          <w:p>
            <w:pPr>
              <w:pStyle w:val="Compact"/>
            </w:pPr>
            <w:r>
              <w:t xml:space="preserve">FR-COOP-024</w:t>
            </w:r>
          </w:p>
        </w:tc>
        <w:tc>
          <w:tcPr/>
          <w:p>
            <w:pPr>
              <w:pStyle w:val="Compact"/>
            </w:pPr>
            <w:r>
              <w:t xml:space="preserve">Close intake period with supervisor PIN</w:t>
            </w:r>
          </w:p>
        </w:tc>
        <w:tc>
          <w:tcPr/>
          <w:p>
            <w:pPr>
              <w:pStyle w:val="Compact"/>
            </w:pPr>
            <w:r>
              <w:t xml:space="preserve">BG-COOP-02</w:t>
            </w:r>
          </w:p>
        </w:tc>
        <w:tc>
          <w:tcPr/>
          <w:p>
            <w:pPr>
              <w:pStyle w:val="Compact"/>
            </w:pPr>
            <w:r>
              <w:t xml:space="preserve">4.2</w:t>
            </w:r>
          </w:p>
        </w:tc>
      </w:tr>
      <w:tr>
        <w:tc>
          <w:tcPr/>
          <w:p>
            <w:pPr>
              <w:pStyle w:val="Compact"/>
            </w:pPr>
            <w:r>
              <w:t xml:space="preserve">FR-COOP-025</w:t>
            </w:r>
          </w:p>
        </w:tc>
        <w:tc>
          <w:tcPr/>
          <w:p>
            <w:pPr>
              <w:pStyle w:val="Compact"/>
            </w:pPr>
            <w:r>
              <w:t xml:space="preserve">Period closure summary generation</w:t>
            </w:r>
          </w:p>
        </w:tc>
        <w:tc>
          <w:tcPr/>
          <w:p>
            <w:pPr>
              <w:pStyle w:val="Compact"/>
            </w:pPr>
            <w:r>
              <w:t xml:space="preserve">BG-COOP-05</w:t>
            </w:r>
          </w:p>
        </w:tc>
        <w:tc>
          <w:tcPr/>
          <w:p>
            <w:pPr>
              <w:pStyle w:val="Compact"/>
            </w:pPr>
            <w:r>
              <w:t xml:space="preserve">4.2</w:t>
            </w:r>
          </w:p>
        </w:tc>
      </w:tr>
      <w:tr>
        <w:tc>
          <w:tcPr/>
          <w:p>
            <w:pPr>
              <w:pStyle w:val="Compact"/>
            </w:pPr>
            <w:r>
              <w:t xml:space="preserve">FR-COOP-026</w:t>
            </w:r>
          </w:p>
        </w:tc>
        <w:tc>
          <w:tcPr/>
          <w:p>
            <w:pPr>
              <w:pStyle w:val="Compact"/>
            </w:pPr>
            <w:r>
              <w:t xml:space="preserve">Intake entry recording with gross payment</w:t>
            </w:r>
          </w:p>
        </w:tc>
        <w:tc>
          <w:tcPr/>
          <w:p>
            <w:pPr>
              <w:pStyle w:val="Compact"/>
            </w:pPr>
            <w:r>
              <w:t xml:space="preserve">BG-COOP-01, BG-COOP-02</w:t>
            </w:r>
          </w:p>
        </w:tc>
        <w:tc>
          <w:tcPr/>
          <w:p>
            <w:pPr>
              <w:pStyle w:val="Compact"/>
            </w:pPr>
            <w:r>
              <w:t xml:space="preserve">4.3</w:t>
            </w:r>
          </w:p>
        </w:tc>
      </w:tr>
      <w:tr>
        <w:tc>
          <w:tcPr/>
          <w:p>
            <w:pPr>
              <w:pStyle w:val="Compact"/>
            </w:pPr>
            <w:r>
              <w:t xml:space="preserve">FR-COOP-027</w:t>
            </w:r>
          </w:p>
        </w:tc>
        <w:tc>
          <w:tcPr/>
          <w:p>
            <w:pPr>
              <w:pStyle w:val="Compact"/>
            </w:pPr>
            <w:r>
              <w:t xml:space="preserve">Reject zero or negative weight</w:t>
            </w:r>
          </w:p>
        </w:tc>
        <w:tc>
          <w:tcPr/>
          <w:p>
            <w:pPr>
              <w:pStyle w:val="Compact"/>
            </w:pPr>
            <w:r>
              <w:t xml:space="preserve">BG-COOP-01</w:t>
            </w:r>
          </w:p>
        </w:tc>
        <w:tc>
          <w:tcPr/>
          <w:p>
            <w:pPr>
              <w:pStyle w:val="Compact"/>
            </w:pPr>
            <w:r>
              <w:t xml:space="preserve">4.3</w:t>
            </w:r>
          </w:p>
        </w:tc>
      </w:tr>
      <w:tr>
        <w:tc>
          <w:tcPr/>
          <w:p>
            <w:pPr>
              <w:pStyle w:val="Compact"/>
            </w:pPr>
            <w:r>
              <w:t xml:space="preserve">FR-COOP-028</w:t>
            </w:r>
          </w:p>
        </w:tc>
        <w:tc>
          <w:tcPr/>
          <w:p>
            <w:pPr>
              <w:pStyle w:val="Compact"/>
            </w:pPr>
            <w:r>
              <w:t xml:space="preserve">Reject intake for unregistered farmer</w:t>
            </w:r>
          </w:p>
        </w:tc>
        <w:tc>
          <w:tcPr/>
          <w:p>
            <w:pPr>
              <w:pStyle w:val="Compact"/>
            </w:pPr>
            <w:r>
              <w:t xml:space="preserve">BG-COOP-01</w:t>
            </w:r>
          </w:p>
        </w:tc>
        <w:tc>
          <w:tcPr/>
          <w:p>
            <w:pPr>
              <w:pStyle w:val="Compact"/>
            </w:pPr>
            <w:r>
              <w:t xml:space="preserve">4.3</w:t>
            </w:r>
          </w:p>
        </w:tc>
      </w:tr>
      <w:tr>
        <w:tc>
          <w:tcPr/>
          <w:p>
            <w:pPr>
              <w:pStyle w:val="Compact"/>
            </w:pPr>
            <w:r>
              <w:t xml:space="preserve">FR-COOP-029</w:t>
            </w:r>
          </w:p>
        </w:tc>
        <w:tc>
          <w:tcPr/>
          <w:p>
            <w:pPr>
              <w:pStyle w:val="Compact"/>
            </w:pPr>
            <w:r>
              <w:t xml:space="preserve">Multiple-intake-per-day warning</w:t>
            </w:r>
          </w:p>
        </w:tc>
        <w:tc>
          <w:tcPr/>
          <w:p>
            <w:pPr>
              <w:pStyle w:val="Compact"/>
            </w:pPr>
            <w:r>
              <w:t xml:space="preserve">BG-COOP-02</w:t>
            </w:r>
          </w:p>
        </w:tc>
        <w:tc>
          <w:tcPr/>
          <w:p>
            <w:pPr>
              <w:pStyle w:val="Compact"/>
            </w:pPr>
            <w:r>
              <w:t xml:space="preserve">4.3</w:t>
            </w:r>
          </w:p>
        </w:tc>
      </w:tr>
      <w:tr>
        <w:tc>
          <w:tcPr/>
          <w:p>
            <w:pPr>
              <w:pStyle w:val="Compact"/>
            </w:pPr>
            <w:r>
              <w:t xml:space="preserve">FR-COOP-030</w:t>
            </w:r>
          </w:p>
        </w:tc>
        <w:tc>
          <w:tcPr/>
          <w:p>
            <w:pPr>
              <w:pStyle w:val="Compact"/>
            </w:pPr>
            <w:r>
              <w:t xml:space="preserve">RS-232 weighbridge weight capture</w:t>
            </w:r>
          </w:p>
        </w:tc>
        <w:tc>
          <w:tcPr/>
          <w:p>
            <w:pPr>
              <w:pStyle w:val="Compact"/>
            </w:pPr>
            <w:r>
              <w:t xml:space="preserve">BG-COOP-01</w:t>
            </w:r>
          </w:p>
        </w:tc>
        <w:tc>
          <w:tcPr/>
          <w:p>
            <w:pPr>
              <w:pStyle w:val="Compact"/>
            </w:pPr>
            <w:r>
              <w:t xml:space="preserve">4.4</w:t>
            </w:r>
          </w:p>
        </w:tc>
      </w:tr>
      <w:tr>
        <w:tc>
          <w:tcPr/>
          <w:p>
            <w:pPr>
              <w:pStyle w:val="Compact"/>
            </w:pPr>
            <w:r>
              <w:t xml:space="preserve">FR-COOP-031</w:t>
            </w:r>
          </w:p>
        </w:tc>
        <w:tc>
          <w:tcPr/>
          <w:p>
            <w:pPr>
              <w:pStyle w:val="Compact"/>
            </w:pPr>
            <w:r>
              <w:t xml:space="preserve">Weighbridge timeout fallback</w:t>
            </w:r>
          </w:p>
        </w:tc>
        <w:tc>
          <w:tcPr/>
          <w:p>
            <w:pPr>
              <w:pStyle w:val="Compact"/>
            </w:pPr>
            <w:r>
              <w:t xml:space="preserve">BG-COOP-01</w:t>
            </w:r>
          </w:p>
        </w:tc>
        <w:tc>
          <w:tcPr/>
          <w:p>
            <w:pPr>
              <w:pStyle w:val="Compact"/>
            </w:pPr>
            <w:r>
              <w:t xml:space="preserve">4.4</w:t>
            </w:r>
          </w:p>
        </w:tc>
      </w:tr>
      <w:tr>
        <w:tc>
          <w:tcPr/>
          <w:p>
            <w:pPr>
              <w:pStyle w:val="Compact"/>
            </w:pPr>
            <w:r>
              <w:t xml:space="preserve">FR-COOP-032</w:t>
            </w:r>
          </w:p>
        </w:tc>
        <w:tc>
          <w:tcPr/>
          <w:p>
            <w:pPr>
              <w:pStyle w:val="Compact"/>
            </w:pPr>
            <w:r>
              <w:t xml:space="preserve">Unstable weight rejection</w:t>
            </w:r>
          </w:p>
        </w:tc>
        <w:tc>
          <w:tcPr/>
          <w:p>
            <w:pPr>
              <w:pStyle w:val="Compact"/>
            </w:pPr>
            <w:r>
              <w:t xml:space="preserve">BG-COOP-01</w:t>
            </w:r>
          </w:p>
        </w:tc>
        <w:tc>
          <w:tcPr/>
          <w:p>
            <w:pPr>
              <w:pStyle w:val="Compact"/>
            </w:pPr>
            <w:r>
              <w:t xml:space="preserve">4.4</w:t>
            </w:r>
          </w:p>
        </w:tc>
      </w:tr>
      <w:tr>
        <w:tc>
          <w:tcPr/>
          <w:p>
            <w:pPr>
              <w:pStyle w:val="Compact"/>
            </w:pPr>
            <w:r>
              <w:t xml:space="preserve">FR-COOP-033</w:t>
            </w:r>
          </w:p>
        </w:tc>
        <w:tc>
          <w:tcPr/>
          <w:p>
            <w:pPr>
              <w:pStyle w:val="Compact"/>
            </w:pPr>
            <w:r>
              <w:t xml:space="preserve">Weighbridge configuration settings</w:t>
            </w:r>
          </w:p>
        </w:tc>
        <w:tc>
          <w:tcPr/>
          <w:p>
            <w:pPr>
              <w:pStyle w:val="Compact"/>
            </w:pPr>
            <w:r>
              <w:t xml:space="preserve">BG-COOP-01</w:t>
            </w:r>
          </w:p>
        </w:tc>
        <w:tc>
          <w:tcPr/>
          <w:p>
            <w:pPr>
              <w:pStyle w:val="Compact"/>
            </w:pPr>
            <w:r>
              <w:t xml:space="preserve">4.4</w:t>
            </w:r>
          </w:p>
        </w:tc>
      </w:tr>
      <w:tr>
        <w:tc>
          <w:tcPr/>
          <w:p>
            <w:pPr>
              <w:pStyle w:val="Compact"/>
            </w:pPr>
            <w:r>
              <w:t xml:space="preserve">FR-COOP-034</w:t>
            </w:r>
          </w:p>
        </w:tc>
        <w:tc>
          <w:tcPr/>
          <w:p>
            <w:pPr>
              <w:pStyle w:val="Compact"/>
            </w:pPr>
            <w:r>
              <w:t xml:space="preserve">Batch posting to Inventory and Accounting</w:t>
            </w:r>
          </w:p>
        </w:tc>
        <w:tc>
          <w:tcPr/>
          <w:p>
            <w:pPr>
              <w:pStyle w:val="Compact"/>
            </w:pPr>
            <w:r>
              <w:t xml:space="preserve">BG-COOP-02</w:t>
            </w:r>
          </w:p>
        </w:tc>
        <w:tc>
          <w:tcPr/>
          <w:p>
            <w:pPr>
              <w:pStyle w:val="Compact"/>
            </w:pPr>
            <w:r>
              <w:t xml:space="preserve">4.5</w:t>
            </w:r>
          </w:p>
        </w:tc>
      </w:tr>
      <w:tr>
        <w:tc>
          <w:tcPr/>
          <w:p>
            <w:pPr>
              <w:pStyle w:val="Compact"/>
            </w:pPr>
            <w:r>
              <w:t xml:space="preserve">FR-COOP-035</w:t>
            </w:r>
          </w:p>
        </w:tc>
        <w:tc>
          <w:tcPr/>
          <w:p>
            <w:pPr>
              <w:pStyle w:val="Compact"/>
            </w:pPr>
            <w:r>
              <w:t xml:space="preserve">Block posting of flagged batch entries</w:t>
            </w:r>
          </w:p>
        </w:tc>
        <w:tc>
          <w:tcPr/>
          <w:p>
            <w:pPr>
              <w:pStyle w:val="Compact"/>
            </w:pPr>
            <w:r>
              <w:t xml:space="preserve">BG-COOP-02</w:t>
            </w:r>
          </w:p>
        </w:tc>
        <w:tc>
          <w:tcPr/>
          <w:p>
            <w:pPr>
              <w:pStyle w:val="Compact"/>
            </w:pPr>
            <w:r>
              <w:t xml:space="preserve">4.5</w:t>
            </w:r>
          </w:p>
        </w:tc>
      </w:tr>
      <w:tr>
        <w:tc>
          <w:tcPr/>
          <w:p>
            <w:pPr>
              <w:pStyle w:val="Compact"/>
            </w:pPr>
            <w:r>
              <w:t xml:space="preserve">FR-COOP-036</w:t>
            </w:r>
          </w:p>
        </w:tc>
        <w:tc>
          <w:tcPr/>
          <w:p>
            <w:pPr>
              <w:pStyle w:val="Compact"/>
            </w:pPr>
            <w:r>
              <w:t xml:space="preserve">Auto-apply input loan deductions</w:t>
            </w:r>
          </w:p>
        </w:tc>
        <w:tc>
          <w:tcPr/>
          <w:p>
            <w:pPr>
              <w:pStyle w:val="Compact"/>
            </w:pPr>
            <w:r>
              <w:t xml:space="preserve">BG-COOP-02</w:t>
            </w:r>
          </w:p>
        </w:tc>
        <w:tc>
          <w:tcPr/>
          <w:p>
            <w:pPr>
              <w:pStyle w:val="Compact"/>
            </w:pPr>
            <w:r>
              <w:t xml:space="preserve">5.3</w:t>
            </w:r>
          </w:p>
        </w:tc>
      </w:tr>
      <w:tr>
        <w:tc>
          <w:tcPr/>
          <w:p>
            <w:pPr>
              <w:pStyle w:val="Compact"/>
            </w:pPr>
            <w:r>
              <w:t xml:space="preserve">FR-COOP-037</w:t>
            </w:r>
          </w:p>
        </w:tc>
        <w:tc>
          <w:tcPr/>
          <w:p>
            <w:pPr>
              <w:pStyle w:val="Compact"/>
            </w:pPr>
            <w:r>
              <w:t xml:space="preserve">Cap deduction at gross payment; carry forward</w:t>
            </w:r>
          </w:p>
        </w:tc>
        <w:tc>
          <w:tcPr/>
          <w:p>
            <w:pPr>
              <w:pStyle w:val="Compact"/>
            </w:pPr>
            <w:r>
              <w:t xml:space="preserve">BG-COOP-02</w:t>
            </w:r>
          </w:p>
        </w:tc>
        <w:tc>
          <w:tcPr/>
          <w:p>
            <w:pPr>
              <w:pStyle w:val="Compact"/>
            </w:pPr>
            <w:r>
              <w:t xml:space="preserve">5.3</w:t>
            </w:r>
          </w:p>
        </w:tc>
      </w:tr>
      <w:tr>
        <w:tc>
          <w:tcPr/>
          <w:p>
            <w:pPr>
              <w:pStyle w:val="Compact"/>
            </w:pPr>
            <w:r>
              <w:t xml:space="preserve">FR-COOP-038</w:t>
            </w:r>
          </w:p>
        </w:tc>
        <w:tc>
          <w:tcPr/>
          <w:p>
            <w:pPr>
              <w:pStyle w:val="Compact"/>
            </w:pPr>
            <w:r>
              <w:t xml:space="preserve">Close loan on full repayment</w:t>
            </w:r>
          </w:p>
        </w:tc>
        <w:tc>
          <w:tcPr/>
          <w:p>
            <w:pPr>
              <w:pStyle w:val="Compact"/>
            </w:pPr>
            <w:r>
              <w:t xml:space="preserve">BG-COOP-02</w:t>
            </w:r>
          </w:p>
        </w:tc>
        <w:tc>
          <w:tcPr/>
          <w:p>
            <w:pPr>
              <w:pStyle w:val="Compact"/>
            </w:pPr>
            <w:r>
              <w:t xml:space="preserve">5.3</w:t>
            </w:r>
          </w:p>
        </w:tc>
      </w:tr>
      <w:tr>
        <w:tc>
          <w:tcPr/>
          <w:p>
            <w:pPr>
              <w:pStyle w:val="Compact"/>
            </w:pPr>
            <w:r>
              <w:t xml:space="preserve">FR-COOP-039</w:t>
            </w:r>
          </w:p>
        </w:tc>
        <w:tc>
          <w:tcPr/>
          <w:p>
            <w:pPr>
              <w:pStyle w:val="Compact"/>
            </w:pPr>
            <w:r>
              <w:t xml:space="preserve">Register new input loan</w:t>
            </w:r>
          </w:p>
        </w:tc>
        <w:tc>
          <w:tcPr/>
          <w:p>
            <w:pPr>
              <w:pStyle w:val="Compact"/>
            </w:pPr>
            <w:r>
              <w:t xml:space="preserve">BG-COOP-02</w:t>
            </w:r>
          </w:p>
        </w:tc>
        <w:tc>
          <w:tcPr/>
          <w:p>
            <w:pPr>
              <w:pStyle w:val="Compact"/>
            </w:pPr>
            <w:r>
              <w:t xml:space="preserve">5.3</w:t>
            </w:r>
          </w:p>
        </w:tc>
      </w:tr>
      <w:tr>
        <w:tc>
          <w:tcPr/>
          <w:p>
            <w:pPr>
              <w:pStyle w:val="Compact"/>
            </w:pPr>
            <w:r>
              <w:t xml:space="preserve">FR-COOP-040</w:t>
            </w:r>
          </w:p>
        </w:tc>
        <w:tc>
          <w:tcPr/>
          <w:p>
            <w:pPr>
              <w:pStyle w:val="Compact"/>
            </w:pPr>
            <w:r>
              <w:t xml:space="preserve">Compute and apply levy deductions</w:t>
            </w:r>
          </w:p>
        </w:tc>
        <w:tc>
          <w:tcPr/>
          <w:p>
            <w:pPr>
              <w:pStyle w:val="Compact"/>
            </w:pPr>
            <w:r>
              <w:t xml:space="preserve">BG-COOP-02</w:t>
            </w:r>
          </w:p>
        </w:tc>
        <w:tc>
          <w:tcPr/>
          <w:p>
            <w:pPr>
              <w:pStyle w:val="Compact"/>
            </w:pPr>
            <w:r>
              <w:t xml:space="preserve">5.4</w:t>
            </w:r>
          </w:p>
        </w:tc>
      </w:tr>
      <w:tr>
        <w:tc>
          <w:tcPr/>
          <w:p>
            <w:pPr>
              <w:pStyle w:val="Compact"/>
            </w:pPr>
            <w:r>
              <w:t xml:space="preserve">FR-COOP-041</w:t>
            </w:r>
          </w:p>
        </w:tc>
        <w:tc>
          <w:tcPr/>
          <w:p>
            <w:pPr>
              <w:pStyle w:val="Compact"/>
            </w:pPr>
            <w:r>
              <w:t xml:space="preserve">Separate society and union levy lines</w:t>
            </w:r>
          </w:p>
        </w:tc>
        <w:tc>
          <w:tcPr/>
          <w:p>
            <w:pPr>
              <w:pStyle w:val="Compact"/>
            </w:pPr>
            <w:r>
              <w:t xml:space="preserve">BG-COOP-02</w:t>
            </w:r>
          </w:p>
        </w:tc>
        <w:tc>
          <w:tcPr/>
          <w:p>
            <w:pPr>
              <w:pStyle w:val="Compact"/>
            </w:pPr>
            <w:r>
              <w:t xml:space="preserve">5.4</w:t>
            </w:r>
          </w:p>
        </w:tc>
      </w:tr>
      <w:tr>
        <w:tc>
          <w:tcPr/>
          <w:p>
            <w:pPr>
              <w:pStyle w:val="Compact"/>
            </w:pPr>
            <w:r>
              <w:t xml:space="preserve">FR-COOP-042</w:t>
            </w:r>
          </w:p>
        </w:tc>
        <w:tc>
          <w:tcPr/>
          <w:p>
            <w:pPr>
              <w:pStyle w:val="Compact"/>
            </w:pPr>
            <w:r>
              <w:t xml:space="preserve">Levy configuration</w:t>
            </w:r>
          </w:p>
        </w:tc>
        <w:tc>
          <w:tcPr/>
          <w:p>
            <w:pPr>
              <w:pStyle w:val="Compact"/>
            </w:pPr>
            <w:r>
              <w:t xml:space="preserve">BG-COOP-02</w:t>
            </w:r>
          </w:p>
        </w:tc>
        <w:tc>
          <w:tcPr/>
          <w:p>
            <w:pPr>
              <w:pStyle w:val="Compact"/>
            </w:pPr>
            <w:r>
              <w:t xml:space="preserve">5.4</w:t>
            </w:r>
          </w:p>
        </w:tc>
      </w:tr>
      <w:tr>
        <w:tc>
          <w:tcPr/>
          <w:p>
            <w:pPr>
              <w:pStyle w:val="Compact"/>
            </w:pPr>
            <w:r>
              <w:t xml:space="preserve">FR-COOP-043</w:t>
            </w:r>
          </w:p>
        </w:tc>
        <w:tc>
          <w:tcPr/>
          <w:p>
            <w:pPr>
              <w:pStyle w:val="Compact"/>
            </w:pPr>
            <w:r>
              <w:t xml:space="preserve">Levy deactivation prospective effect</w:t>
            </w:r>
          </w:p>
        </w:tc>
        <w:tc>
          <w:tcPr/>
          <w:p>
            <w:pPr>
              <w:pStyle w:val="Compact"/>
            </w:pPr>
            <w:r>
              <w:t xml:space="preserve">BG-COOP-02</w:t>
            </w:r>
          </w:p>
        </w:tc>
        <w:tc>
          <w:tcPr/>
          <w:p>
            <w:pPr>
              <w:pStyle w:val="Compact"/>
            </w:pPr>
            <w:r>
              <w:t xml:space="preserve">5.4</w:t>
            </w:r>
          </w:p>
        </w:tc>
      </w:tr>
      <w:tr>
        <w:tc>
          <w:tcPr/>
          <w:p>
            <w:pPr>
              <w:pStyle w:val="Compact"/>
            </w:pPr>
            <w:r>
              <w:t xml:space="preserve">FR-COOP-044</w:t>
            </w:r>
          </w:p>
        </w:tc>
        <w:tc>
          <w:tcPr/>
          <w:p>
            <w:pPr>
              <w:pStyle w:val="Compact"/>
            </w:pPr>
            <w:r>
              <w:t xml:space="preserve">Bulk payment batch generation</w:t>
            </w:r>
          </w:p>
        </w:tc>
        <w:tc>
          <w:tcPr/>
          <w:p>
            <w:pPr>
              <w:pStyle w:val="Compact"/>
            </w:pPr>
            <w:r>
              <w:t xml:space="preserve">BG-COOP-03</w:t>
            </w:r>
          </w:p>
        </w:tc>
        <w:tc>
          <w:tcPr/>
          <w:p>
            <w:pPr>
              <w:pStyle w:val="Compact"/>
            </w:pPr>
            <w:r>
              <w:t xml:space="preserve">5.5</w:t>
            </w:r>
          </w:p>
        </w:tc>
      </w:tr>
      <w:tr>
        <w:tc>
          <w:tcPr/>
          <w:p>
            <w:pPr>
              <w:pStyle w:val="Compact"/>
            </w:pPr>
            <w:r>
              <w:t xml:space="preserve">FR-COOP-045</w:t>
            </w:r>
          </w:p>
        </w:tc>
        <w:tc>
          <w:tcPr/>
          <w:p>
            <w:pPr>
              <w:pStyle w:val="Compact"/>
            </w:pPr>
            <w:r>
              <w:t xml:space="preserve">Submit payment instructions to MoMo API</w:t>
            </w:r>
          </w:p>
        </w:tc>
        <w:tc>
          <w:tcPr/>
          <w:p>
            <w:pPr>
              <w:pStyle w:val="Compact"/>
            </w:pPr>
            <w:r>
              <w:t xml:space="preserve">BG-COOP-03</w:t>
            </w:r>
          </w:p>
        </w:tc>
        <w:tc>
          <w:tcPr/>
          <w:p>
            <w:pPr>
              <w:pStyle w:val="Compact"/>
            </w:pPr>
            <w:r>
              <w:t xml:space="preserve">5.5</w:t>
            </w:r>
          </w:p>
        </w:tc>
      </w:tr>
      <w:tr>
        <w:tc>
          <w:tcPr/>
          <w:p>
            <w:pPr>
              <w:pStyle w:val="Compact"/>
            </w:pPr>
            <w:r>
              <w:t xml:space="preserve">FR-COOP-046</w:t>
            </w:r>
          </w:p>
        </w:tc>
        <w:tc>
          <w:tcPr/>
          <w:p>
            <w:pPr>
              <w:pStyle w:val="Compact"/>
            </w:pPr>
            <w:r>
              <w:t xml:space="preserve">Handle MoMo success and failure callbacks</w:t>
            </w:r>
          </w:p>
        </w:tc>
        <w:tc>
          <w:tcPr/>
          <w:p>
            <w:pPr>
              <w:pStyle w:val="Compact"/>
            </w:pPr>
            <w:r>
              <w:t xml:space="preserve">BG-COOP-03</w:t>
            </w:r>
          </w:p>
        </w:tc>
        <w:tc>
          <w:tcPr/>
          <w:p>
            <w:pPr>
              <w:pStyle w:val="Compact"/>
            </w:pPr>
            <w:r>
              <w:t xml:space="preserve">5.5</w:t>
            </w:r>
          </w:p>
        </w:tc>
      </w:tr>
      <w:tr>
        <w:tc>
          <w:tcPr/>
          <w:p>
            <w:pPr>
              <w:pStyle w:val="Compact"/>
            </w:pPr>
            <w:r>
              <w:t xml:space="preserve">FR-COOP-047</w:t>
            </w:r>
          </w:p>
        </w:tc>
        <w:tc>
          <w:tcPr/>
          <w:p>
            <w:pPr>
              <w:pStyle w:val="Compact"/>
            </w:pPr>
            <w:r>
              <w:t xml:space="preserve">MoMo API timeout handling</w:t>
            </w:r>
          </w:p>
        </w:tc>
        <w:tc>
          <w:tcPr/>
          <w:p>
            <w:pPr>
              <w:pStyle w:val="Compact"/>
            </w:pPr>
            <w:r>
              <w:t xml:space="preserve">BG-COOP-03</w:t>
            </w:r>
          </w:p>
        </w:tc>
        <w:tc>
          <w:tcPr/>
          <w:p>
            <w:pPr>
              <w:pStyle w:val="Compact"/>
            </w:pPr>
            <w:r>
              <w:t xml:space="preserve">5.5</w:t>
            </w:r>
          </w:p>
        </w:tc>
      </w:tr>
      <w:tr>
        <w:tc>
          <w:tcPr/>
          <w:p>
            <w:pPr>
              <w:pStyle w:val="Compact"/>
            </w:pPr>
            <w:r>
              <w:t xml:space="preserve">FR-COOP-048</w:t>
            </w:r>
          </w:p>
        </w:tc>
        <w:tc>
          <w:tcPr/>
          <w:p>
            <w:pPr>
              <w:pStyle w:val="Compact"/>
            </w:pPr>
            <w:r>
              <w:t xml:space="preserve">Batch reconciliation and journal posting</w:t>
            </w:r>
          </w:p>
        </w:tc>
        <w:tc>
          <w:tcPr/>
          <w:p>
            <w:pPr>
              <w:pStyle w:val="Compact"/>
            </w:pPr>
            <w:r>
              <w:t xml:space="preserve">BG-COOP-03</w:t>
            </w:r>
          </w:p>
        </w:tc>
        <w:tc>
          <w:tcPr/>
          <w:p>
            <w:pPr>
              <w:pStyle w:val="Compact"/>
            </w:pPr>
            <w:r>
              <w:t xml:space="preserve">5.5</w:t>
            </w:r>
          </w:p>
        </w:tc>
      </w:tr>
      <w:tr>
        <w:tc>
          <w:tcPr/>
          <w:p>
            <w:pPr>
              <w:pStyle w:val="Compact"/>
            </w:pPr>
            <w:r>
              <w:t xml:space="preserve">FR-COOP-049</w:t>
            </w:r>
          </w:p>
        </w:tc>
        <w:tc>
          <w:tcPr/>
          <w:p>
            <w:pPr>
              <w:pStyle w:val="Compact"/>
            </w:pPr>
            <w:r>
              <w:t xml:space="preserve">Individual farmer statement generation</w:t>
            </w:r>
          </w:p>
        </w:tc>
        <w:tc>
          <w:tcPr/>
          <w:p>
            <w:pPr>
              <w:pStyle w:val="Compact"/>
            </w:pPr>
            <w:r>
              <w:t xml:space="preserve">BG-COOP-05</w:t>
            </w:r>
          </w:p>
        </w:tc>
        <w:tc>
          <w:tcPr/>
          <w:p>
            <w:pPr>
              <w:pStyle w:val="Compact"/>
            </w:pPr>
            <w:r>
              <w:t xml:space="preserve">6.2</w:t>
            </w:r>
          </w:p>
        </w:tc>
      </w:tr>
      <w:tr>
        <w:tc>
          <w:tcPr/>
          <w:p>
            <w:pPr>
              <w:pStyle w:val="Compact"/>
            </w:pPr>
            <w:r>
              <w:t xml:space="preserve">FR-COOP-050</w:t>
            </w:r>
          </w:p>
        </w:tc>
        <w:tc>
          <w:tcPr/>
          <w:p>
            <w:pPr>
              <w:pStyle w:val="Compact"/>
            </w:pPr>
            <w:r>
              <w:t xml:space="preserve">PDF farmer statement with cooperative branding</w:t>
            </w:r>
          </w:p>
        </w:tc>
        <w:tc>
          <w:tcPr/>
          <w:p>
            <w:pPr>
              <w:pStyle w:val="Compact"/>
            </w:pPr>
            <w:r>
              <w:t xml:space="preserve">BG-COOP-05</w:t>
            </w:r>
          </w:p>
        </w:tc>
        <w:tc>
          <w:tcPr/>
          <w:p>
            <w:pPr>
              <w:pStyle w:val="Compact"/>
            </w:pPr>
            <w:r>
              <w:t xml:space="preserve">6.2</w:t>
            </w:r>
          </w:p>
        </w:tc>
      </w:tr>
      <w:tr>
        <w:tc>
          <w:tcPr/>
          <w:p>
            <w:pPr>
              <w:pStyle w:val="Compact"/>
            </w:pPr>
            <w:r>
              <w:t xml:space="preserve">FR-COOP-051</w:t>
            </w:r>
          </w:p>
        </w:tc>
        <w:tc>
          <w:tcPr/>
          <w:p>
            <w:pPr>
              <w:pStyle w:val="Compact"/>
            </w:pPr>
            <w:r>
              <w:t xml:space="preserve">Bulk statement generation (up to 500 farmers)</w:t>
            </w:r>
          </w:p>
        </w:tc>
        <w:tc>
          <w:tcPr/>
          <w:p>
            <w:pPr>
              <w:pStyle w:val="Compact"/>
            </w:pPr>
            <w:r>
              <w:t xml:space="preserve">BG-COOP-05</w:t>
            </w:r>
          </w:p>
        </w:tc>
        <w:tc>
          <w:tcPr/>
          <w:p>
            <w:pPr>
              <w:pStyle w:val="Compact"/>
            </w:pPr>
            <w:r>
              <w:t xml:space="preserve">6.2</w:t>
            </w:r>
          </w:p>
        </w:tc>
      </w:tr>
      <w:tr>
        <w:tc>
          <w:tcPr/>
          <w:p>
            <w:pPr>
              <w:pStyle w:val="Compact"/>
            </w:pPr>
            <w:r>
              <w:t xml:space="preserve">FR-COOP-052</w:t>
            </w:r>
          </w:p>
        </w:tc>
        <w:tc>
          <w:tcPr/>
          <w:p>
            <w:pPr>
              <w:pStyle w:val="Compact"/>
            </w:pPr>
            <w:r>
              <w:t xml:space="preserve">Seasonal summary report</w:t>
            </w:r>
          </w:p>
        </w:tc>
        <w:tc>
          <w:tcPr/>
          <w:p>
            <w:pPr>
              <w:pStyle w:val="Compact"/>
            </w:pPr>
            <w:r>
              <w:t xml:space="preserve">BG-COOP-05</w:t>
            </w:r>
          </w:p>
        </w:tc>
        <w:tc>
          <w:tcPr/>
          <w:p>
            <w:pPr>
              <w:pStyle w:val="Compact"/>
            </w:pPr>
            <w:r>
              <w:t xml:space="preserve">6.3</w:t>
            </w:r>
          </w:p>
        </w:tc>
      </w:tr>
      <w:tr>
        <w:tc>
          <w:tcPr/>
          <w:p>
            <w:pPr>
              <w:pStyle w:val="Compact"/>
            </w:pPr>
            <w:r>
              <w:t xml:space="preserve">FR-COOP-053</w:t>
            </w:r>
          </w:p>
        </w:tc>
        <w:tc>
          <w:tcPr/>
          <w:p>
            <w:pPr>
              <w:pStyle w:val="Compact"/>
            </w:pPr>
            <w:r>
              <w:t xml:space="preserve">Seasonal summary Excel export</w:t>
            </w:r>
          </w:p>
        </w:tc>
        <w:tc>
          <w:tcPr/>
          <w:p>
            <w:pPr>
              <w:pStyle w:val="Compact"/>
            </w:pPr>
            <w:r>
              <w:t xml:space="preserve">BG-COOP-05</w:t>
            </w:r>
          </w:p>
        </w:tc>
        <w:tc>
          <w:tcPr/>
          <w:p>
            <w:pPr>
              <w:pStyle w:val="Compact"/>
            </w:pPr>
            <w:r>
              <w:t xml:space="preserve">6.3</w:t>
            </w:r>
          </w:p>
        </w:tc>
      </w:tr>
      <w:tr>
        <w:tc>
          <w:tcPr/>
          <w:p>
            <w:pPr>
              <w:pStyle w:val="Compact"/>
            </w:pPr>
            <w:r>
              <w:t xml:space="preserve">FR-COOP-054</w:t>
            </w:r>
          </w:p>
        </w:tc>
        <w:tc>
          <w:tcPr/>
          <w:p>
            <w:pPr>
              <w:pStyle w:val="Compact"/>
            </w:pPr>
            <w:r>
              <w:t xml:space="preserve">Society performance report</w:t>
            </w:r>
          </w:p>
        </w:tc>
        <w:tc>
          <w:tcPr/>
          <w:p>
            <w:pPr>
              <w:pStyle w:val="Compact"/>
            </w:pPr>
            <w:r>
              <w:t xml:space="preserve">BG-COOP-05</w:t>
            </w:r>
          </w:p>
        </w:tc>
        <w:tc>
          <w:tcPr/>
          <w:p>
            <w:pPr>
              <w:pStyle w:val="Compact"/>
            </w:pPr>
            <w:r>
              <w:t xml:space="preserve">6.4</w:t>
            </w:r>
          </w:p>
        </w:tc>
      </w:tr>
      <w:tr>
        <w:tc>
          <w:tcPr/>
          <w:p>
            <w:pPr>
              <w:pStyle w:val="Compact"/>
            </w:pPr>
            <w:r>
              <w:t xml:space="preserve">FR-COOP-055</w:t>
            </w:r>
          </w:p>
        </w:tc>
        <w:tc>
          <w:tcPr/>
          <w:p>
            <w:pPr>
              <w:pStyle w:val="Compact"/>
            </w:pPr>
            <w:r>
              <w:t xml:space="preserve">Levy collection report</w:t>
            </w:r>
          </w:p>
        </w:tc>
        <w:tc>
          <w:tcPr/>
          <w:p>
            <w:pPr>
              <w:pStyle w:val="Compact"/>
            </w:pPr>
            <w:r>
              <w:t xml:space="preserve">BG-COOP-05</w:t>
            </w:r>
          </w:p>
        </w:tc>
        <w:tc>
          <w:tcPr/>
          <w:p>
            <w:pPr>
              <w:pStyle w:val="Compact"/>
            </w:pPr>
            <w:r>
              <w:t xml:space="preserve">6.4</w:t>
            </w:r>
          </w:p>
        </w:tc>
      </w:tr>
      <w:tr>
        <w:tc>
          <w:tcPr/>
          <w:p>
            <w:pPr>
              <w:pStyle w:val="Compact"/>
            </w:pPr>
            <w:r>
              <w:t xml:space="preserve">FR-COOP-056</w:t>
            </w:r>
          </w:p>
        </w:tc>
        <w:tc>
          <w:tcPr/>
          <w:p>
            <w:pPr>
              <w:pStyle w:val="Compact"/>
            </w:pPr>
            <w:r>
              <w:t xml:space="preserve">Market price with floor price enforcement</w:t>
            </w:r>
          </w:p>
        </w:tc>
        <w:tc>
          <w:tcPr/>
          <w:p>
            <w:pPr>
              <w:pStyle w:val="Compact"/>
            </w:pPr>
            <w:r>
              <w:t xml:space="preserve">BG-COOP-02</w:t>
            </w:r>
          </w:p>
        </w:tc>
        <w:tc>
          <w:tcPr/>
          <w:p>
            <w:pPr>
              <w:pStyle w:val="Compact"/>
            </w:pPr>
            <w:r>
              <w:t xml:space="preserve">6.5</w:t>
            </w:r>
          </w:p>
        </w:tc>
      </w:tr>
      <w:tr>
        <w:tc>
          <w:tcPr/>
          <w:p>
            <w:pPr>
              <w:pStyle w:val="Compact"/>
            </w:pPr>
            <w:r>
              <w:t xml:space="preserve">FR-COOP-057</w:t>
            </w:r>
          </w:p>
        </w:tc>
        <w:tc>
          <w:tcPr/>
          <w:p>
            <w:pPr>
              <w:pStyle w:val="Compact"/>
            </w:pPr>
            <w:r>
              <w:t xml:space="preserve">Price history audit trail</w:t>
            </w:r>
          </w:p>
        </w:tc>
        <w:tc>
          <w:tcPr/>
          <w:p>
            <w:pPr>
              <w:pStyle w:val="Compact"/>
            </w:pPr>
            <w:r>
              <w:t xml:space="preserve">BG-COOP-05</w:t>
            </w:r>
          </w:p>
        </w:tc>
        <w:tc>
          <w:tcPr/>
          <w:p>
            <w:pPr>
              <w:pStyle w:val="Compact"/>
            </w:pPr>
            <w:r>
              <w:t xml:space="preserve">6.5</w:t>
            </w:r>
          </w:p>
        </w:tc>
      </w:tr>
      <w:tr>
        <w:tc>
          <w:tcPr/>
          <w:p>
            <w:pPr>
              <w:pStyle w:val="Compact"/>
            </w:pPr>
            <w:r>
              <w:t xml:space="preserve">FR-COOP-058</w:t>
            </w:r>
          </w:p>
        </w:tc>
        <w:tc>
          <w:tcPr/>
          <w:p>
            <w:pPr>
              <w:pStyle w:val="Compact"/>
            </w:pPr>
            <w:r>
              <w:t xml:space="preserve">Minimum support price override warning</w:t>
            </w:r>
          </w:p>
        </w:tc>
        <w:tc>
          <w:tcPr/>
          <w:p>
            <w:pPr>
              <w:pStyle w:val="Compact"/>
            </w:pPr>
            <w:r>
              <w:t xml:space="preserve">BG-COOP-02</w:t>
            </w:r>
          </w:p>
        </w:tc>
        <w:tc>
          <w:tcPr/>
          <w:p>
            <w:pPr>
              <w:pStyle w:val="Compact"/>
            </w:pPr>
            <w:r>
              <w:t xml:space="preserve">6.5</w:t>
            </w:r>
          </w:p>
        </w:tc>
      </w:tr>
      <w:tr>
        <w:tc>
          <w:tcPr/>
          <w:p>
            <w:pPr>
              <w:pStyle w:val="Compact"/>
            </w:pPr>
            <w:r>
              <w:t xml:space="preserve">FR-COOP-059</w:t>
            </w:r>
          </w:p>
        </w:tc>
        <w:tc>
          <w:tcPr/>
          <w:p>
            <w:pPr>
              <w:pStyle w:val="Compact"/>
            </w:pPr>
            <w:r>
              <w:t xml:space="preserve">Offline mode auto-activation</w:t>
            </w:r>
          </w:p>
        </w:tc>
        <w:tc>
          <w:tcPr/>
          <w:p>
            <w:pPr>
              <w:pStyle w:val="Compact"/>
            </w:pPr>
            <w:r>
              <w:t xml:space="preserve">BG-COOP-04</w:t>
            </w:r>
          </w:p>
        </w:tc>
        <w:tc>
          <w:tcPr/>
          <w:p>
            <w:pPr>
              <w:pStyle w:val="Compact"/>
            </w:pPr>
            <w:r>
              <w:t xml:space="preserve">7.2</w:t>
            </w:r>
          </w:p>
        </w:tc>
      </w:tr>
      <w:tr>
        <w:tc>
          <w:tcPr/>
          <w:p>
            <w:pPr>
              <w:pStyle w:val="Compact"/>
            </w:pPr>
            <w:r>
              <w:t xml:space="preserve">FR-COOP-060</w:t>
            </w:r>
          </w:p>
        </w:tc>
        <w:tc>
          <w:tcPr/>
          <w:p>
            <w:pPr>
              <w:pStyle w:val="Compact"/>
            </w:pPr>
            <w:r>
              <w:t xml:space="preserve">72-hour offline limit warning and lock</w:t>
            </w:r>
          </w:p>
        </w:tc>
        <w:tc>
          <w:tcPr/>
          <w:p>
            <w:pPr>
              <w:pStyle w:val="Compact"/>
            </w:pPr>
            <w:r>
              <w:t xml:space="preserve">BG-COOP-04</w:t>
            </w:r>
          </w:p>
        </w:tc>
        <w:tc>
          <w:tcPr/>
          <w:p>
            <w:pPr>
              <w:pStyle w:val="Compact"/>
            </w:pPr>
            <w:r>
              <w:t xml:space="preserve">7.2</w:t>
            </w:r>
          </w:p>
        </w:tc>
      </w:tr>
      <w:tr>
        <w:tc>
          <w:tcPr/>
          <w:p>
            <w:pPr>
              <w:pStyle w:val="Compact"/>
            </w:pPr>
            <w:r>
              <w:t xml:space="preserve">FR-COOP-061</w:t>
            </w:r>
          </w:p>
        </w:tc>
        <w:tc>
          <w:tcPr/>
          <w:p>
            <w:pPr>
              <w:pStyle w:val="Compact"/>
            </w:pPr>
            <w:r>
              <w:t xml:space="preserve">Encrypted local offline entry storage</w:t>
            </w:r>
          </w:p>
        </w:tc>
        <w:tc>
          <w:tcPr/>
          <w:p>
            <w:pPr>
              <w:pStyle w:val="Compact"/>
            </w:pPr>
            <w:r>
              <w:t xml:space="preserve">BG-COOP-04</w:t>
            </w:r>
          </w:p>
        </w:tc>
        <w:tc>
          <w:tcPr/>
          <w:p>
            <w:pPr>
              <w:pStyle w:val="Compact"/>
            </w:pPr>
            <w:r>
              <w:t xml:space="preserve">7.3</w:t>
            </w:r>
          </w:p>
        </w:tc>
      </w:tr>
      <w:tr>
        <w:tc>
          <w:tcPr/>
          <w:p>
            <w:pPr>
              <w:pStyle w:val="Compact"/>
            </w:pPr>
            <w:r>
              <w:t xml:space="preserve">FR-COOP-062</w:t>
            </w:r>
          </w:p>
        </w:tc>
        <w:tc>
          <w:tcPr/>
          <w:p>
            <w:pPr>
              <w:pStyle w:val="Compact"/>
            </w:pPr>
            <w:r>
              <w:t xml:space="preserve">Auto-sync on connectivity restoration</w:t>
            </w:r>
          </w:p>
        </w:tc>
        <w:tc>
          <w:tcPr/>
          <w:p>
            <w:pPr>
              <w:pStyle w:val="Compact"/>
            </w:pPr>
            <w:r>
              <w:t xml:space="preserve">BG-COOP-04</w:t>
            </w:r>
          </w:p>
        </w:tc>
        <w:tc>
          <w:tcPr/>
          <w:p>
            <w:pPr>
              <w:pStyle w:val="Compact"/>
            </w:pPr>
            <w:r>
              <w:t xml:space="preserve">7.4</w:t>
            </w:r>
          </w:p>
        </w:tc>
      </w:tr>
      <w:tr>
        <w:tc>
          <w:tcPr/>
          <w:p>
            <w:pPr>
              <w:pStyle w:val="Compact"/>
            </w:pPr>
            <w:r>
              <w:t xml:space="preserve">FR-COOP-063</w:t>
            </w:r>
          </w:p>
        </w:tc>
        <w:tc>
          <w:tcPr/>
          <w:p>
            <w:pPr>
              <w:pStyle w:val="Compact"/>
            </w:pPr>
            <w:r>
              <w:t xml:space="preserve">Conflict resolution for duplicate offline entries</w:t>
            </w:r>
          </w:p>
        </w:tc>
        <w:tc>
          <w:tcPr/>
          <w:p>
            <w:pPr>
              <w:pStyle w:val="Compact"/>
            </w:pPr>
            <w:r>
              <w:t xml:space="preserve">BG-COOP-04</w:t>
            </w:r>
          </w:p>
        </w:tc>
        <w:tc>
          <w:tcPr/>
          <w:p>
            <w:pPr>
              <w:pStyle w:val="Compact"/>
            </w:pPr>
            <w:r>
              <w:t xml:space="preserve">7.4</w:t>
            </w:r>
          </w:p>
        </w:tc>
      </w:tr>
      <w:tr>
        <w:tc>
          <w:tcPr/>
          <w:p>
            <w:pPr>
              <w:pStyle w:val="Compact"/>
            </w:pPr>
            <w:r>
              <w:t xml:space="preserve">FR-COOP-064</w:t>
            </w:r>
          </w:p>
        </w:tc>
        <w:tc>
          <w:tcPr/>
          <w:p>
            <w:pPr>
              <w:pStyle w:val="Compact"/>
            </w:pPr>
            <w:r>
              <w:t xml:space="preserve">Interrupted sync resumption without duplicates</w:t>
            </w:r>
          </w:p>
        </w:tc>
        <w:tc>
          <w:tcPr/>
          <w:p>
            <w:pPr>
              <w:pStyle w:val="Compact"/>
            </w:pPr>
            <w:r>
              <w:t xml:space="preserve">BG-COOP-04</w:t>
            </w:r>
          </w:p>
        </w:tc>
        <w:tc>
          <w:tcPr/>
          <w:p>
            <w:pPr>
              <w:pStyle w:val="Compact"/>
            </w:pPr>
            <w:r>
              <w:t xml:space="preserve">7.4</w:t>
            </w:r>
          </w:p>
        </w:tc>
      </w:tr>
      <w:tr>
        <w:tc>
          <w:tcPr/>
          <w:p>
            <w:pPr>
              <w:pStyle w:val="Compact"/>
            </w:pPr>
            <w:r>
              <w:t xml:space="preserve">FR-COOP-065</w:t>
            </w:r>
          </w:p>
        </w:tc>
        <w:tc>
          <w:tcPr/>
          <w:p>
            <w:pPr>
              <w:pStyle w:val="Compact"/>
            </w:pPr>
            <w:r>
              <w:t xml:space="preserve">Offline database encryption and remote wipe</w:t>
            </w:r>
          </w:p>
        </w:tc>
        <w:tc>
          <w:tcPr/>
          <w:p>
            <w:pPr>
              <w:pStyle w:val="Compact"/>
            </w:pPr>
            <w:r>
              <w:t xml:space="preserve">BG-COOP-04</w:t>
            </w:r>
          </w:p>
        </w:tc>
        <w:tc>
          <w:tcPr/>
          <w:p>
            <w:pPr>
              <w:pStyle w:val="Compact"/>
            </w:pPr>
            <w:r>
              <w:t xml:space="preserve">7.5</w:t>
            </w:r>
          </w:p>
        </w:tc>
      </w:tr>
    </w:tbl>
    <w:bookmarkEnd w:id="68"/>
    <w:bookmarkStart w:id="69" w:name="X458e29e5deee25058755bc2010507ff5995c503"/>
    <w:p>
      <w:pPr>
        <w:pStyle w:val="Heading2"/>
      </w:pPr>
      <w:r>
        <w:t xml:space="preserve">9.2 NFR Traceability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NFR ID</w:t>
            </w:r>
          </w:p>
        </w:tc>
        <w:tc>
          <w:tcPr/>
          <w:p>
            <w:pPr>
              <w:pStyle w:val="Compact"/>
            </w:pPr>
            <w:r>
              <w:rPr>
                <w:b/>
                <w:bCs/>
              </w:rPr>
              <w:t xml:space="preserve">Quality Attribute</w:t>
            </w:r>
          </w:p>
        </w:tc>
        <w:tc>
          <w:tcPr/>
          <w:p>
            <w:pPr>
              <w:pStyle w:val="Compact"/>
            </w:pPr>
            <w:r>
              <w:rPr>
                <w:b/>
                <w:bCs/>
              </w:rPr>
              <w:t xml:space="preserve">Linked FR(s)</w:t>
            </w:r>
          </w:p>
        </w:tc>
      </w:tr>
      <w:tr>
        <w:tc>
          <w:tcPr/>
          <w:p>
            <w:pPr>
              <w:pStyle w:val="Compact"/>
            </w:pPr>
            <w:r>
              <w:t xml:space="preserve">NFR-COOP-001</w:t>
            </w:r>
          </w:p>
        </w:tc>
        <w:tc>
          <w:tcPr/>
          <w:p>
            <w:pPr>
              <w:pStyle w:val="Compact"/>
            </w:pPr>
            <w:r>
              <w:t xml:space="preserve">Performance — intake entry ≤ 3 s P95</w:t>
            </w:r>
          </w:p>
        </w:tc>
        <w:tc>
          <w:tcPr/>
          <w:p>
            <w:pPr>
              <w:pStyle w:val="Compact"/>
            </w:pPr>
            <w:r>
              <w:t xml:space="preserve">FR-COOP-026</w:t>
            </w:r>
          </w:p>
        </w:tc>
      </w:tr>
      <w:tr>
        <w:tc>
          <w:tcPr/>
          <w:p>
            <w:pPr>
              <w:pStyle w:val="Compact"/>
            </w:pPr>
            <w:r>
              <w:t xml:space="preserve">NFR-COOP-002</w:t>
            </w:r>
          </w:p>
        </w:tc>
        <w:tc>
          <w:tcPr/>
          <w:p>
            <w:pPr>
              <w:pStyle w:val="Compact"/>
            </w:pPr>
            <w:r>
              <w:t xml:space="preserve">Performance — statement ≤ 5 s P95</w:t>
            </w:r>
          </w:p>
        </w:tc>
        <w:tc>
          <w:tcPr/>
          <w:p>
            <w:pPr>
              <w:pStyle w:val="Compact"/>
            </w:pPr>
            <w:r>
              <w:t xml:space="preserve">FR-COOP-049</w:t>
            </w:r>
          </w:p>
        </w:tc>
      </w:tr>
      <w:tr>
        <w:tc>
          <w:tcPr/>
          <w:p>
            <w:pPr>
              <w:pStyle w:val="Compact"/>
            </w:pPr>
            <w:r>
              <w:t xml:space="preserve">NFR-COOP-003</w:t>
            </w:r>
          </w:p>
        </w:tc>
        <w:tc>
          <w:tcPr/>
          <w:p>
            <w:pPr>
              <w:pStyle w:val="Compact"/>
            </w:pPr>
            <w:r>
              <w:t xml:space="preserve">Performance — bulk statements ≤ 60 s</w:t>
            </w:r>
          </w:p>
        </w:tc>
        <w:tc>
          <w:tcPr/>
          <w:p>
            <w:pPr>
              <w:pStyle w:val="Compact"/>
            </w:pPr>
            <w:r>
              <w:t xml:space="preserve">FR-COOP-051</w:t>
            </w:r>
          </w:p>
        </w:tc>
      </w:tr>
      <w:tr>
        <w:tc>
          <w:tcPr/>
          <w:p>
            <w:pPr>
              <w:pStyle w:val="Compact"/>
            </w:pPr>
            <w:r>
              <w:t xml:space="preserve">NFR-COOP-004</w:t>
            </w:r>
          </w:p>
        </w:tc>
        <w:tc>
          <w:tcPr/>
          <w:p>
            <w:pPr>
              <w:pStyle w:val="Compact"/>
            </w:pPr>
            <w:r>
              <w:t xml:space="preserve">Performance — hierarchy tree ≤ 3 s</w:t>
            </w:r>
          </w:p>
        </w:tc>
        <w:tc>
          <w:tcPr/>
          <w:p>
            <w:pPr>
              <w:pStyle w:val="Compact"/>
            </w:pPr>
            <w:r>
              <w:t xml:space="preserve">FR-COOP-021</w:t>
            </w:r>
          </w:p>
        </w:tc>
      </w:tr>
      <w:tr>
        <w:tc>
          <w:tcPr/>
          <w:p>
            <w:pPr>
              <w:pStyle w:val="Compact"/>
            </w:pPr>
            <w:r>
              <w:t xml:space="preserve">NFR-COOP-005</w:t>
            </w:r>
          </w:p>
        </w:tc>
        <w:tc>
          <w:tcPr/>
          <w:p>
            <w:pPr>
              <w:pStyle w:val="Compact"/>
            </w:pPr>
            <w:r>
              <w:t xml:space="preserve">Performance — MoMo batch ≥ 10 req/s</w:t>
            </w:r>
          </w:p>
        </w:tc>
        <w:tc>
          <w:tcPr/>
          <w:p>
            <w:pPr>
              <w:pStyle w:val="Compact"/>
            </w:pPr>
            <w:r>
              <w:t xml:space="preserve">FR-COOP-045</w:t>
            </w:r>
          </w:p>
        </w:tc>
      </w:tr>
      <w:tr>
        <w:tc>
          <w:tcPr/>
          <w:p>
            <w:pPr>
              <w:pStyle w:val="Compact"/>
            </w:pPr>
            <w:r>
              <w:t xml:space="preserve">NFR-COOP-006</w:t>
            </w:r>
          </w:p>
        </w:tc>
        <w:tc>
          <w:tcPr/>
          <w:p>
            <w:pPr>
              <w:pStyle w:val="Compact"/>
            </w:pPr>
            <w:r>
              <w:t xml:space="preserve">Availability — ≥ 99.5% monthly uptime</w:t>
            </w:r>
          </w:p>
        </w:tc>
        <w:tc>
          <w:tcPr/>
          <w:p>
            <w:pPr>
              <w:pStyle w:val="Compact"/>
            </w:pPr>
            <w:r>
              <w:t xml:space="preserve">All FRs</w:t>
            </w:r>
          </w:p>
        </w:tc>
      </w:tr>
      <w:tr>
        <w:tc>
          <w:tcPr/>
          <w:p>
            <w:pPr>
              <w:pStyle w:val="Compact"/>
            </w:pPr>
            <w:r>
              <w:t xml:space="preserve">NFR-COOP-007</w:t>
            </w:r>
          </w:p>
        </w:tc>
        <w:tc>
          <w:tcPr/>
          <w:p>
            <w:pPr>
              <w:pStyle w:val="Compact"/>
            </w:pPr>
            <w:r>
              <w:t xml:space="preserve">Reliability — zero offline data loss</w:t>
            </w:r>
          </w:p>
        </w:tc>
        <w:tc>
          <w:tcPr/>
          <w:p>
            <w:pPr>
              <w:pStyle w:val="Compact"/>
            </w:pPr>
            <w:r>
              <w:t xml:space="preserve">FR-COOP-061 to FR-COOP-064</w:t>
            </w:r>
          </w:p>
        </w:tc>
      </w:tr>
      <w:tr>
        <w:tc>
          <w:tcPr/>
          <w:p>
            <w:pPr>
              <w:pStyle w:val="Compact"/>
            </w:pPr>
            <w:r>
              <w:t xml:space="preserve">NFR-COOP-008</w:t>
            </w:r>
          </w:p>
        </w:tc>
        <w:tc>
          <w:tcPr/>
          <w:p>
            <w:pPr>
              <w:pStyle w:val="Compact"/>
            </w:pPr>
            <w:r>
              <w:t xml:space="preserve">Reliability — RS-232 recovery ≤ 10 s</w:t>
            </w:r>
          </w:p>
        </w:tc>
        <w:tc>
          <w:tcPr/>
          <w:p>
            <w:pPr>
              <w:pStyle w:val="Compact"/>
            </w:pPr>
            <w:r>
              <w:t xml:space="preserve">FR-COOP-030, FR-COOP-031</w:t>
            </w:r>
          </w:p>
        </w:tc>
      </w:tr>
      <w:tr>
        <w:tc>
          <w:tcPr/>
          <w:p>
            <w:pPr>
              <w:pStyle w:val="Compact"/>
            </w:pPr>
            <w:r>
              <w:t xml:space="preserve">NFR-COOP-009</w:t>
            </w:r>
          </w:p>
        </w:tc>
        <w:tc>
          <w:tcPr/>
          <w:p>
            <w:pPr>
              <w:pStyle w:val="Compact"/>
            </w:pPr>
            <w:r>
              <w:t xml:space="preserve">Security — PII encryption at rest (AES-256)</w:t>
            </w:r>
          </w:p>
        </w:tc>
        <w:tc>
          <w:tcPr/>
          <w:p>
            <w:pPr>
              <w:pStyle w:val="Compact"/>
            </w:pPr>
            <w:r>
              <w:t xml:space="preserve">FR-COOP-011, FR-COOP-016</w:t>
            </w:r>
          </w:p>
        </w:tc>
      </w:tr>
      <w:tr>
        <w:tc>
          <w:tcPr/>
          <w:p>
            <w:pPr>
              <w:pStyle w:val="Compact"/>
            </w:pPr>
            <w:r>
              <w:t xml:space="preserve">NFR-COOP-010</w:t>
            </w:r>
          </w:p>
        </w:tc>
        <w:tc>
          <w:tcPr/>
          <w:p>
            <w:pPr>
              <w:pStyle w:val="Compact"/>
            </w:pPr>
            <w:r>
              <w:t xml:space="preserve">Security — JWT authentication on all endpoints</w:t>
            </w:r>
          </w:p>
        </w:tc>
        <w:tc>
          <w:tcPr/>
          <w:p>
            <w:pPr>
              <w:pStyle w:val="Compact"/>
            </w:pPr>
            <w:r>
              <w:t xml:space="preserve">All FRs</w:t>
            </w:r>
          </w:p>
        </w:tc>
      </w:tr>
      <w:tr>
        <w:tc>
          <w:tcPr/>
          <w:p>
            <w:pPr>
              <w:pStyle w:val="Compact"/>
            </w:pPr>
            <w:r>
              <w:t xml:space="preserve">NFR-COOP-011</w:t>
            </w:r>
          </w:p>
        </w:tc>
        <w:tc>
          <w:tcPr/>
          <w:p>
            <w:pPr>
              <w:pStyle w:val="Compact"/>
            </w:pPr>
            <w:r>
              <w:t xml:space="preserve">Security — RBAC permission boundaries</w:t>
            </w:r>
          </w:p>
        </w:tc>
        <w:tc>
          <w:tcPr/>
          <w:p>
            <w:pPr>
              <w:pStyle w:val="Compact"/>
            </w:pPr>
            <w:r>
              <w:t xml:space="preserve">All FRs</w:t>
            </w:r>
          </w:p>
        </w:tc>
      </w:tr>
      <w:tr>
        <w:tc>
          <w:tcPr/>
          <w:p>
            <w:pPr>
              <w:pStyle w:val="Compact"/>
            </w:pPr>
            <w:r>
              <w:t xml:space="preserve">NFR-COOP-012</w:t>
            </w:r>
          </w:p>
        </w:tc>
        <w:tc>
          <w:tcPr/>
          <w:p>
            <w:pPr>
              <w:pStyle w:val="Compact"/>
            </w:pPr>
            <w:r>
              <w:t xml:space="preserve">Security — mobile offline DB encryption</w:t>
            </w:r>
          </w:p>
        </w:tc>
        <w:tc>
          <w:tcPr/>
          <w:p>
            <w:pPr>
              <w:pStyle w:val="Compact"/>
            </w:pPr>
            <w:r>
              <w:t xml:space="preserve">FR-COOP-061, FR-COOP-065</w:t>
            </w:r>
          </w:p>
        </w:tc>
      </w:tr>
      <w:tr>
        <w:tc>
          <w:tcPr/>
          <w:p>
            <w:pPr>
              <w:pStyle w:val="Compact"/>
            </w:pPr>
            <w:r>
              <w:t xml:space="preserve">NFR-COOP-013</w:t>
            </w:r>
          </w:p>
        </w:tc>
        <w:tc>
          <w:tcPr/>
          <w:p>
            <w:pPr>
              <w:pStyle w:val="Compact"/>
            </w:pPr>
            <w:r>
              <w:t xml:space="preserve">Compliance — Uganda Data Protection Act, 2019</w:t>
            </w:r>
          </w:p>
        </w:tc>
        <w:tc>
          <w:tcPr/>
          <w:p>
            <w:pPr>
              <w:pStyle w:val="Compact"/>
            </w:pPr>
            <w:r>
              <w:t xml:space="preserve">FR-COOP-011</w:t>
            </w:r>
          </w:p>
        </w:tc>
      </w:tr>
      <w:tr>
        <w:tc>
          <w:tcPr/>
          <w:p>
            <w:pPr>
              <w:pStyle w:val="Compact"/>
            </w:pPr>
            <w:r>
              <w:t xml:space="preserve">NFR-COOP-014</w:t>
            </w:r>
          </w:p>
        </w:tc>
        <w:tc>
          <w:tcPr/>
          <w:p>
            <w:pPr>
              <w:pStyle w:val="Compact"/>
            </w:pPr>
            <w:r>
              <w:t xml:space="preserve">Compliance — 7-year data retention</w:t>
            </w:r>
          </w:p>
        </w:tc>
        <w:tc>
          <w:tcPr/>
          <w:p>
            <w:pPr>
              <w:pStyle w:val="Compact"/>
            </w:pPr>
            <w:r>
              <w:t xml:space="preserve">FR-COOP-026, FR-COOP-048</w:t>
            </w:r>
          </w:p>
        </w:tc>
      </w:tr>
      <w:tr>
        <w:tc>
          <w:tcPr/>
          <w:p>
            <w:pPr>
              <w:pStyle w:val="Compact"/>
            </w:pPr>
            <w:r>
              <w:t xml:space="preserve">NFR-COOP-015</w:t>
            </w:r>
          </w:p>
        </w:tc>
        <w:tc>
          <w:tcPr/>
          <w:p>
            <w:pPr>
              <w:pStyle w:val="Compact"/>
            </w:pPr>
            <w:r>
              <w:t xml:space="preserve">Compliance — KTDA report format</w:t>
            </w:r>
          </w:p>
        </w:tc>
        <w:tc>
          <w:tcPr/>
          <w:p>
            <w:pPr>
              <w:pStyle w:val="Compact"/>
            </w:pPr>
            <w:r>
              <w:t xml:space="preserve">FR-COOP-022</w:t>
            </w:r>
          </w:p>
        </w:tc>
      </w:tr>
      <w:tr>
        <w:tc>
          <w:tcPr/>
          <w:p>
            <w:pPr>
              <w:pStyle w:val="Compact"/>
            </w:pPr>
            <w:r>
              <w:t xml:space="preserve">NFR-COOP-016</w:t>
            </w:r>
          </w:p>
        </w:tc>
        <w:tc>
          <w:tcPr/>
          <w:p>
            <w:pPr>
              <w:pStyle w:val="Compact"/>
            </w:pPr>
            <w:r>
              <w:t xml:space="preserve">Scalability — 100,000 farmers per tenant</w:t>
            </w:r>
          </w:p>
        </w:tc>
        <w:tc>
          <w:tcPr/>
          <w:p>
            <w:pPr>
              <w:pStyle w:val="Compact"/>
            </w:pPr>
            <w:r>
              <w:t xml:space="preserve">FR-COOP-011 to FR-COOP-022</w:t>
            </w:r>
          </w:p>
        </w:tc>
      </w:tr>
      <w:tr>
        <w:tc>
          <w:tcPr/>
          <w:p>
            <w:pPr>
              <w:pStyle w:val="Compact"/>
            </w:pPr>
            <w:r>
              <w:t xml:space="preserve">NFR-COOP-017</w:t>
            </w:r>
          </w:p>
        </w:tc>
        <w:tc>
          <w:tcPr/>
          <w:p>
            <w:pPr>
              <w:pStyle w:val="Compact"/>
            </w:pPr>
            <w:r>
              <w:t xml:space="preserve">Scalability — 5,000-record payment batch</w:t>
            </w:r>
          </w:p>
        </w:tc>
        <w:tc>
          <w:tcPr/>
          <w:p>
            <w:pPr>
              <w:pStyle w:val="Compact"/>
            </w:pPr>
            <w:r>
              <w:t xml:space="preserve">FR-COOP-044, FR-COOP-045</w:t>
            </w:r>
          </w:p>
        </w:tc>
      </w:tr>
      <w:tr>
        <w:tc>
          <w:tcPr/>
          <w:p>
            <w:pPr>
              <w:pStyle w:val="Compact"/>
            </w:pPr>
            <w:r>
              <w:t xml:space="preserve">NFR-COOP-018</w:t>
            </w:r>
          </w:p>
        </w:tc>
        <w:tc>
          <w:tcPr/>
          <w:p>
            <w:pPr>
              <w:pStyle w:val="Compact"/>
            </w:pPr>
            <w:r>
              <w:t xml:space="preserve">Usability — 90-second intake task time</w:t>
            </w:r>
          </w:p>
        </w:tc>
        <w:tc>
          <w:tcPr/>
          <w:p>
            <w:pPr>
              <w:pStyle w:val="Compact"/>
            </w:pPr>
            <w:r>
              <w:t xml:space="preserve">FR-COOP-026</w:t>
            </w:r>
          </w:p>
        </w:tc>
      </w:tr>
      <w:tr>
        <w:tc>
          <w:tcPr/>
          <w:p>
            <w:pPr>
              <w:pStyle w:val="Compact"/>
            </w:pPr>
            <w:r>
              <w:t xml:space="preserve">NFR-COOP-019</w:t>
            </w:r>
          </w:p>
        </w:tc>
        <w:tc>
          <w:tcPr/>
          <w:p>
            <w:pPr>
              <w:pStyle w:val="Compact"/>
            </w:pPr>
            <w:r>
              <w:t xml:space="preserve">Usability — English and Luganda UI</w:t>
            </w:r>
          </w:p>
        </w:tc>
        <w:tc>
          <w:tcPr/>
          <w:p>
            <w:pPr>
              <w:pStyle w:val="Compact"/>
            </w:pPr>
            <w:r>
              <w:t xml:space="preserve">All mobile FRs</w:t>
            </w:r>
          </w:p>
        </w:tc>
      </w:tr>
      <w:tr>
        <w:tc>
          <w:tcPr/>
          <w:p>
            <w:pPr>
              <w:pStyle w:val="Compact"/>
            </w:pPr>
            <w:r>
              <w:t xml:space="preserve">NFR-COOP-020</w:t>
            </w:r>
          </w:p>
        </w:tc>
        <w:tc>
          <w:tcPr/>
          <w:p>
            <w:pPr>
              <w:pStyle w:val="Compact"/>
            </w:pPr>
            <w:r>
              <w:t xml:space="preserve">Maintainability — pluggable weighbridge driver</w:t>
            </w:r>
          </w:p>
        </w:tc>
        <w:tc>
          <w:tcPr/>
          <w:p>
            <w:pPr>
              <w:pStyle w:val="Compact"/>
            </w:pPr>
            <w:r>
              <w:t xml:space="preserve">FR-COOP-030, FR-COOP-033</w:t>
            </w:r>
          </w:p>
        </w:tc>
      </w:tr>
    </w:tbl>
    <w:bookmarkEnd w:id="69"/>
    <w:bookmarkStart w:id="70" w:name="X25f59e3ff657711f26778e534962d526185bd0c"/>
    <w:p>
      <w:pPr>
        <w:pStyle w:val="Heading2"/>
      </w:pPr>
      <w:r>
        <w:t xml:space="preserve">9.3 Context Gap Register</w:t>
      </w:r>
    </w:p>
    <w:p>
      <w:pPr>
        <w:pStyle w:val="FirstParagraph"/>
      </w:pPr>
      <w:r>
        <w:t xml:space="preserve">The following gaps were identified during requirement authoring. Each gap must be resolved by the consultant before the corresponding requirements are finalised and implementation begins.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Gap ID</w:t>
            </w:r>
          </w:p>
        </w:tc>
        <w:tc>
          <w:tcPr/>
          <w:p>
            <w:pPr>
              <w:pStyle w:val="Compact"/>
            </w:pPr>
            <w:r>
              <w:rPr>
                <w:b/>
                <w:bCs/>
              </w:rPr>
              <w:t xml:space="preserve">Topic</w:t>
            </w:r>
          </w:p>
        </w:tc>
        <w:tc>
          <w:tcPr/>
          <w:p>
            <w:pPr>
              <w:pStyle w:val="Compact"/>
            </w:pPr>
            <w:r>
              <w:rPr>
                <w:b/>
                <w:bCs/>
              </w:rPr>
              <w:t xml:space="preserve">Blocking Requirement(s)</w:t>
            </w:r>
          </w:p>
        </w:tc>
        <w:tc>
          <w:tcPr/>
          <w:p>
            <w:pPr>
              <w:pStyle w:val="Compact"/>
            </w:pPr>
            <w:r>
              <w:rPr>
                <w:b/>
                <w:bCs/>
              </w:rPr>
              <w:t xml:space="preserve">Action Required</w:t>
            </w:r>
          </w:p>
        </w:tc>
      </w:tr>
      <w:tr>
        <w:tc>
          <w:tcPr/>
          <w:p>
            <w:pPr>
              <w:pStyle w:val="Compact"/>
            </w:pPr>
            <w:r>
              <w:t xml:space="preserve">CG-COOP-001</w:t>
            </w:r>
          </w:p>
        </w:tc>
        <w:tc>
          <w:tcPr/>
          <w:p>
            <w:pPr>
              <w:pStyle w:val="Compact"/>
            </w:pPr>
            <w:r>
              <w:t xml:space="preserve">Maximum overlapping active seasons per commodity per tenant</w:t>
            </w:r>
          </w:p>
        </w:tc>
        <w:tc>
          <w:tcPr/>
          <w:p>
            <w:pPr>
              <w:pStyle w:val="Compact"/>
            </w:pPr>
            <w:r>
              <w:t xml:space="preserve">FR-COOP-010</w:t>
            </w:r>
          </w:p>
        </w:tc>
        <w:tc>
          <w:tcPr/>
          <w:p>
            <w:pPr>
              <w:pStyle w:val="Compact"/>
            </w:pPr>
            <w:r>
              <w:t xml:space="preserve">Confirm with product owner whether concurrent seasons per commodity are permitted.</w:t>
            </w:r>
          </w:p>
        </w:tc>
      </w:tr>
      <w:tr>
        <w:tc>
          <w:tcPr/>
          <w:p>
            <w:pPr>
              <w:pStyle w:val="Compact"/>
            </w:pPr>
            <w:r>
              <w:t xml:space="preserve">CG-COOP-002</w:t>
            </w:r>
          </w:p>
        </w:tc>
        <w:tc>
          <w:tcPr/>
          <w:p>
            <w:pPr>
              <w:pStyle w:val="Compact"/>
            </w:pPr>
            <w:r>
              <w:t xml:space="preserve">NIRA real-time NIN verification API availability</w:t>
            </w:r>
          </w:p>
        </w:tc>
        <w:tc>
          <w:tcPr/>
          <w:p>
            <w:pPr>
              <w:pStyle w:val="Compact"/>
            </w:pPr>
            <w:r>
              <w:t xml:space="preserve">FR-COOP-011</w:t>
            </w:r>
          </w:p>
        </w:tc>
        <w:tc>
          <w:tcPr/>
          <w:p>
            <w:pPr>
              <w:pStyle w:val="Compact"/>
            </w:pPr>
            <w:r>
              <w:t xml:space="preserve">Confirm API availability, authentication method, and SLA; update FR-COOP-011 accordingly.</w:t>
            </w:r>
          </w:p>
        </w:tc>
      </w:tr>
      <w:tr>
        <w:tc>
          <w:tcPr/>
          <w:p>
            <w:pPr>
              <w:pStyle w:val="Compact"/>
            </w:pPr>
            <w:r>
              <w:t xml:space="preserve">CG-COOP-003</w:t>
            </w:r>
          </w:p>
        </w:tc>
        <w:tc>
          <w:tcPr/>
          <w:p>
            <w:pPr>
              <w:pStyle w:val="Compact"/>
            </w:pPr>
            <w:r>
              <w:t xml:space="preserve">Specific weighbridge hardware models at collection centres</w:t>
            </w:r>
          </w:p>
        </w:tc>
        <w:tc>
          <w:tcPr/>
          <w:p>
            <w:pPr>
              <w:pStyle w:val="Compact"/>
            </w:pPr>
            <w:r>
              <w:t xml:space="preserve">FR-COOP-030, FR-COOP-032, FR-COOP-033</w:t>
            </w:r>
          </w:p>
        </w:tc>
        <w:tc>
          <w:tcPr/>
          <w:p>
            <w:pPr>
              <w:pStyle w:val="Compact"/>
            </w:pPr>
            <w:r>
              <w:t xml:space="preserve">Obtain make/model list from cooperative partners; validate RS-232 output format and stability flag.</w:t>
            </w:r>
          </w:p>
        </w:tc>
      </w:tr>
      <w:tr>
        <w:tc>
          <w:tcPr/>
          <w:p>
            <w:pPr>
              <w:pStyle w:val="Compact"/>
            </w:pPr>
            <w:r>
              <w:t xml:space="preserve">CG-COOP-004</w:t>
            </w:r>
          </w:p>
        </w:tc>
        <w:tc>
          <w:tcPr/>
          <w:p>
            <w:pPr>
              <w:pStyle w:val="Compact"/>
            </w:pPr>
            <w:r>
              <w:t xml:space="preserve">MTN Mobile Money Uganda API version and authentication</w:t>
            </w:r>
          </w:p>
        </w:tc>
        <w:tc>
          <w:tcPr/>
          <w:p>
            <w:pPr>
              <w:pStyle w:val="Compact"/>
            </w:pPr>
            <w:r>
              <w:t xml:space="preserve">FR-COOP-045, FR-COOP-046, FR-COOP-047</w:t>
            </w:r>
          </w:p>
        </w:tc>
        <w:tc>
          <w:tcPr/>
          <w:p>
            <w:pPr>
              <w:pStyle w:val="Compact"/>
            </w:pPr>
            <w:r>
              <w:t xml:space="preserve">Obtain MTN API documentation; confirm OAuth 2.0 or API key; update integration contract.</w:t>
            </w:r>
          </w:p>
        </w:tc>
      </w:tr>
      <w:tr>
        <w:tc>
          <w:tcPr/>
          <w:p>
            <w:pPr>
              <w:pStyle w:val="Compact"/>
            </w:pPr>
            <w:r>
              <w:t xml:space="preserve">CG-COOP-005</w:t>
            </w:r>
          </w:p>
        </w:tc>
        <w:tc>
          <w:tcPr/>
          <w:p>
            <w:pPr>
              <w:pStyle w:val="Compact"/>
            </w:pPr>
            <w:r>
              <w:t xml:space="preserve">Airtel Money Uganda API sandbox availability</w:t>
            </w:r>
          </w:p>
        </w:tc>
        <w:tc>
          <w:tcPr/>
          <w:p>
            <w:pPr>
              <w:pStyle w:val="Compact"/>
            </w:pPr>
            <w:r>
              <w:t xml:space="preserve">FR-COOP-045, FR-COOP-046</w:t>
            </w:r>
          </w:p>
        </w:tc>
        <w:tc>
          <w:tcPr/>
          <w:p>
            <w:pPr>
              <w:pStyle w:val="Compact"/>
            </w:pPr>
            <w:r>
              <w:t xml:space="preserve">Confirm sandbox access with Airtel for integration testing.</w:t>
            </w:r>
          </w:p>
        </w:tc>
      </w:tr>
      <w:tr>
        <w:tc>
          <w:tcPr/>
          <w:p>
            <w:pPr>
              <w:pStyle w:val="Compact"/>
            </w:pPr>
            <w:r>
              <w:t xml:space="preserve">CG-COOP-006</w:t>
            </w:r>
          </w:p>
        </w:tc>
        <w:tc>
          <w:tcPr/>
          <w:p>
            <w:pPr>
              <w:pStyle w:val="Compact"/>
            </w:pPr>
            <w:r>
              <w:t xml:space="preserve">Float management pre-disbursement gate</w:t>
            </w:r>
          </w:p>
        </w:tc>
        <w:tc>
          <w:tcPr/>
          <w:p>
            <w:pPr>
              <w:pStyle w:val="Compact"/>
            </w:pPr>
            <w:r>
              <w:t xml:space="preserve">FR-COOP-044</w:t>
            </w:r>
          </w:p>
        </w:tc>
        <w:tc>
          <w:tcPr/>
          <w:p>
            <w:pPr>
              <w:pStyle w:val="Compact"/>
            </w:pPr>
            <w:r>
              <w:t xml:space="preserve">Confirm whether the system checks float balance before initiating the batch or relies on provider error responses only.</w:t>
            </w:r>
          </w:p>
        </w:tc>
      </w:tr>
      <w:tr>
        <w:tc>
          <w:tcPr/>
          <w:p>
            <w:pPr>
              <w:pStyle w:val="Compact"/>
            </w:pPr>
            <w:r>
              <w:t xml:space="preserve">CG-COOP-007</w:t>
            </w:r>
          </w:p>
        </w:tc>
        <w:tc>
          <w:tcPr/>
          <w:p>
            <w:pPr>
              <w:pStyle w:val="Compact"/>
            </w:pPr>
            <w:r>
              <w:t xml:space="preserve">UCDA minimum support price API or manual entry</w:t>
            </w:r>
          </w:p>
        </w:tc>
        <w:tc>
          <w:tcPr/>
          <w:p>
            <w:pPr>
              <w:pStyle w:val="Compact"/>
            </w:pPr>
            <w:r>
              <w:t xml:space="preserve">FR-COOP-058</w:t>
            </w:r>
          </w:p>
        </w:tc>
        <w:tc>
          <w:tcPr/>
          <w:p>
            <w:pPr>
              <w:pStyle w:val="Compact"/>
            </w:pPr>
            <w:r>
              <w:t xml:space="preserve">Confirm whether UCDA publishes a machine-readable price schedule or the administrator enters it manually.</w:t>
            </w:r>
          </w:p>
        </w:tc>
      </w:tr>
      <w:tr>
        <w:tc>
          <w:tcPr/>
          <w:p>
            <w:pPr>
              <w:pStyle w:val="Compact"/>
            </w:pPr>
            <w:r>
              <w:t xml:space="preserve">CG-COOP-008</w:t>
            </w:r>
          </w:p>
        </w:tc>
        <w:tc>
          <w:tcPr/>
          <w:p>
            <w:pPr>
              <w:pStyle w:val="Compact"/>
            </w:pPr>
            <w:r>
              <w:t xml:space="preserve">KTDA green leaf and bonus payment cycle rules</w:t>
            </w:r>
          </w:p>
        </w:tc>
        <w:tc>
          <w:tcPr/>
          <w:p>
            <w:pPr>
              <w:pStyle w:val="Compact"/>
            </w:pPr>
            <w:r>
              <w:t xml:space="preserve">FR-COOP-022, NFR-COOP-015</w:t>
            </w:r>
          </w:p>
        </w:tc>
        <w:tc>
          <w:tcPr/>
          <w:p>
            <w:pPr>
              <w:pStyle w:val="Compact"/>
            </w:pPr>
            <w:r>
              <w:t xml:space="preserve">Obtain KTDA payment cycle specifications; confirm whether these are configurable per tenant.</w:t>
            </w:r>
          </w:p>
        </w:tc>
      </w:tr>
      <w:tr>
        <w:tc>
          <w:tcPr/>
          <w:p>
            <w:pPr>
              <w:pStyle w:val="Compact"/>
            </w:pPr>
            <w:r>
              <w:t xml:space="preserve">CG-COOP-009</w:t>
            </w:r>
          </w:p>
        </w:tc>
        <w:tc>
          <w:tcPr/>
          <w:p>
            <w:pPr>
              <w:pStyle w:val="Compact"/>
            </w:pPr>
            <w:r>
              <w:t xml:space="preserve">NAEB export levy rate schedule</w:t>
            </w:r>
          </w:p>
        </w:tc>
        <w:tc>
          <w:tcPr/>
          <w:p>
            <w:pPr>
              <w:pStyle w:val="Compact"/>
            </w:pPr>
            <w:r>
              <w:t xml:space="preserve">FR-COOP-022, FR-COOP-042</w:t>
            </w:r>
          </w:p>
        </w:tc>
        <w:tc>
          <w:tcPr/>
          <w:p>
            <w:pPr>
              <w:pStyle w:val="Compact"/>
            </w:pPr>
            <w:r>
              <w:t xml:space="preserve">Obtain current NAEB levy percentages for coffee and tea from the Rwanda tenant contact.</w:t>
            </w:r>
          </w:p>
        </w:tc>
      </w:tr>
      <w:tr>
        <w:tc>
          <w:tcPr/>
          <w:p>
            <w:pPr>
              <w:pStyle w:val="Compact"/>
            </w:pPr>
            <w:r>
              <w:t xml:space="preserve">CG-COOP-010</w:t>
            </w:r>
          </w:p>
        </w:tc>
        <w:tc>
          <w:tcPr/>
          <w:p>
            <w:pPr>
              <w:pStyle w:val="Compact"/>
            </w:pPr>
            <w:r>
              <w:t xml:space="preserve">Target mobile platform(s) for offline mode</w:t>
            </w:r>
          </w:p>
        </w:tc>
        <w:tc>
          <w:tcPr/>
          <w:p>
            <w:pPr>
              <w:pStyle w:val="Compact"/>
            </w:pPr>
            <w:r>
              <w:t xml:space="preserve">FR-COOP-059 to FR-COOP-065</w:t>
            </w:r>
          </w:p>
        </w:tc>
        <w:tc>
          <w:tcPr/>
          <w:p>
            <w:pPr>
              <w:pStyle w:val="Compact"/>
            </w:pPr>
            <w:r>
              <w:t xml:space="preserve">Confirm Android-only, iOS-only, or both; specify minimum OS versions and storage requirements.</w:t>
            </w:r>
          </w:p>
        </w:tc>
      </w:tr>
      <w:tr>
        <w:tc>
          <w:tcPr/>
          <w:p>
            <w:pPr>
              <w:pStyle w:val="Compact"/>
            </w:pPr>
            <w:r>
              <w:t xml:space="preserve">CG-COOP-011</w:t>
            </w:r>
          </w:p>
        </w:tc>
        <w:tc>
          <w:tcPr/>
          <w:p>
            <w:pPr>
              <w:pStyle w:val="Compact"/>
            </w:pPr>
            <w:r>
              <w:t xml:space="preserve">Minimum device hardware specification for offline officers</w:t>
            </w:r>
          </w:p>
        </w:tc>
        <w:tc>
          <w:tcPr/>
          <w:p>
            <w:pPr>
              <w:pStyle w:val="Compact"/>
            </w:pPr>
            <w:r>
              <w:t xml:space="preserve">FR-COOP-061</w:t>
            </w:r>
          </w:p>
        </w:tc>
        <w:tc>
          <w:tcPr/>
          <w:p>
            <w:pPr>
              <w:pStyle w:val="Compact"/>
            </w:pPr>
            <w:r>
              <w:t xml:space="preserve">Confirm minimum Android API level (or iOS version) and available device storage for 72-hour data footprint.</w:t>
            </w:r>
          </w:p>
        </w:tc>
      </w:tr>
      <w:tr>
        <w:tc>
          <w:tcPr/>
          <w:p>
            <w:pPr>
              <w:pStyle w:val="Compact"/>
            </w:pPr>
            <w:r>
              <w:t xml:space="preserve">CG-COOP-012</w:t>
            </w:r>
          </w:p>
        </w:tc>
        <w:tc>
          <w:tcPr/>
          <w:p>
            <w:pPr>
              <w:pStyle w:val="Compact"/>
            </w:pPr>
            <w:r>
              <w:t xml:space="preserve">Luganda translation strings</w:t>
            </w:r>
          </w:p>
        </w:tc>
        <w:tc>
          <w:tcPr/>
          <w:p>
            <w:pPr>
              <w:pStyle w:val="Compact"/>
            </w:pPr>
            <w:r>
              <w:t xml:space="preserve">NFR-COOP-019</w:t>
            </w:r>
          </w:p>
        </w:tc>
        <w:tc>
          <w:tcPr/>
          <w:p>
            <w:pPr>
              <w:pStyle w:val="Compact"/>
            </w:pPr>
            <w:r>
              <w:t xml:space="preserve">Confirm whether Chwezi Core provides translations or the cooperative society supplies them.</w:t>
            </w:r>
          </w:p>
        </w:tc>
      </w:tr>
      <w:tr>
        <w:tc>
          <w:tcPr/>
          <w:p>
            <w:pPr>
              <w:pStyle w:val="Compact"/>
            </w:pPr>
            <w:r>
              <w:t xml:space="preserve">CG-COOP-013</w:t>
            </w:r>
          </w:p>
        </w:tc>
        <w:tc>
          <w:tcPr/>
          <w:p>
            <w:pPr>
              <w:pStyle w:val="Compact"/>
            </w:pPr>
            <w:r>
              <w:t xml:space="preserve">KTDA Factory Management System report field layout</w:t>
            </w:r>
          </w:p>
        </w:tc>
        <w:tc>
          <w:tcPr/>
          <w:p>
            <w:pPr>
              <w:pStyle w:val="Compact"/>
            </w:pPr>
            <w:r>
              <w:t xml:space="preserve">NFR-COOP-015</w:t>
            </w:r>
          </w:p>
        </w:tc>
        <w:tc>
          <w:tcPr/>
          <w:p>
            <w:pPr>
              <w:pStyle w:val="Compact"/>
            </w:pPr>
            <w:r>
              <w:t xml:space="preserve">Obtain the KTDA FMS file format specification (CSV/PDF/XML) and field layout for the monthly payment advice report.</w:t>
            </w:r>
          </w:p>
        </w:tc>
      </w:tr>
    </w:tbl>
    <w:bookmarkEnd w:id="70"/>
    <w:bookmarkEnd w:id="71"/>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Outgrower &amp; Farmer Operations</dc:title>
  <dc:creator/>
  <cp:keywords/>
  <dcterms:created xsi:type="dcterms:W3CDTF">2026-08-08T22:03:00Z</dcterms:created>
  <dcterms:modified xsi:type="dcterms:W3CDTF">2026-08-08T22:03:00Z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Confidential — Internal Use Only</vt:lpwstr>
  </property>
  <property fmtid="{D5CDD505-2E9C-101B-9397-08002B2CF9AE}" pid="3" name="date">
    <vt:lpwstr>2026-07-22</vt:lpwstr>
  </property>
  <property fmtid="{D5CDD505-2E9C-101B-9397-08002B2CF9AE}" pid="4" name="status">
    <vt:lpwstr>Evidence-aligned draft</vt:lpwstr>
  </property>
  <property fmtid="{D5CDD505-2E9C-101B-9397-08002B2CF9AE}" pid="5" name="subtitle">
    <vt:lpwstr>Kraal Code — Module 11</vt:lpwstr>
  </property>
  <property fmtid="{D5CDD505-2E9C-101B-9397-08002B2CF9AE}" pid="6" name="version">
    <vt:lpwstr>1.1.0</vt:lpwstr>
  </property>
</Properties>
</file>