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Software Requirements Specification: Platform Integration Layer</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Platform Integration Layer</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9" w:name="Xe3d0fc0bea9a42ce7605565d0964033d7f6ee47"/>
    <w:p>
      <w:pPr>
        <w:pStyle w:val="Heading1"/>
      </w:pPr>
      <w:r>
        <w:t xml:space="preserve">1. Introduction</w:t>
      </w:r>
    </w:p>
    <w:bookmarkStart w:id="1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Integration Layer of Kraal Code. The Integration Layer provides all outbound and inbound communication between Kraal Code and external regulatory authorities, payment networks, and consumer systems. This document is authoritative for the design, development, testing, and audit of the following integration domains:</w:t>
      </w:r>
    </w:p>
    <w:p>
      <w:pPr>
        <w:pStyle w:val="Compact"/>
        <w:numPr>
          <w:ilvl w:val="0"/>
          <w:numId w:val="1001"/>
        </w:numPr>
      </w:pPr>
      <w:r>
        <w:t xml:space="preserve">Uganda Revenue Authority Electronic Fiscal Receipting and Invoicing System (EFRIS)</w:t>
      </w:r>
    </w:p>
    <w:p>
      <w:pPr>
        <w:pStyle w:val="Compact"/>
        <w:numPr>
          <w:ilvl w:val="0"/>
          <w:numId w:val="1001"/>
        </w:numPr>
      </w:pPr>
      <w:r>
        <w:t xml:space="preserve">Mobile Money payment networks: MTN Mobile Money (MoMo), Airtel Money, and M-Pesa</w:t>
      </w:r>
    </w:p>
    <w:p>
      <w:pPr>
        <w:pStyle w:val="Compact"/>
        <w:numPr>
          <w:ilvl w:val="0"/>
          <w:numId w:val="1001"/>
        </w:numPr>
      </w:pPr>
      <w:r>
        <w:t xml:space="preserve">Kenya Revenue Authority electronic Tax Invoice Management System (KRA eTIMS)</w:t>
      </w:r>
    </w:p>
    <w:p>
      <w:pPr>
        <w:pStyle w:val="Compact"/>
        <w:numPr>
          <w:ilvl w:val="0"/>
          <w:numId w:val="1001"/>
        </w:numPr>
      </w:pPr>
      <w:r>
        <w:t xml:space="preserve">National Social Security Fund (NSSF) payroll contribution submission</w:t>
      </w:r>
    </w:p>
    <w:p>
      <w:pPr>
        <w:pStyle w:val="Compact"/>
        <w:numPr>
          <w:ilvl w:val="0"/>
          <w:numId w:val="1001"/>
        </w:numPr>
      </w:pPr>
      <w:r>
        <w:t xml:space="preserve">Outbound webhook and REST event notification framework</w:t>
      </w:r>
    </w:p>
    <w:bookmarkEnd w:id="11"/>
    <w:bookmarkStart w:id="12" w:name="X3378fde8998068a01e48267892e5cd923e9bc15"/>
    <w:p>
      <w:pPr>
        <w:pStyle w:val="Heading2"/>
      </w:pPr>
      <w:r>
        <w:t xml:space="preserve">1.2 Scope</w:t>
      </w:r>
    </w:p>
    <w:p>
      <w:pPr>
        <w:pStyle w:val="FirstParagraph"/>
      </w:pPr>
      <w:r>
        <w:t xml:space="preserve">The Integration Layer is a platform-level subsystem of Kraal Code. It is not a standalone product. Requirements in this document govern the behaviour of the integration subsystem under all localisation profiles and across all tenant configurations.</w:t>
      </w:r>
    </w:p>
    <w:p>
      <w:pPr>
        <w:pStyle w:val="BodyText"/>
      </w:pPr>
      <w:r>
        <w:t xml:space="preserve">The Integration Layer does not implement business logic belonging to the Sales, Procurement, HR &amp; Payroll, or Accounting modules. It provides transport, authentication, queuing, retry, and callback services that those modules consume.</w:t>
      </w:r>
    </w:p>
    <w:bookmarkEnd w:id="12"/>
    <w:bookmarkStart w:id="13" w:name="X474da118801d895994d94418fb9e7d231973d17"/>
    <w:p>
      <w:pPr>
        <w:pStyle w:val="Heading2"/>
      </w:pPr>
      <w:r>
        <w:t xml:space="preserve">1.3 Definitions</w:t>
      </w:r>
    </w:p>
    <w:p>
      <w:pPr>
        <w:pStyle w:val="FirstParagraph"/>
      </w:pPr>
      <w:r>
        <w:t xml:space="preserve">The following terms are used throughout this document. All definitions conform to IEEE Std 610.12-1990 unless otherwise stated.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Callback</w:t>
            </w:r>
          </w:p>
        </w:tc>
        <w:tc>
          <w:tcPr/>
          <w:p>
            <w:pPr>
              <w:pStyle w:val="Compact"/>
            </w:pPr>
            <w:r>
              <w:t xml:space="preserve">An inbound HTTP POST request delivered by a third-party service to a Kraal Code endpoint, carrying a transaction status update.</w:t>
            </w:r>
          </w:p>
        </w:tc>
      </w:tr>
      <w:tr>
        <w:tc>
          <w:tcPr/>
          <w:p>
            <w:pPr>
              <w:pStyle w:val="Compact"/>
            </w:pPr>
            <w:r>
              <w:t xml:space="preserve">Dead-Letter Queue (DLQ)</w:t>
            </w:r>
          </w:p>
        </w:tc>
        <w:tc>
          <w:tcPr/>
          <w:p>
            <w:pPr>
              <w:pStyle w:val="Compact"/>
            </w:pPr>
            <w:r>
              <w:t xml:space="preserve">A storage queue for payloads that have exhausted all retry attempts without successful delivery.</w:t>
            </w:r>
          </w:p>
        </w:tc>
      </w:tr>
      <w:tr>
        <w:tc>
          <w:tcPr/>
          <w:p>
            <w:pPr>
              <w:pStyle w:val="Compact"/>
            </w:pPr>
            <w:r>
              <w:t xml:space="preserve">EFRIS</w:t>
            </w:r>
          </w:p>
        </w:tc>
        <w:tc>
          <w:tcPr/>
          <w:p>
            <w:pPr>
              <w:pStyle w:val="Compact"/>
            </w:pPr>
            <w:r>
              <w:t xml:space="preserve">Electronic Fiscal Receipting and Invoicing System — Uganda Revenue Authority's mandatory e-invoicing platform.</w:t>
            </w:r>
          </w:p>
        </w:tc>
      </w:tr>
      <w:tr>
        <w:tc>
          <w:tcPr/>
          <w:p>
            <w:pPr>
              <w:pStyle w:val="Compact"/>
            </w:pPr>
            <w:r>
              <w:t xml:space="preserve">Exponential Backoff</w:t>
            </w:r>
          </w:p>
        </w:tc>
        <w:tc>
          <w:tcPr/>
          <w:p>
            <w:pPr>
              <w:pStyle w:val="Compact"/>
            </w:pPr>
            <w:r>
              <w:t xml:space="preserve">A retry timing strategy in which the wait interval between successive attempts increases geometrically (e.g., 30 s, 60 s, 120 s).</w:t>
            </w:r>
          </w:p>
        </w:tc>
      </w:tr>
      <w:tr>
        <w:tc>
          <w:tcPr/>
          <w:p>
            <w:pPr>
              <w:pStyle w:val="Compact"/>
            </w:pPr>
            <w:r>
              <w:t xml:space="preserve">Fiscal Document Number</w:t>
            </w:r>
          </w:p>
        </w:tc>
        <w:tc>
          <w:tcPr/>
          <w:p>
            <w:pPr>
              <w:pStyle w:val="Compact"/>
            </w:pPr>
            <w:r>
              <w:t xml:space="preserve">A unique identifier returned by EFRIS or KRA eTIMS upon successful invoice submission, used as proof of fiscal registration.</w:t>
            </w:r>
          </w:p>
        </w:tc>
      </w:tr>
      <w:tr>
        <w:tc>
          <w:tcPr/>
          <w:p>
            <w:pPr>
              <w:pStyle w:val="Compact"/>
            </w:pPr>
            <w:r>
              <w:t xml:space="preserve">HMAC-SHA256</w:t>
            </w:r>
          </w:p>
        </w:tc>
        <w:tc>
          <w:tcPr/>
          <w:p>
            <w:pPr>
              <w:pStyle w:val="Compact"/>
            </w:pPr>
            <w:r>
              <w:t xml:space="preserve">Hash-based Message Authentication Code using the SHA-256 algorithm — used to sign outbound webhook payloads.</w:t>
            </w:r>
          </w:p>
        </w:tc>
      </w:tr>
      <w:tr>
        <w:tc>
          <w:tcPr/>
          <w:p>
            <w:pPr>
              <w:pStyle w:val="Compact"/>
            </w:pPr>
            <w:r>
              <w:t xml:space="preserve">Integration Plugin</w:t>
            </w:r>
          </w:p>
        </w:tc>
        <w:tc>
          <w:tcPr/>
          <w:p>
            <w:pPr>
              <w:pStyle w:val="Compact"/>
            </w:pPr>
            <w:r>
              <w:t xml:space="preserve">A self-contained software component that implements the interface contract for a single third-party provider (e.g., MTN MoMo plugin).</w:t>
            </w:r>
          </w:p>
        </w:tc>
      </w:tr>
      <w:tr>
        <w:tc>
          <w:tcPr/>
          <w:p>
            <w:pPr>
              <w:pStyle w:val="Compact"/>
            </w:pPr>
            <w:r>
              <w:t xml:space="preserve">KRA eTIMS</w:t>
            </w:r>
          </w:p>
        </w:tc>
        <w:tc>
          <w:tcPr/>
          <w:p>
            <w:pPr>
              <w:pStyle w:val="Compact"/>
            </w:pPr>
            <w:r>
              <w:t xml:space="preserve">Kenya Revenue Authority electronic Tax Invoice Management System — Kenya's mandatory fiscal invoicing API.</w:t>
            </w:r>
          </w:p>
        </w:tc>
      </w:tr>
      <w:tr>
        <w:tc>
          <w:tcPr/>
          <w:p>
            <w:pPr>
              <w:pStyle w:val="Compact"/>
            </w:pPr>
            <w:r>
              <w:t xml:space="preserve">Localisation Profile</w:t>
            </w:r>
          </w:p>
        </w:tc>
        <w:tc>
          <w:tcPr/>
          <w:p>
            <w:pPr>
              <w:pStyle w:val="Compact"/>
            </w:pPr>
            <w:r>
              <w:t xml:space="preserve">A tenant-level configuration flag (e.g.,</w:t>
            </w:r>
            <w:r>
              <w:t xml:space="preserve"> </w:t>
            </w:r>
            <w:r>
              <w:rPr>
                <w:rStyle w:val="VerbatimChar"/>
              </w:rPr>
              <w:t xml:space="preserve">UG</w:t>
            </w:r>
            <w:r>
              <w:t xml:space="preserve">,</w:t>
            </w:r>
            <w:r>
              <w:t xml:space="preserve"> </w:t>
            </w:r>
            <w:r>
              <w:rPr>
                <w:rStyle w:val="VerbatimChar"/>
              </w:rPr>
              <w:t xml:space="preserve">KE</w:t>
            </w:r>
            <w:r>
              <w:t xml:space="preserve">) that activates or deactivates country-specific compliance integrations.</w:t>
            </w:r>
          </w:p>
        </w:tc>
      </w:tr>
      <w:tr>
        <w:tc>
          <w:tcPr/>
          <w:p>
            <w:pPr>
              <w:pStyle w:val="Compact"/>
            </w:pPr>
            <w:r>
              <w:t xml:space="preserve">MoMo</w:t>
            </w:r>
          </w:p>
        </w:tc>
        <w:tc>
          <w:tcPr/>
          <w:p>
            <w:pPr>
              <w:pStyle w:val="Compact"/>
            </w:pPr>
            <w:r>
              <w:t xml:space="preserve">MTN Mobile Money — a mobile payment service operated by MTN Group.</w:t>
            </w:r>
          </w:p>
        </w:tc>
      </w:tr>
      <w:tr>
        <w:tc>
          <w:tcPr/>
          <w:p>
            <w:pPr>
              <w:pStyle w:val="Compact"/>
            </w:pPr>
            <w:r>
              <w:t xml:space="preserve">NSSF</w:t>
            </w:r>
          </w:p>
        </w:tc>
        <w:tc>
          <w:tcPr/>
          <w:p>
            <w:pPr>
              <w:pStyle w:val="Compact"/>
            </w:pPr>
            <w:r>
              <w:t xml:space="preserve">National Social Security Fund — a statutory social insurance body operating in Uganda and Kenya.</w:t>
            </w:r>
          </w:p>
        </w:tc>
      </w:tr>
      <w:tr>
        <w:tc>
          <w:tcPr/>
          <w:p>
            <w:pPr>
              <w:pStyle w:val="Compact"/>
            </w:pPr>
            <w:r>
              <w:t xml:space="preserve">Offline Queue</w:t>
            </w:r>
          </w:p>
        </w:tc>
        <w:tc>
          <w:tcPr/>
          <w:p>
            <w:pPr>
              <w:pStyle w:val="Compact"/>
            </w:pPr>
            <w:r>
              <w:t xml:space="preserve">A durable, persistent queue used to store outbound integration payloads when the target external service is unavailable.</w:t>
            </w:r>
          </w:p>
        </w:tc>
      </w:tr>
      <w:tr>
        <w:tc>
          <w:tcPr/>
          <w:p>
            <w:pPr>
              <w:pStyle w:val="Compact"/>
            </w:pPr>
            <w:r>
              <w:t xml:space="preserve">QR Code</w:t>
            </w:r>
          </w:p>
        </w:tc>
        <w:tc>
          <w:tcPr/>
          <w:p>
            <w:pPr>
              <w:pStyle w:val="Compact"/>
            </w:pPr>
            <w:r>
              <w:t xml:space="preserve">A machine-readable optical label returned by EFRIS and embedded in a printed fiscal invoice.</w:t>
            </w:r>
          </w:p>
        </w:tc>
      </w:tr>
      <w:tr>
        <w:tc>
          <w:tcPr/>
          <w:p>
            <w:pPr>
              <w:pStyle w:val="Compact"/>
            </w:pPr>
            <w:r>
              <w:t xml:space="preserve">Tenant</w:t>
            </w:r>
          </w:p>
        </w:tc>
        <w:tc>
          <w:tcPr/>
          <w:p>
            <w:pPr>
              <w:pStyle w:val="Compact"/>
            </w:pPr>
            <w:r>
              <w:t xml:space="preserve">A single organisational customer of the Kraal Code SaaS platform, operating within an isolated multi-tenant environment.</w:t>
            </w:r>
          </w:p>
        </w:tc>
      </w:tr>
      <w:tr>
        <w:tc>
          <w:tcPr/>
          <w:p>
            <w:pPr>
              <w:pStyle w:val="Compact"/>
            </w:pPr>
            <w:r>
              <w:t xml:space="preserve">Webhook</w:t>
            </w:r>
          </w:p>
        </w:tc>
        <w:tc>
          <w:tcPr/>
          <w:p>
            <w:pPr>
              <w:pStyle w:val="Compact"/>
            </w:pPr>
            <w:r>
              <w:t xml:space="preserve">An outbound HTTP POST notification sent by Kraal Code to a tenant-registered URL upon occurrence of a defined system event.</w:t>
            </w:r>
          </w:p>
        </w:tc>
      </w:tr>
    </w:tbl>
    <w:bookmarkEnd w:id="13"/>
    <w:bookmarkStart w:id="14" w:name="X139500f8ed8ff182902430ae7b2cd432421f2d4"/>
    <w:p>
      <w:pPr>
        <w:pStyle w:val="Heading2"/>
      </w:pPr>
      <w:r>
        <w:t xml:space="preserve">1.4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AES</w:t>
            </w:r>
          </w:p>
        </w:tc>
        <w:tc>
          <w:tcPr/>
          <w:p>
            <w:pPr>
              <w:pStyle w:val="Compact"/>
            </w:pPr>
            <w:r>
              <w:t xml:space="preserve">Advanced Encryption Standard</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DLQ</w:t>
            </w:r>
          </w:p>
        </w:tc>
        <w:tc>
          <w:tcPr/>
          <w:p>
            <w:pPr>
              <w:pStyle w:val="Compact"/>
            </w:pPr>
            <w:r>
              <w:t xml:space="preserve">Dead-Letter Queue</w:t>
            </w:r>
          </w:p>
        </w:tc>
      </w:tr>
      <w:tr>
        <w:tc>
          <w:tcPr/>
          <w:p>
            <w:pPr>
              <w:pStyle w:val="Compact"/>
            </w:pPr>
            <w:r>
              <w:t xml:space="preserve">EFRIS</w:t>
            </w:r>
          </w:p>
        </w:tc>
        <w:tc>
          <w:tcPr/>
          <w:p>
            <w:pPr>
              <w:pStyle w:val="Compact"/>
            </w:pPr>
            <w:r>
              <w:t xml:space="preserve">Electronic Fiscal Receipting and Invoicing System</w:t>
            </w:r>
          </w:p>
        </w:tc>
      </w:tr>
      <w:tr>
        <w:tc>
          <w:tcPr/>
          <w:p>
            <w:pPr>
              <w:pStyle w:val="Compact"/>
            </w:pPr>
            <w:r>
              <w:t xml:space="preserve">ERP</w:t>
            </w:r>
          </w:p>
        </w:tc>
        <w:tc>
          <w:tcPr/>
          <w:p>
            <w:pPr>
              <w:pStyle w:val="Compact"/>
            </w:pPr>
            <w:r>
              <w:t xml:space="preserve">Enterprise Resource Planning</w:t>
            </w:r>
          </w:p>
        </w:tc>
      </w:tr>
      <w:tr>
        <w:tc>
          <w:tcPr/>
          <w:p>
            <w:pPr>
              <w:pStyle w:val="Compact"/>
            </w:pPr>
            <w:r>
              <w:t xml:space="preserve">HMAC</w:t>
            </w:r>
          </w:p>
        </w:tc>
        <w:tc>
          <w:tcPr/>
          <w:p>
            <w:pPr>
              <w:pStyle w:val="Compact"/>
            </w:pPr>
            <w:r>
              <w:t xml:space="preserve">Hash-based Message Authentication Code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KRA</w:t>
            </w:r>
          </w:p>
        </w:tc>
        <w:tc>
          <w:tcPr/>
          <w:p>
            <w:pPr>
              <w:pStyle w:val="Compact"/>
            </w:pPr>
            <w:r>
              <w:t xml:space="preserve">Kenya Revenue Authority</w:t>
            </w:r>
          </w:p>
        </w:tc>
      </w:tr>
      <w:tr>
        <w:tc>
          <w:tcPr/>
          <w:p>
            <w:pPr>
              <w:pStyle w:val="Compact"/>
            </w:pPr>
            <w:r>
              <w:t xml:space="preserve">MoMo</w:t>
            </w:r>
          </w:p>
        </w:tc>
        <w:tc>
          <w:tcPr/>
          <w:p>
            <w:pPr>
              <w:pStyle w:val="Compact"/>
            </w:pPr>
            <w:r>
              <w:t xml:space="preserve">Mobile Money</w:t>
            </w:r>
          </w:p>
        </w:tc>
      </w:tr>
      <w:tr>
        <w:tc>
          <w:tcPr/>
          <w:p>
            <w:pPr>
              <w:pStyle w:val="Compact"/>
            </w:pPr>
            <w:r>
              <w:t xml:space="preserve">NSSF</w:t>
            </w:r>
          </w:p>
        </w:tc>
        <w:tc>
          <w:tcPr/>
          <w:p>
            <w:pPr>
              <w:pStyle w:val="Compact"/>
            </w:pPr>
            <w:r>
              <w:t xml:space="preserve">National Social Security Fund</w:t>
            </w:r>
          </w:p>
        </w:tc>
      </w:tr>
      <w:tr>
        <w:tc>
          <w:tcPr/>
          <w:p>
            <w:pPr>
              <w:pStyle w:val="Compact"/>
            </w:pPr>
            <w:r>
              <w:t xml:space="preserve">P95</w:t>
            </w:r>
          </w:p>
        </w:tc>
        <w:tc>
          <w:tcPr/>
          <w:p>
            <w:pPr>
              <w:pStyle w:val="Compact"/>
            </w:pPr>
            <w:r>
              <w:t xml:space="preserve">95th percentile of a latency distribution</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SFTP</w:t>
            </w:r>
          </w:p>
        </w:tc>
        <w:tc>
          <w:tcPr/>
          <w:p>
            <w:pPr>
              <w:pStyle w:val="Compact"/>
            </w:pPr>
            <w:r>
              <w:t xml:space="preserve">SSH File Transfer Protocol</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TLS</w:t>
            </w:r>
          </w:p>
        </w:tc>
        <w:tc>
          <w:tcPr/>
          <w:p>
            <w:pPr>
              <w:pStyle w:val="Compact"/>
            </w:pPr>
            <w:r>
              <w:t xml:space="preserve">Transport Layer Security</w:t>
            </w:r>
          </w:p>
        </w:tc>
      </w:tr>
      <w:tr>
        <w:tc>
          <w:tcPr/>
          <w:p>
            <w:pPr>
              <w:pStyle w:val="Compact"/>
            </w:pPr>
            <w:r>
              <w:t xml:space="preserve">URA</w:t>
            </w:r>
          </w:p>
        </w:tc>
        <w:tc>
          <w:tcPr/>
          <w:p>
            <w:pPr>
              <w:pStyle w:val="Compact"/>
            </w:pPr>
            <w:r>
              <w:t xml:space="preserve">Uganda Revenue Authority</w:t>
            </w:r>
          </w:p>
        </w:tc>
      </w:tr>
      <w:tr>
        <w:tc>
          <w:tcPr/>
          <w:p>
            <w:pPr>
              <w:pStyle w:val="Compact"/>
            </w:pPr>
            <w:r>
              <w:t xml:space="preserve">UTC</w:t>
            </w:r>
          </w:p>
        </w:tc>
        <w:tc>
          <w:tcPr/>
          <w:p>
            <w:pPr>
              <w:pStyle w:val="Compact"/>
            </w:pPr>
            <w:r>
              <w:t xml:space="preserve">Coordinated Universal Time</w:t>
            </w:r>
          </w:p>
        </w:tc>
      </w:tr>
    </w:tbl>
    <w:bookmarkEnd w:id="14"/>
    <w:bookmarkStart w:id="17" w:name="X157fa76a3f2aa19f18de5b6d9d84be16409a55c"/>
    <w:p>
      <w:pPr>
        <w:pStyle w:val="Heading2"/>
      </w:pPr>
      <w:r>
        <w:t xml:space="preserve">1.5 Applicable Standards and References</w:t>
      </w:r>
    </w:p>
    <w:p>
      <w:pPr>
        <w:pStyle w:val="Compact"/>
        <w:numPr>
          <w:ilvl w:val="0"/>
          <w:numId w:val="1002"/>
        </w:numPr>
      </w:pPr>
      <w:r>
        <w:t xml:space="preserve">IEEE Std 830-1998 —</w:t>
      </w:r>
      <w:r>
        <w:t xml:space="preserve"> </w:t>
      </w:r>
      <w:r>
        <w:rPr>
          <w:i/>
          <w:iCs/>
        </w:rPr>
        <w:t xml:space="preserve">Recommended Practice for Software Requirements Specifications</w:t>
      </w:r>
    </w:p>
    <w:p>
      <w:pPr>
        <w:pStyle w:val="Compact"/>
        <w:numPr>
          <w:ilvl w:val="0"/>
          <w:numId w:val="1002"/>
        </w:numPr>
      </w:pPr>
      <w:r>
        <w:t xml:space="preserve">IEEE Std 1233-1998 —</w:t>
      </w:r>
      <w:r>
        <w:t xml:space="preserve"> </w:t>
      </w:r>
      <w:r>
        <w:rPr>
          <w:i/>
          <w:iCs/>
        </w:rPr>
        <w:t xml:space="preserve">Guide for Developing System Requirements Specifications</w:t>
      </w:r>
    </w:p>
    <w:p>
      <w:pPr>
        <w:pStyle w:val="Compact"/>
        <w:numPr>
          <w:ilvl w:val="0"/>
          <w:numId w:val="1002"/>
        </w:numPr>
      </w:pPr>
      <w:r>
        <w:t xml:space="preserve">IEEE Std 610.12-1990 —</w:t>
      </w:r>
      <w:r>
        <w:t xml:space="preserve"> </w:t>
      </w:r>
      <w:r>
        <w:rPr>
          <w:i/>
          <w:iCs/>
        </w:rPr>
        <w:t xml:space="preserve">Standard Glossary of Software Engineering Terminology</w:t>
      </w:r>
    </w:p>
    <w:p>
      <w:pPr>
        <w:pStyle w:val="Compact"/>
        <w:numPr>
          <w:ilvl w:val="0"/>
          <w:numId w:val="1002"/>
        </w:numPr>
      </w:pPr>
      <w:r>
        <w:t xml:space="preserve">ASTM E1340-96 —</w:t>
      </w:r>
      <w:r>
        <w:t xml:space="preserve"> </w:t>
      </w:r>
      <w:r>
        <w:rPr>
          <w:i/>
          <w:iCs/>
        </w:rPr>
        <w:t xml:space="preserve">Standard Guide for Rapid Prototyping of Computerized Systems</w:t>
      </w:r>
    </w:p>
    <w:p>
      <w:pPr>
        <w:pStyle w:val="Compact"/>
        <w:numPr>
          <w:ilvl w:val="0"/>
          <w:numId w:val="1002"/>
        </w:numPr>
      </w:pPr>
      <w:r>
        <w:t xml:space="preserve">PRIME Methodology (Kodukula &amp; Vinueza, 2024) — skill execution workflow for AI-assisted SRS generation</w:t>
      </w:r>
    </w:p>
    <w:p>
      <w:pPr>
        <w:pStyle w:val="Compact"/>
        <w:numPr>
          <w:ilvl w:val="0"/>
          <w:numId w:val="1002"/>
        </w:numPr>
      </w:pPr>
      <w:r>
        <w:t xml:space="preserve">Uganda Revenue Authority EFRIS Integration Guide (version TBC) —</w:t>
      </w:r>
      <w:r>
        <w:t xml:space="preserve"> </w:t>
      </w:r>
      <w:r>
        <w:rPr>
          <w:rStyle w:val="VerbatimChar"/>
        </w:rPr>
        <w:t xml:space="preserve">[CONTEXT-GAP: GAP-001 — EFRIS API endpoint and auth not confirmed]</w:t>
      </w:r>
    </w:p>
    <w:p>
      <w:pPr>
        <w:pStyle w:val="Compact"/>
        <w:numPr>
          <w:ilvl w:val="0"/>
          <w:numId w:val="1002"/>
        </w:numPr>
      </w:pPr>
      <w:r>
        <w:t xml:space="preserve">Kenya Revenue Authority eTIMS API Documentation (version TBC) —</w:t>
      </w:r>
      <w:r>
        <w:t xml:space="preserve"> </w:t>
      </w:r>
      <w:r>
        <w:rPr>
          <w:rStyle w:val="VerbatimChar"/>
        </w:rPr>
        <w:t xml:space="preserve">[CONTEXT-GAP: GAP-009 — KRA eTIMS API specifics not confirmed]</w:t>
      </w:r>
    </w:p>
    <w:p>
      <w:pPr>
        <w:pStyle w:val="Compact"/>
        <w:numPr>
          <w:ilvl w:val="0"/>
          <w:numId w:val="1002"/>
        </w:numPr>
      </w:pPr>
      <w:r>
        <w:t xml:space="preserve">MTN MoMo Developer API Documentation —</w:t>
      </w:r>
      <w:r>
        <w:t xml:space="preserve"> </w:t>
      </w:r>
      <w:hyperlink r:id="rId15">
        <w:r>
          <w:rPr>
            <w:rStyle w:val="Hyperlink"/>
          </w:rPr>
          <w:t xml:space="preserve">https://momodeveloper.mtn.com</w:t>
        </w:r>
      </w:hyperlink>
    </w:p>
    <w:p>
      <w:pPr>
        <w:pStyle w:val="Compact"/>
        <w:numPr>
          <w:ilvl w:val="0"/>
          <w:numId w:val="1002"/>
        </w:numPr>
      </w:pPr>
      <w:r>
        <w:t xml:space="preserve">Airtel Money Africa API Documentation</w:t>
      </w:r>
    </w:p>
    <w:p>
      <w:pPr>
        <w:pStyle w:val="Compact"/>
        <w:numPr>
          <w:ilvl w:val="0"/>
          <w:numId w:val="1002"/>
        </w:numPr>
      </w:pPr>
      <w:r>
        <w:t xml:space="preserve">Safaricom M-Pesa Daraja API Documentation —</w:t>
      </w:r>
      <w:r>
        <w:t xml:space="preserve"> </w:t>
      </w:r>
      <w:hyperlink r:id="rId16">
        <w:r>
          <w:rPr>
            <w:rStyle w:val="Hyperlink"/>
          </w:rPr>
          <w:t xml:space="preserve">https://developer.safaricom.co.ke</w:t>
        </w:r>
      </w:hyperlink>
    </w:p>
    <w:p>
      <w:pPr>
        <w:pStyle w:val="Compact"/>
        <w:numPr>
          <w:ilvl w:val="0"/>
          <w:numId w:val="1002"/>
        </w:numPr>
      </w:pPr>
      <w:r>
        <w:t xml:space="preserve">NSSF Uganda / NSSF Kenya Contribution Submission Specification (version TBC) —</w:t>
      </w:r>
      <w:r>
        <w:t xml:space="preserve"> </w:t>
      </w:r>
      <w:r>
        <w:rPr>
          <w:rStyle w:val="VerbatimChar"/>
        </w:rPr>
        <w:t xml:space="preserve">[CONTEXT-GAP: NSSF API format not confirmed]</w:t>
      </w:r>
    </w:p>
    <w:bookmarkEnd w:id="17"/>
    <w:bookmarkStart w:id="18" w:name="X881cca310cde67723b9ccff90a5b73dd738b473"/>
    <w:p>
      <w:pPr>
        <w:pStyle w:val="Heading2"/>
      </w:pPr>
      <w:r>
        <w:t xml:space="preserve">1.6 Document Organisation</w:t>
      </w:r>
    </w:p>
    <w:p>
      <w:pPr>
        <w:pStyle w:val="FirstParagraph"/>
      </w:pPr>
      <w:r>
        <w:t xml:space="preserve">This document is structured as follows:</w:t>
      </w:r>
    </w:p>
    <w:p>
      <w:pPr>
        <w:pStyle w:val="Compact"/>
        <w:numPr>
          <w:ilvl w:val="0"/>
          <w:numId w:val="1003"/>
        </w:numPr>
      </w:pPr>
      <w:r>
        <w:t xml:space="preserve">Section 2 covers EFRIS e-invoicing integration requirements.</w:t>
      </w:r>
    </w:p>
    <w:p>
      <w:pPr>
        <w:pStyle w:val="Compact"/>
        <w:numPr>
          <w:ilvl w:val="0"/>
          <w:numId w:val="1003"/>
        </w:numPr>
      </w:pPr>
      <w:r>
        <w:t xml:space="preserve">Section 3 covers Mobile Money payment integration requirements.</w:t>
      </w:r>
    </w:p>
    <w:p>
      <w:pPr>
        <w:pStyle w:val="Compact"/>
        <w:numPr>
          <w:ilvl w:val="0"/>
          <w:numId w:val="1003"/>
        </w:numPr>
      </w:pPr>
      <w:r>
        <w:t xml:space="preserve">Section 4 covers KRA eTIMS fiscal integration requirements.</w:t>
      </w:r>
    </w:p>
    <w:p>
      <w:pPr>
        <w:pStyle w:val="Compact"/>
        <w:numPr>
          <w:ilvl w:val="0"/>
          <w:numId w:val="1003"/>
        </w:numPr>
      </w:pPr>
      <w:r>
        <w:t xml:space="preserve">Section 5 covers NSSF payroll contribution submission requirements.</w:t>
      </w:r>
    </w:p>
    <w:p>
      <w:pPr>
        <w:pStyle w:val="Compact"/>
        <w:numPr>
          <w:ilvl w:val="0"/>
          <w:numId w:val="1003"/>
        </w:numPr>
      </w:pPr>
      <w:r>
        <w:t xml:space="preserve">Section 6 covers the outbound webhook and REST event notification framework.</w:t>
      </w:r>
    </w:p>
    <w:p>
      <w:pPr>
        <w:pStyle w:val="Compact"/>
        <w:numPr>
          <w:ilvl w:val="0"/>
          <w:numId w:val="1003"/>
        </w:numPr>
      </w:pPr>
      <w:r>
        <w:t xml:space="preserve">Section 7 defines non-functional requirements for the Integration Layer.</w:t>
      </w:r>
    </w:p>
    <w:p>
      <w:pPr>
        <w:pStyle w:val="Compact"/>
        <w:numPr>
          <w:ilvl w:val="0"/>
          <w:numId w:val="1003"/>
        </w:numPr>
      </w:pPr>
      <w:r>
        <w:t xml:space="preserve">Section 8 provides the traceability matrix.</w:t>
      </w:r>
    </w:p>
    <w:bookmarkEnd w:id="18"/>
    <w:bookmarkEnd w:id="19"/>
    <w:bookmarkStart w:id="26" w:name="X37e16672e73c08403c0d74f01f55f24d42fa58f"/>
    <w:p>
      <w:pPr>
        <w:pStyle w:val="Heading1"/>
      </w:pPr>
      <w:r>
        <w:t xml:space="preserve">2. EFRIS Integration Requirements</w:t>
      </w:r>
    </w:p>
    <w:p>
      <w:pPr>
        <w:pStyle w:val="FirstParagraph"/>
      </w:pPr>
      <w:r>
        <w:rPr>
          <w:b/>
          <w:bCs/>
        </w:rPr>
        <w:t xml:space="preserve">Activation condition:</w:t>
      </w:r>
      <w:r>
        <w:t xml:space="preserve"> </w:t>
      </w:r>
      <w:r>
        <w:t xml:space="preserve">The EFRIS adapter activates automatically when a tenant's localisation profile is set to</w:t>
      </w:r>
      <w:r>
        <w:t xml:space="preserve"> </w:t>
      </w:r>
      <w:r>
        <w:rPr>
          <w:rStyle w:val="VerbatimChar"/>
        </w:rPr>
        <w:t xml:space="preserve">UG</w:t>
      </w:r>
      <w:r>
        <w:t xml:space="preserve">. No manual configuration is required beyond credential provisioning.</w:t>
      </w:r>
    </w:p>
    <w:p>
      <w:pPr>
        <w:pStyle w:val="BodyText"/>
      </w:pPr>
      <w:r>
        <w:rPr>
          <w:rStyle w:val="VerbatimChar"/>
        </w:rPr>
        <w:t xml:space="preserve">[CONTEXT-GAP: GAP-001 — EFRIS API endpoint URL and authentication scheme (API key / OAuth / certificate-based) not confirmed. All submission and authentication requirements below assume REST/JSON with bearer token unless superseded by the URA integration guide.]</w:t>
      </w:r>
    </w:p>
    <w:bookmarkStart w:id="20" w:name="X852a07cb8f8822afc532a756ae2a1da4d5c768f"/>
    <w:p>
      <w:pPr>
        <w:pStyle w:val="Heading2"/>
      </w:pPr>
      <w:r>
        <w:t xml:space="preserve">2.1 Submission of Fiscal Documents</w:t>
      </w:r>
    </w:p>
    <w:p>
      <w:pPr>
        <w:pStyle w:val="FirstParagraph"/>
      </w:pPr>
      <w:r>
        <w:rPr>
          <w:b/>
          <w:bCs/>
        </w:rPr>
        <w:t xml:space="preserve">FR-INTG-001:</w:t>
      </w:r>
      <w:r>
        <w:t xml:space="preserve"> </w:t>
      </w:r>
      <w:r>
        <w:t xml:space="preserve">The system shall submit every sales invoice to the Uganda Revenue Authority (URA) Electronic Fiscal Receipting and Invoicing System (EFRIS) API simultaneously with or prior to delivering the invoice to the customer, when the tenant localisation profile is</w:t>
      </w:r>
      <w:r>
        <w:t xml:space="preserve"> </w:t>
      </w:r>
      <w:r>
        <w:rPr>
          <w:rStyle w:val="VerbatimChar"/>
        </w:rPr>
        <w:t xml:space="preserve">UG</w:t>
      </w:r>
      <w:r>
        <w:t xml:space="preserve"> </w:t>
      </w:r>
      <w:r>
        <w:t xml:space="preserve">and the Sales module generates a confirmed invoice.</w:t>
      </w:r>
    </w:p>
    <w:p>
      <w:pPr>
        <w:pStyle w:val="BodyText"/>
      </w:pPr>
      <w:r>
        <w:rPr>
          <w:b/>
          <w:bCs/>
        </w:rPr>
        <w:t xml:space="preserve">FR-INTG-002:</w:t>
      </w:r>
      <w:r>
        <w:t xml:space="preserve"> </w:t>
      </w:r>
      <w:r>
        <w:t xml:space="preserve">The system shall submit every credit note to the EFRIS API before the credit note is made available to the customer, when a credit note is raised against a previously submitted EFRIS invoice.</w:t>
      </w:r>
    </w:p>
    <w:p>
      <w:pPr>
        <w:pStyle w:val="BodyText"/>
      </w:pPr>
      <w:r>
        <w:rPr>
          <w:b/>
          <w:bCs/>
        </w:rPr>
        <w:t xml:space="preserve">FR-INTG-003:</w:t>
      </w:r>
      <w:r>
        <w:t xml:space="preserve"> </w:t>
      </w:r>
      <w:r>
        <w:t xml:space="preserve">The system shall construct each EFRIS submission payload using the field mapping defined in the EFRIS Integration Guide for the active URA API version, when preparing a submission for a given invoice or credit note.</w:t>
      </w:r>
    </w:p>
    <w:p>
      <w:pPr>
        <w:pStyle w:val="BodyText"/>
      </w:pPr>
      <w:r>
        <w:rPr>
          <w:b/>
          <w:bCs/>
        </w:rPr>
        <w:t xml:space="preserve">FR-INTG-004:</w:t>
      </w:r>
      <w:r>
        <w:t xml:space="preserve"> </w:t>
      </w:r>
      <w:r>
        <w:t xml:space="preserve">The system shall include the tenant's EFRIS taxpayer identification number (TIN), supplier name, invoice date, line items, tax amounts, and totals in every outbound EFRIS submission payload, when constructing the payload from a confirmed invoice record.</w:t>
      </w:r>
    </w:p>
    <w:p>
      <w:pPr>
        <w:pStyle w:val="BodyText"/>
      </w:pPr>
      <w:r>
        <w:rPr>
          <w:b/>
          <w:bCs/>
        </w:rPr>
        <w:t xml:space="preserve">FR-INTG-005:</w:t>
      </w:r>
      <w:r>
        <w:t xml:space="preserve"> </w:t>
      </w:r>
      <w:r>
        <w:t xml:space="preserve">The system shall transmit all EFRIS payloads over Transport Layer Security (TLS) 1.2 or higher, when communicating with the URA EFRIS endpoint.</w:t>
      </w:r>
    </w:p>
    <w:bookmarkEnd w:id="20"/>
    <w:bookmarkStart w:id="21" w:name="Xb246cf5cf96d71703656d97dbce1c19e19ab2f1"/>
    <w:p>
      <w:pPr>
        <w:pStyle w:val="Heading2"/>
      </w:pPr>
      <w:r>
        <w:t xml:space="preserve">2.2 Fiscal Response Handling</w:t>
      </w:r>
    </w:p>
    <w:p>
      <w:pPr>
        <w:pStyle w:val="FirstParagraph"/>
      </w:pPr>
      <w:r>
        <w:rPr>
          <w:b/>
          <w:bCs/>
        </w:rPr>
        <w:t xml:space="preserve">FR-INTG-006:</w:t>
      </w:r>
      <w:r>
        <w:t xml:space="preserve"> </w:t>
      </w:r>
      <w:r>
        <w:t xml:space="preserve">The system shall parse the fiscal document number and Quick Response (QR) code returned in the EFRIS API success response, when the URA EFRIS API returns HTTP 200 with a valid fiscal receipt payload.</w:t>
      </w:r>
    </w:p>
    <w:p>
      <w:pPr>
        <w:pStyle w:val="BodyText"/>
      </w:pPr>
      <w:r>
        <w:rPr>
          <w:b/>
          <w:bCs/>
        </w:rPr>
        <w:t xml:space="preserve">FR-INTG-007:</w:t>
      </w:r>
      <w:r>
        <w:t xml:space="preserve"> </w:t>
      </w:r>
      <w:r>
        <w:t xml:space="preserve">The system shall store the fiscal document number and QR code against the originating invoice record in the database, when a successful EFRIS response is received.</w:t>
      </w:r>
    </w:p>
    <w:p>
      <w:pPr>
        <w:pStyle w:val="BodyText"/>
      </w:pPr>
      <w:r>
        <w:rPr>
          <w:b/>
          <w:bCs/>
        </w:rPr>
        <w:t xml:space="preserve">FR-INTG-008:</w:t>
      </w:r>
      <w:r>
        <w:t xml:space="preserve"> </w:t>
      </w:r>
      <w:r>
        <w:t xml:space="preserve">The system shall embed the fiscal document number and QR code in the printed and PDF versions of the invoice, when the invoice is rendered for customer delivery following a successful EFRIS submission.</w:t>
      </w:r>
    </w:p>
    <w:p>
      <w:pPr>
        <w:pStyle w:val="BodyText"/>
      </w:pPr>
      <w:r>
        <w:rPr>
          <w:b/>
          <w:bCs/>
        </w:rPr>
        <w:t xml:space="preserve">FR-INTG-009:</w:t>
      </w:r>
      <w:r>
        <w:t xml:space="preserve"> </w:t>
      </w:r>
      <w:r>
        <w:t xml:space="preserve">The system shall mark the invoice with status</w:t>
      </w:r>
      <w:r>
        <w:t xml:space="preserve"> </w:t>
      </w:r>
      <w:r>
        <w:rPr>
          <w:rStyle w:val="VerbatimChar"/>
        </w:rPr>
        <w:t xml:space="preserve">EFRIS_SUBMITTED</w:t>
      </w:r>
      <w:r>
        <w:t xml:space="preserve"> </w:t>
      </w:r>
      <w:r>
        <w:t xml:space="preserve">upon receipt of a successful EFRIS fiscal response, when the submission cycle completes without error.</w:t>
      </w:r>
    </w:p>
    <w:bookmarkEnd w:id="21"/>
    <w:bookmarkStart w:id="22" w:name="Xb8e31c1bd27663ac00ea59df4f02b1659a33c13"/>
    <w:p>
      <w:pPr>
        <w:pStyle w:val="Heading2"/>
      </w:pPr>
      <w:r>
        <w:t xml:space="preserve">2.3 Retry and Failure Handling</w:t>
      </w:r>
    </w:p>
    <w:p>
      <w:pPr>
        <w:pStyle w:val="FirstParagraph"/>
      </w:pPr>
      <w:r>
        <w:rPr>
          <w:b/>
          <w:bCs/>
        </w:rPr>
        <w:t xml:space="preserve">FR-INTG-010:</w:t>
      </w:r>
      <w:r>
        <w:t xml:space="preserve"> </w:t>
      </w:r>
      <w:r>
        <w:t xml:space="preserve">The system shall retry a failed EFRIS submission up to 3 times using exponential backoff intervals of 30 seconds, 60 seconds, and 120 seconds respectively, when the EFRIS API returns a network error, HTTP 5xx response, or connection timeout.</w:t>
      </w:r>
    </w:p>
    <w:p>
      <w:pPr>
        <w:pStyle w:val="BodyText"/>
      </w:pPr>
      <w:r>
        <w:rPr>
          <w:b/>
          <w:bCs/>
        </w:rPr>
        <w:t xml:space="preserve">FR-INTG-011:</w:t>
      </w:r>
      <w:r>
        <w:t xml:space="preserve"> </w:t>
      </w:r>
      <w:r>
        <w:t xml:space="preserve">The system shall place the invoice submission payload onto the offline queue and mark the invoice with status</w:t>
      </w:r>
      <w:r>
        <w:t xml:space="preserve"> </w:t>
      </w:r>
      <w:r>
        <w:rPr>
          <w:rStyle w:val="VerbatimChar"/>
        </w:rPr>
        <w:t xml:space="preserve">EFRIS_QUEUED</w:t>
      </w:r>
      <w:r>
        <w:t xml:space="preserve"> </w:t>
      </w:r>
      <w:r>
        <w:t xml:space="preserve">when all 3 retry attempts fail, allowing the tenant workflow to continue without blocking invoice delivery.</w:t>
      </w:r>
    </w:p>
    <w:p>
      <w:pPr>
        <w:pStyle w:val="BodyText"/>
      </w:pPr>
      <w:r>
        <w:rPr>
          <w:b/>
          <w:bCs/>
        </w:rPr>
        <w:t xml:space="preserve">FR-INTG-012:</w:t>
      </w:r>
      <w:r>
        <w:t xml:space="preserve"> </w:t>
      </w:r>
      <w:r>
        <w:t xml:space="preserve">The system shall not block or delay the tenant's invoicing workflow while an EFRIS submission is in</w:t>
      </w:r>
      <w:r>
        <w:t xml:space="preserve"> </w:t>
      </w:r>
      <w:r>
        <w:rPr>
          <w:rStyle w:val="VerbatimChar"/>
        </w:rPr>
        <w:t xml:space="preserve">EFRIS_QUEUED</w:t>
      </w:r>
      <w:r>
        <w:t xml:space="preserve"> </w:t>
      </w:r>
      <w:r>
        <w:t xml:space="preserve">status, when the offline queue is active.</w:t>
      </w:r>
    </w:p>
    <w:p>
      <w:pPr>
        <w:pStyle w:val="BodyText"/>
      </w:pPr>
      <w:r>
        <w:rPr>
          <w:b/>
          <w:bCs/>
        </w:rPr>
        <w:t xml:space="preserve">FR-INTG-013:</w:t>
      </w:r>
      <w:r>
        <w:t xml:space="preserve"> </w:t>
      </w:r>
      <w:r>
        <w:t xml:space="preserve">The system shall retain queued EFRIS payloads for a minimum of 72 hours, when the external EFRIS service is unavailable.</w:t>
      </w:r>
    </w:p>
    <w:p>
      <w:pPr>
        <w:pStyle w:val="BodyText"/>
      </w:pPr>
      <w:r>
        <w:rPr>
          <w:b/>
          <w:bCs/>
        </w:rPr>
        <w:t xml:space="preserve">FR-INTG-014:</w:t>
      </w:r>
      <w:r>
        <w:t xml:space="preserve"> </w:t>
      </w:r>
      <w:r>
        <w:t xml:space="preserve">The system shall display a visible status indicator on the invoice record showing</w:t>
      </w:r>
      <w:r>
        <w:t xml:space="preserve"> </w:t>
      </w:r>
      <w:r>
        <w:rPr>
          <w:rStyle w:val="VerbatimChar"/>
        </w:rPr>
        <w:t xml:space="preserve">EFRIS_QUEUED</w:t>
      </w:r>
      <w:r>
        <w:t xml:space="preserve"> </w:t>
      </w:r>
      <w:r>
        <w:t xml:space="preserve">or</w:t>
      </w:r>
      <w:r>
        <w:t xml:space="preserve"> </w:t>
      </w:r>
      <w:r>
        <w:rPr>
          <w:rStyle w:val="VerbatimChar"/>
        </w:rPr>
        <w:t xml:space="preserve">EFRIS_FAILED</w:t>
      </w:r>
      <w:r>
        <w:t xml:space="preserve"> </w:t>
      </w:r>
      <w:r>
        <w:t xml:space="preserve">to the authorised Finance user, when a submission has not completed successfully.</w:t>
      </w:r>
    </w:p>
    <w:bookmarkEnd w:id="22"/>
    <w:bookmarkStart w:id="23" w:name="Xeb213e94acc07e8217defd3c01eb07df204450a"/>
    <w:p>
      <w:pPr>
        <w:pStyle w:val="Heading2"/>
      </w:pPr>
      <w:r>
        <w:t xml:space="preserve">2.4 Offline Queue and Reconnection</w:t>
      </w:r>
    </w:p>
    <w:p>
      <w:pPr>
        <w:pStyle w:val="FirstParagraph"/>
      </w:pPr>
      <w:r>
        <w:rPr>
          <w:b/>
          <w:bCs/>
        </w:rPr>
        <w:t xml:space="preserve">FR-INTG-015:</w:t>
      </w:r>
      <w:r>
        <w:t xml:space="preserve"> </w:t>
      </w:r>
      <w:r>
        <w:t xml:space="preserve">The system shall automatically detect restoration of connectivity to the EFRIS endpoint and begin processing all payloads in the offline queue in FIFO (first-in, first-out) order, when the system performs its scheduled connectivity health check and the endpoint is reachable.</w:t>
      </w:r>
    </w:p>
    <w:p>
      <w:pPr>
        <w:pStyle w:val="BodyText"/>
      </w:pPr>
      <w:r>
        <w:rPr>
          <w:b/>
          <w:bCs/>
        </w:rPr>
        <w:t xml:space="preserve">FR-INTG-016:</w:t>
      </w:r>
      <w:r>
        <w:t xml:space="preserve"> </w:t>
      </w:r>
      <w:r>
        <w:t xml:space="preserve">The system shall update the invoice status to</w:t>
      </w:r>
      <w:r>
        <w:t xml:space="preserve"> </w:t>
      </w:r>
      <w:r>
        <w:rPr>
          <w:rStyle w:val="VerbatimChar"/>
        </w:rPr>
        <w:t xml:space="preserve">EFRIS_SUBMITTED</w:t>
      </w:r>
      <w:r>
        <w:t xml:space="preserve"> </w:t>
      </w:r>
      <w:r>
        <w:t xml:space="preserve">and record the fiscal document number and QR code upon successful submission of a previously queued payload, when the reconnection processing cycle completes for that invoice.</w:t>
      </w:r>
    </w:p>
    <w:bookmarkEnd w:id="23"/>
    <w:bookmarkStart w:id="24" w:name="X9657ac8a62fc323facbd34aa5d672cc5f57bc01"/>
    <w:p>
      <w:pPr>
        <w:pStyle w:val="Heading2"/>
      </w:pPr>
      <w:r>
        <w:t xml:space="preserve">2.5 Reconciliation</w:t>
      </w:r>
    </w:p>
    <w:p>
      <w:pPr>
        <w:pStyle w:val="FirstParagraph"/>
      </w:pPr>
      <w:r>
        <w:rPr>
          <w:b/>
          <w:bCs/>
        </w:rPr>
        <w:t xml:space="preserve">FR-INTG-017:</w:t>
      </w:r>
      <w:r>
        <w:t xml:space="preserve"> </w:t>
      </w:r>
      <w:r>
        <w:t xml:space="preserve">The system shall generate a daily EFRIS reconciliation report listing all invoices submitted, their EFRIS fiscal document numbers, submission timestamps (UTC), and any outstanding</w:t>
      </w:r>
      <w:r>
        <w:t xml:space="preserve"> </w:t>
      </w:r>
      <w:r>
        <w:rPr>
          <w:rStyle w:val="VerbatimChar"/>
        </w:rPr>
        <w:t xml:space="preserve">EFRIS_QUEUED</w:t>
      </w:r>
      <w:r>
        <w:t xml:space="preserve"> </w:t>
      </w:r>
      <w:r>
        <w:t xml:space="preserve">or</w:t>
      </w:r>
      <w:r>
        <w:t xml:space="preserve"> </w:t>
      </w:r>
      <w:r>
        <w:rPr>
          <w:rStyle w:val="VerbatimChar"/>
        </w:rPr>
        <w:t xml:space="preserve">EFRIS_FAILED</w:t>
      </w:r>
      <w:r>
        <w:t xml:space="preserve"> </w:t>
      </w:r>
      <w:r>
        <w:t xml:space="preserve">records, when the Finance module triggers the end-of-day reconciliation process.</w:t>
      </w:r>
    </w:p>
    <w:p>
      <w:pPr>
        <w:pStyle w:val="BodyText"/>
      </w:pPr>
      <w:r>
        <w:rPr>
          <w:b/>
          <w:bCs/>
        </w:rPr>
        <w:t xml:space="preserve">FR-INTG-018:</w:t>
      </w:r>
      <w:r>
        <w:t xml:space="preserve"> </w:t>
      </w:r>
      <w:r>
        <w:t xml:space="preserve">The system shall allow an authorised Finance administrator to manually trigger resubmission of any invoice with status</w:t>
      </w:r>
      <w:r>
        <w:t xml:space="preserve"> </w:t>
      </w:r>
      <w:r>
        <w:rPr>
          <w:rStyle w:val="VerbatimChar"/>
        </w:rPr>
        <w:t xml:space="preserve">EFRIS_FAILED</w:t>
      </w:r>
      <w:r>
        <w:t xml:space="preserve">, when the administrator selects the resubmit action on that invoice record.</w:t>
      </w:r>
    </w:p>
    <w:bookmarkEnd w:id="24"/>
    <w:bookmarkStart w:id="25" w:name="Xcdfbe663fe6e472bb6a775f21c73b79bcc7e5df"/>
    <w:p>
      <w:pPr>
        <w:pStyle w:val="Heading2"/>
      </w:pPr>
      <w:r>
        <w:t xml:space="preserve">2.6 Credential Management</w:t>
      </w:r>
    </w:p>
    <w:p>
      <w:pPr>
        <w:pStyle w:val="FirstParagraph"/>
      </w:pPr>
      <w:r>
        <w:rPr>
          <w:b/>
          <w:bCs/>
        </w:rPr>
        <w:t xml:space="preserve">FR-INTG-019:</w:t>
      </w:r>
      <w:r>
        <w:t xml:space="preserve"> </w:t>
      </w:r>
      <w:r>
        <w:t xml:space="preserve">The system shall retrieve all EFRIS API credentials exclusively from the platform encrypted credential store using the tenant identifier as the lookup key, when initiating any EFRIS API call.</w:t>
      </w:r>
    </w:p>
    <w:p>
      <w:pPr>
        <w:pStyle w:val="BodyText"/>
      </w:pPr>
      <w:r>
        <w:rPr>
          <w:b/>
          <w:bCs/>
        </w:rPr>
        <w:t xml:space="preserve">FR-INTG-020:</w:t>
      </w:r>
      <w:r>
        <w:t xml:space="preserve"> </w:t>
      </w:r>
      <w:r>
        <w:t xml:space="preserve">The system shall never write EFRIS API credentials, tokens, or private keys to application logs, error reports, or API response payloads, when processing any EFRIS transaction at any point in the request lifecycle.</w:t>
      </w:r>
    </w:p>
    <w:bookmarkEnd w:id="25"/>
    <w:bookmarkEnd w:id="26"/>
    <w:bookmarkStart w:id="36" w:name="X75da7475f3a148da4c5cddb2e43c9f4a746a8e8"/>
    <w:p>
      <w:pPr>
        <w:pStyle w:val="Heading1"/>
      </w:pPr>
      <w:r>
        <w:t xml:space="preserve">3. Mobile Money Integration Requirements</w:t>
      </w:r>
    </w:p>
    <w:bookmarkStart w:id="27" w:name="Xa86293f5a2820dfe4a2eddf18a89374ae1cafdd"/>
    <w:p>
      <w:pPr>
        <w:pStyle w:val="Heading2"/>
      </w:pPr>
      <w:r>
        <w:t xml:space="preserve">3.1 Provider Coverage and Plugin Architecture</w:t>
      </w:r>
    </w:p>
    <w:p>
      <w:pPr>
        <w:pStyle w:val="FirstParagraph"/>
      </w:pPr>
      <w:r>
        <w:rPr>
          <w:b/>
          <w:bCs/>
        </w:rPr>
        <w:t xml:space="preserve">FR-INTG-021:</w:t>
      </w:r>
      <w:r>
        <w:t xml:space="preserve"> </w:t>
      </w:r>
      <w:r>
        <w:t xml:space="preserve">The system shall implement mobile money provider support using a provider-plugin architecture, where each provider (MTN MoMo, Airtel Money, M-Pesa Daraja) is encapsulated in an independent Integration Adapter plugin conforming to the Mobile Money Adapter Interface, when the Mobile Money integration module is active.</w:t>
      </w:r>
    </w:p>
    <w:p>
      <w:pPr>
        <w:pStyle w:val="BodyText"/>
      </w:pPr>
      <w:r>
        <w:rPr>
          <w:b/>
          <w:bCs/>
        </w:rPr>
        <w:t xml:space="preserve">FR-INTG-022:</w:t>
      </w:r>
      <w:r>
        <w:t xml:space="preserve"> </w:t>
      </w:r>
      <w:r>
        <w:t xml:space="preserve">The system shall support activation of individual mobile money provider plugins per tenant without modifying the Integration Layer core, when a new provider plugin is registered in the platform adapter registry.</w:t>
      </w:r>
    </w:p>
    <w:p>
      <w:pPr>
        <w:pStyle w:val="BodyText"/>
      </w:pPr>
      <w:r>
        <w:rPr>
          <w:b/>
          <w:bCs/>
        </w:rPr>
        <w:t xml:space="preserve">FR-INTG-023:</w:t>
      </w:r>
      <w:r>
        <w:t xml:space="preserve"> </w:t>
      </w:r>
      <w:r>
        <w:t xml:space="preserve">The system shall activate the MTN Mobile Money (MoMo) plugin for tenants whose localisation profile includes</w:t>
      </w:r>
      <w:r>
        <w:t xml:space="preserve"> </w:t>
      </w:r>
      <w:r>
        <w:rPr>
          <w:rStyle w:val="VerbatimChar"/>
        </w:rPr>
        <w:t xml:space="preserve">UG</w:t>
      </w:r>
      <w:r>
        <w:t xml:space="preserve"> </w:t>
      </w:r>
      <w:r>
        <w:t xml:space="preserve">(Uganda) or</w:t>
      </w:r>
      <w:r>
        <w:t xml:space="preserve"> </w:t>
      </w:r>
      <w:r>
        <w:rPr>
          <w:rStyle w:val="VerbatimChar"/>
        </w:rPr>
        <w:t xml:space="preserve">RW</w:t>
      </w:r>
      <w:r>
        <w:t xml:space="preserve"> </w:t>
      </w:r>
      <w:r>
        <w:t xml:space="preserve">(Rwanda), when the Billing or Finance module initiates a mobile money transaction.</w:t>
      </w:r>
    </w:p>
    <w:p>
      <w:pPr>
        <w:pStyle w:val="BodyText"/>
      </w:pPr>
      <w:r>
        <w:rPr>
          <w:b/>
          <w:bCs/>
        </w:rPr>
        <w:t xml:space="preserve">FR-INTG-024:</w:t>
      </w:r>
      <w:r>
        <w:t xml:space="preserve"> </w:t>
      </w:r>
      <w:r>
        <w:t xml:space="preserve">The system shall activate the Airtel Money plugin for tenants whose localisation profile includes</w:t>
      </w:r>
      <w:r>
        <w:t xml:space="preserve"> </w:t>
      </w:r>
      <w:r>
        <w:rPr>
          <w:rStyle w:val="VerbatimChar"/>
        </w:rPr>
        <w:t xml:space="preserve">UG</w:t>
      </w:r>
      <w:r>
        <w:t xml:space="preserve"> </w:t>
      </w:r>
      <w:r>
        <w:t xml:space="preserve">(Uganda),</w:t>
      </w:r>
      <w:r>
        <w:t xml:space="preserve"> </w:t>
      </w:r>
      <w:r>
        <w:rPr>
          <w:rStyle w:val="VerbatimChar"/>
        </w:rPr>
        <w:t xml:space="preserve">KE</w:t>
      </w:r>
      <w:r>
        <w:t xml:space="preserve"> </w:t>
      </w:r>
      <w:r>
        <w:t xml:space="preserve">(Kenya), or</w:t>
      </w:r>
      <w:r>
        <w:t xml:space="preserve"> </w:t>
      </w:r>
      <w:r>
        <w:rPr>
          <w:rStyle w:val="VerbatimChar"/>
        </w:rPr>
        <w:t xml:space="preserve">TZ</w:t>
      </w:r>
      <w:r>
        <w:t xml:space="preserve"> </w:t>
      </w:r>
      <w:r>
        <w:t xml:space="preserve">(Tanzania), when the Billing or Finance module initiates a mobile money transaction.</w:t>
      </w:r>
    </w:p>
    <w:p>
      <w:pPr>
        <w:pStyle w:val="BodyText"/>
      </w:pPr>
      <w:r>
        <w:rPr>
          <w:b/>
          <w:bCs/>
        </w:rPr>
        <w:t xml:space="preserve">FR-INTG-025:</w:t>
      </w:r>
      <w:r>
        <w:t xml:space="preserve"> </w:t>
      </w:r>
      <w:r>
        <w:t xml:space="preserve">The system shall activate the M-Pesa Daraja plugin for tenants whose localisation profile includes</w:t>
      </w:r>
      <w:r>
        <w:t xml:space="preserve"> </w:t>
      </w:r>
      <w:r>
        <w:rPr>
          <w:rStyle w:val="VerbatimChar"/>
        </w:rPr>
        <w:t xml:space="preserve">KE</w:t>
      </w:r>
      <w:r>
        <w:t xml:space="preserve"> </w:t>
      </w:r>
      <w:r>
        <w:t xml:space="preserve">(Kenya) or</w:t>
      </w:r>
      <w:r>
        <w:t xml:space="preserve"> </w:t>
      </w:r>
      <w:r>
        <w:rPr>
          <w:rStyle w:val="VerbatimChar"/>
        </w:rPr>
        <w:t xml:space="preserve">TZ</w:t>
      </w:r>
      <w:r>
        <w:t xml:space="preserve"> </w:t>
      </w:r>
      <w:r>
        <w:t xml:space="preserve">(Tanzania), when the Billing or Finance module initiates a mobile money transaction.</w:t>
      </w:r>
    </w:p>
    <w:bookmarkEnd w:id="27"/>
    <w:bookmarkStart w:id="28" w:name="X994360bd63c2dc10adb53ca9be5c5ff27974966"/>
    <w:p>
      <w:pPr>
        <w:pStyle w:val="Heading2"/>
      </w:pPr>
      <w:r>
        <w:t xml:space="preserve">3.2 Use Cases</w:t>
      </w:r>
    </w:p>
    <w:p>
      <w:pPr>
        <w:pStyle w:val="FirstParagraph"/>
      </w:pPr>
      <w:r>
        <w:rPr>
          <w:b/>
          <w:bCs/>
        </w:rPr>
        <w:t xml:space="preserve">FR-INTG-026:</w:t>
      </w:r>
      <w:r>
        <w:t xml:space="preserve"> </w:t>
      </w:r>
      <w:r>
        <w:t xml:space="preserve">The system shall initiate a mobile money collection request against a customer's registered mobile number to collect the Kraal Code subscription fee, when the automated SaaS billing cycle triggers payment for a tenant whose preferred payment method is mobile money.</w:t>
      </w:r>
    </w:p>
    <w:p>
      <w:pPr>
        <w:pStyle w:val="BodyText"/>
      </w:pPr>
      <w:r>
        <w:rPr>
          <w:b/>
          <w:bCs/>
        </w:rPr>
        <w:t xml:space="preserve">FR-INTG-027:</w:t>
      </w:r>
      <w:r>
        <w:t xml:space="preserve"> </w:t>
      </w:r>
      <w:r>
        <w:t xml:space="preserve">The system shall initiate a mobile money collection request for the amount on a confirmed customer invoice, when a customer selects mobile money as the payment method and provides a valid mobile number on the payment screen.</w:t>
      </w:r>
    </w:p>
    <w:p>
      <w:pPr>
        <w:pStyle w:val="BodyText"/>
      </w:pPr>
      <w:r>
        <w:rPr>
          <w:b/>
          <w:bCs/>
        </w:rPr>
        <w:t xml:space="preserve">FR-INTG-028:</w:t>
      </w:r>
      <w:r>
        <w:t xml:space="preserve"> </w:t>
      </w:r>
      <w:r>
        <w:t xml:space="preserve">The system shall initiate a mobile money disbursement to a registered supplier's mobile number for the net amount on an approved payment run, when the Finance module executes a supplier payment run that includes mobile money as the disbursement method.</w:t>
      </w:r>
    </w:p>
    <w:bookmarkEnd w:id="28"/>
    <w:bookmarkStart w:id="29" w:name="X105f06bd625239e49141766c05a5a84427b3688"/>
    <w:p>
      <w:pPr>
        <w:pStyle w:val="Heading2"/>
      </w:pPr>
      <w:r>
        <w:t xml:space="preserve">3.3 Transaction Initiation</w:t>
      </w:r>
    </w:p>
    <w:p>
      <w:pPr>
        <w:pStyle w:val="FirstParagraph"/>
      </w:pPr>
      <w:r>
        <w:rPr>
          <w:b/>
          <w:bCs/>
        </w:rPr>
        <w:t xml:space="preserve">FR-INTG-029:</w:t>
      </w:r>
      <w:r>
        <w:t xml:space="preserve"> </w:t>
      </w:r>
      <w:r>
        <w:t xml:space="preserve">The system shall transmit the transaction amount, currency code, customer mobile number, and a unique internal transaction reference to the provider API, when initiating any mobile money collection or disbursement request.</w:t>
      </w:r>
    </w:p>
    <w:p>
      <w:pPr>
        <w:pStyle w:val="BodyText"/>
      </w:pPr>
      <w:r>
        <w:rPr>
          <w:b/>
          <w:bCs/>
        </w:rPr>
        <w:t xml:space="preserve">FR-INTG-030:</w:t>
      </w:r>
      <w:r>
        <w:t xml:space="preserve"> </w:t>
      </w:r>
      <w:r>
        <w:t xml:space="preserve">The system shall assign a unique, non-reusable internal transaction reference (UUID v4) to every mobile money request before submission, when creating a new transaction record.</w:t>
      </w:r>
    </w:p>
    <w:p>
      <w:pPr>
        <w:pStyle w:val="BodyText"/>
      </w:pPr>
      <w:r>
        <w:rPr>
          <w:b/>
          <w:bCs/>
        </w:rPr>
        <w:t xml:space="preserve">FR-INTG-031:</w:t>
      </w:r>
      <w:r>
        <w:t xml:space="preserve"> </w:t>
      </w:r>
      <w:r>
        <w:t xml:space="preserve">The system shall record the provider-assigned transaction identifier returned by the API alongside the internal transaction reference in the payment ledger, when the provider API acknowledges initiation with a transaction ID.</w:t>
      </w:r>
    </w:p>
    <w:bookmarkEnd w:id="29"/>
    <w:bookmarkStart w:id="30" w:name="X98ef7850039fa52ff402fb301be5c41a1926516"/>
    <w:p>
      <w:pPr>
        <w:pStyle w:val="Heading2"/>
      </w:pPr>
      <w:r>
        <w:t xml:space="preserve">3.4 Status Polling</w:t>
      </w:r>
    </w:p>
    <w:p>
      <w:pPr>
        <w:pStyle w:val="FirstParagraph"/>
      </w:pPr>
      <w:r>
        <w:rPr>
          <w:b/>
          <w:bCs/>
        </w:rPr>
        <w:t xml:space="preserve">FR-INTG-032:</w:t>
      </w:r>
      <w:r>
        <w:t xml:space="preserve"> </w:t>
      </w:r>
      <w:r>
        <w:t xml:space="preserve">The system shall poll the provider's transaction status endpoint at intervals of 15 seconds, 30 seconds, and 60 seconds after initiation, when a mobile money transaction remains in</w:t>
      </w:r>
      <w:r>
        <w:t xml:space="preserve"> </w:t>
      </w:r>
      <w:r>
        <w:rPr>
          <w:rStyle w:val="VerbatimChar"/>
        </w:rPr>
        <w:t xml:space="preserve">PENDING</w:t>
      </w:r>
      <w:r>
        <w:t xml:space="preserve"> </w:t>
      </w:r>
      <w:r>
        <w:t xml:space="preserve">status and no callback has been received within 15 seconds of initiation.</w:t>
      </w:r>
    </w:p>
    <w:p>
      <w:pPr>
        <w:pStyle w:val="BodyText"/>
      </w:pPr>
      <w:r>
        <w:rPr>
          <w:b/>
          <w:bCs/>
        </w:rPr>
        <w:t xml:space="preserve">FR-INTG-033:</w:t>
      </w:r>
      <w:r>
        <w:t xml:space="preserve"> </w:t>
      </w:r>
      <w:r>
        <w:t xml:space="preserve">The system shall mark a mobile money transaction as</w:t>
      </w:r>
      <w:r>
        <w:t xml:space="preserve"> </w:t>
      </w:r>
      <w:r>
        <w:rPr>
          <w:rStyle w:val="VerbatimChar"/>
        </w:rPr>
        <w:t xml:space="preserve">TIMEOUT</w:t>
      </w:r>
      <w:r>
        <w:t xml:space="preserve"> </w:t>
      </w:r>
      <w:r>
        <w:t xml:space="preserve">and cease polling when no terminal status (success or failure) is received from the provider within 5 minutes of initiation, when the polling cycle reaches its maximum wait duration.</w:t>
      </w:r>
    </w:p>
    <w:bookmarkEnd w:id="30"/>
    <w:bookmarkStart w:id="31" w:name="X2a42e3ce801750c64beb37ee8e6836adfe1569a"/>
    <w:p>
      <w:pPr>
        <w:pStyle w:val="Heading2"/>
      </w:pPr>
      <w:r>
        <w:t xml:space="preserve">3.5 Callback Receipt</w:t>
      </w:r>
    </w:p>
    <w:p>
      <w:pPr>
        <w:pStyle w:val="FirstParagraph"/>
      </w:pPr>
      <w:r>
        <w:rPr>
          <w:b/>
          <w:bCs/>
        </w:rPr>
        <w:t xml:space="preserve">FR-INTG-034:</w:t>
      </w:r>
      <w:r>
        <w:t xml:space="preserve"> </w:t>
      </w:r>
      <w:r>
        <w:t xml:space="preserve">The system shall expose a unique, tenant-isolated inbound callback endpoint for each active mobile money provider, when the provider is configured to deliver asynchronous status notifications.</w:t>
      </w:r>
    </w:p>
    <w:p>
      <w:pPr>
        <w:pStyle w:val="BodyText"/>
      </w:pPr>
      <w:r>
        <w:rPr>
          <w:b/>
          <w:bCs/>
        </w:rPr>
        <w:t xml:space="preserve">FR-INTG-035:</w:t>
      </w:r>
      <w:r>
        <w:t xml:space="preserve"> </w:t>
      </w:r>
      <w:r>
        <w:t xml:space="preserve">The system shall validate the authenticity of every inbound provider callback by verifying the provider-specific signature or token before processing the payload, when an HTTP POST is received at the callback endpoint.</w:t>
      </w:r>
    </w:p>
    <w:p>
      <w:pPr>
        <w:pStyle w:val="BodyText"/>
      </w:pPr>
      <w:r>
        <w:rPr>
          <w:b/>
          <w:bCs/>
        </w:rPr>
        <w:t xml:space="preserve">FR-INTG-036:</w:t>
      </w:r>
      <w:r>
        <w:t xml:space="preserve"> </w:t>
      </w:r>
      <w:r>
        <w:t xml:space="preserve">The system shall update the payment ledger and linked invoice or billing record to</w:t>
      </w:r>
      <w:r>
        <w:t xml:space="preserve"> </w:t>
      </w:r>
      <w:r>
        <w:rPr>
          <w:rStyle w:val="VerbatimChar"/>
        </w:rPr>
        <w:t xml:space="preserve">PAID</w:t>
      </w:r>
      <w:r>
        <w:t xml:space="preserve"> </w:t>
      </w:r>
      <w:r>
        <w:t xml:space="preserve">status within 3 seconds of receiving and validating a successful provider callback, when the callback payload confirms a completed transaction.</w:t>
      </w:r>
    </w:p>
    <w:p>
      <w:pPr>
        <w:pStyle w:val="BodyText"/>
      </w:pPr>
      <w:r>
        <w:rPr>
          <w:b/>
          <w:bCs/>
        </w:rPr>
        <w:t xml:space="preserve">FR-INTG-037:</w:t>
      </w:r>
      <w:r>
        <w:t xml:space="preserve"> </w:t>
      </w:r>
      <w:r>
        <w:t xml:space="preserve">The system shall update the transaction record to</w:t>
      </w:r>
      <w:r>
        <w:t xml:space="preserve"> </w:t>
      </w:r>
      <w:r>
        <w:rPr>
          <w:rStyle w:val="VerbatimChar"/>
        </w:rPr>
        <w:t xml:space="preserve">FAILED</w:t>
      </w:r>
      <w:r>
        <w:t xml:space="preserve"> </w:t>
      </w:r>
      <w:r>
        <w:t xml:space="preserve">and trigger a payment failure notification to the Finance module, when a provider callback indicates a declined, cancelled, or expired transaction.</w:t>
      </w:r>
    </w:p>
    <w:bookmarkEnd w:id="31"/>
    <w:bookmarkStart w:id="32" w:name="Xd42b53e0c9a9d5298604bbeb837bb17e861026c"/>
    <w:p>
      <w:pPr>
        <w:pStyle w:val="Heading2"/>
      </w:pPr>
      <w:r>
        <w:t xml:space="preserve">3.6 Reconciliation</w:t>
      </w:r>
    </w:p>
    <w:p>
      <w:pPr>
        <w:pStyle w:val="FirstParagraph"/>
      </w:pPr>
      <w:r>
        <w:rPr>
          <w:b/>
          <w:bCs/>
        </w:rPr>
        <w:t xml:space="preserve">FR-INTG-038:</w:t>
      </w:r>
      <w:r>
        <w:t xml:space="preserve"> </w:t>
      </w:r>
      <w:r>
        <w:t xml:space="preserve">The system shall generate a daily mobile money reconciliation report per provider listing all initiated, completed, failed, and reversed transactions with amounts, mobile numbers (masked), provider transaction IDs, and internal references, when the Finance module triggers the end-of-day reconciliation process.</w:t>
      </w:r>
    </w:p>
    <w:p>
      <w:pPr>
        <w:pStyle w:val="BodyText"/>
      </w:pPr>
      <w:r>
        <w:rPr>
          <w:b/>
          <w:bCs/>
        </w:rPr>
        <w:t xml:space="preserve">FR-INTG-039:</w:t>
      </w:r>
      <w:r>
        <w:t xml:space="preserve"> </w:t>
      </w:r>
      <w:r>
        <w:t xml:space="preserve">The system shall flag any discrepancy between the internal payment ledger and the provider's daily transaction statement as a reconciliation anomaly requiring Finance administrator review, when the automated reconciliation process detects a mismatch.</w:t>
      </w:r>
    </w:p>
    <w:bookmarkEnd w:id="32"/>
    <w:bookmarkStart w:id="33" w:name="X84464023508d3dfdc09c1e852f29b3e4606be1c"/>
    <w:p>
      <w:pPr>
        <w:pStyle w:val="Heading2"/>
      </w:pPr>
      <w:r>
        <w:t xml:space="preserve">3.7 Reversals</w:t>
      </w:r>
    </w:p>
    <w:p>
      <w:pPr>
        <w:pStyle w:val="FirstParagraph"/>
      </w:pPr>
      <w:r>
        <w:rPr>
          <w:b/>
          <w:bCs/>
        </w:rPr>
        <w:t xml:space="preserve">FR-INTG-040:</w:t>
      </w:r>
      <w:r>
        <w:t xml:space="preserve"> </w:t>
      </w:r>
      <w:r>
        <w:t xml:space="preserve">The system shall submit a reversal request to the provider API for the full transaction amount, when an authorised Finance administrator initiates a refund for a completed mobile money payment within the provider's permitted reversal window.</w:t>
      </w:r>
    </w:p>
    <w:p>
      <w:pPr>
        <w:pStyle w:val="BodyText"/>
      </w:pPr>
      <w:r>
        <w:rPr>
          <w:b/>
          <w:bCs/>
        </w:rPr>
        <w:t xml:space="preserve">FR-INTG-041:</w:t>
      </w:r>
      <w:r>
        <w:t xml:space="preserve"> </w:t>
      </w:r>
      <w:r>
        <w:t xml:space="preserve">The system shall update the transaction record and associated invoice to</w:t>
      </w:r>
      <w:r>
        <w:t xml:space="preserve"> </w:t>
      </w:r>
      <w:r>
        <w:rPr>
          <w:rStyle w:val="VerbatimChar"/>
        </w:rPr>
        <w:t xml:space="preserve">REVERSED</w:t>
      </w:r>
      <w:r>
        <w:t xml:space="preserve"> </w:t>
      </w:r>
      <w:r>
        <w:t xml:space="preserve">status and post a credit entry in the accounting ledger, when the provider confirms successful reversal.</w:t>
      </w:r>
    </w:p>
    <w:bookmarkEnd w:id="33"/>
    <w:bookmarkStart w:id="34" w:name="X8a98e930ffbe1bb485ea477e95bd402023871d6"/>
    <w:p>
      <w:pPr>
        <w:pStyle w:val="Heading2"/>
      </w:pPr>
      <w:r>
        <w:t xml:space="preserve">3.8 Timeout Handling</w:t>
      </w:r>
    </w:p>
    <w:p>
      <w:pPr>
        <w:pStyle w:val="FirstParagraph"/>
      </w:pPr>
      <w:r>
        <w:rPr>
          <w:b/>
          <w:bCs/>
        </w:rPr>
        <w:t xml:space="preserve">FR-INTG-042:</w:t>
      </w:r>
      <w:r>
        <w:t xml:space="preserve"> </w:t>
      </w:r>
      <w:r>
        <w:t xml:space="preserve">The system shall place a timed-out mobile money transaction into a manual review queue visible to Finance administrators, when a transaction reaches</w:t>
      </w:r>
      <w:r>
        <w:t xml:space="preserve"> </w:t>
      </w:r>
      <w:r>
        <w:rPr>
          <w:rStyle w:val="VerbatimChar"/>
        </w:rPr>
        <w:t xml:space="preserve">TIMEOUT</w:t>
      </w:r>
      <w:r>
        <w:t xml:space="preserve"> </w:t>
      </w:r>
      <w:r>
        <w:t xml:space="preserve">status, to allow the administrator to determine final outcome via the provider portal before reconciling.</w:t>
      </w:r>
    </w:p>
    <w:bookmarkEnd w:id="34"/>
    <w:bookmarkStart w:id="35" w:name="X89bcfee1802a71a1a80bd99a7df0efa725f6647"/>
    <w:p>
      <w:pPr>
        <w:pStyle w:val="Heading2"/>
      </w:pPr>
      <w:r>
        <w:t xml:space="preserve">3.9 Credential Management</w:t>
      </w:r>
    </w:p>
    <w:p>
      <w:pPr>
        <w:pStyle w:val="FirstParagraph"/>
      </w:pPr>
      <w:r>
        <w:rPr>
          <w:b/>
          <w:bCs/>
        </w:rPr>
        <w:t xml:space="preserve">FR-INTG-043:</w:t>
      </w:r>
      <w:r>
        <w:t xml:space="preserve"> </w:t>
      </w:r>
      <w:r>
        <w:t xml:space="preserve">The system shall store all mobile money provider credentials (API keys, client secrets, subscription keys, OAuth tokens) per tenant using Advanced Encryption Standard (AES)-256 encryption at rest, when credentials are provisioned or updated.</w:t>
      </w:r>
    </w:p>
    <w:p>
      <w:pPr>
        <w:pStyle w:val="BodyText"/>
      </w:pPr>
      <w:r>
        <w:rPr>
          <w:b/>
          <w:bCs/>
        </w:rPr>
        <w:t xml:space="preserve">FR-INTG-044:</w:t>
      </w:r>
      <w:r>
        <w:t xml:space="preserve"> </w:t>
      </w:r>
      <w:r>
        <w:t xml:space="preserve">The system shall retrieve mobile money provider credentials exclusively from the encrypted credential store at runtime, when constructing any API request to a mobile money provider.</w:t>
      </w:r>
    </w:p>
    <w:p>
      <w:pPr>
        <w:pStyle w:val="BodyText"/>
      </w:pPr>
      <w:r>
        <w:rPr>
          <w:b/>
          <w:bCs/>
        </w:rPr>
        <w:t xml:space="preserve">FR-INTG-045:</w:t>
      </w:r>
      <w:r>
        <w:t xml:space="preserve"> </w:t>
      </w:r>
      <w:r>
        <w:t xml:space="preserve">The system shall never write mobile money credentials, bearer tokens, or OAuth secrets to application logs, error messages, audit trails, or API response payloads, when executing any mobile money operation.</w:t>
      </w:r>
    </w:p>
    <w:bookmarkEnd w:id="35"/>
    <w:bookmarkEnd w:id="36"/>
    <w:bookmarkStart w:id="42" w:name="X2d266c39dbf8142817f4e1af32c1d69efd149c7"/>
    <w:p>
      <w:pPr>
        <w:pStyle w:val="Heading1"/>
      </w:pPr>
      <w:r>
        <w:t xml:space="preserve">4. KRA eTIMS Integration Requirements</w:t>
      </w:r>
    </w:p>
    <w:p>
      <w:pPr>
        <w:pStyle w:val="FirstParagraph"/>
      </w:pPr>
      <w:r>
        <w:rPr>
          <w:b/>
          <w:bCs/>
        </w:rPr>
        <w:t xml:space="preserve">Activation condition:</w:t>
      </w:r>
      <w:r>
        <w:t xml:space="preserve"> </w:t>
      </w:r>
      <w:r>
        <w:t xml:space="preserve">The Kenya Revenue Authority (KRA) electronic Tax Invoice Management System (eTIMS) adapter activates automatically when a tenant's localisation profile is set to</w:t>
      </w:r>
      <w:r>
        <w:t xml:space="preserve"> </w:t>
      </w:r>
      <w:r>
        <w:rPr>
          <w:rStyle w:val="VerbatimChar"/>
        </w:rPr>
        <w:t xml:space="preserve">KE</w:t>
      </w:r>
      <w:r>
        <w:t xml:space="preserve">. No manual configuration is required beyond credential provisioning.</w:t>
      </w:r>
    </w:p>
    <w:p>
      <w:pPr>
        <w:pStyle w:val="BodyText"/>
      </w:pPr>
      <w:r>
        <w:rPr>
          <w:rStyle w:val="VerbatimChar"/>
        </w:rPr>
        <w:t xml:space="preserve">[CONTEXT-GAP: GAP-009 — KRA eTIMS API endpoint URL, authentication scheme (API key / OAuth / client certificate), and payload schema version not confirmed. All requirements below assume REST/JSON with bearer token unless superseded by the KRA eTIMS integration guide.]</w:t>
      </w:r>
    </w:p>
    <w:bookmarkStart w:id="37" w:name="X14c69b1a33f1ad127463cd6eb25adf3c2c3e67a"/>
    <w:p>
      <w:pPr>
        <w:pStyle w:val="Heading2"/>
      </w:pPr>
      <w:r>
        <w:t xml:space="preserve">4.1 Submission of Fiscal Documents</w:t>
      </w:r>
    </w:p>
    <w:p>
      <w:pPr>
        <w:pStyle w:val="FirstParagraph"/>
      </w:pPr>
      <w:r>
        <w:rPr>
          <w:b/>
          <w:bCs/>
        </w:rPr>
        <w:t xml:space="preserve">FR-INTG-046:</w:t>
      </w:r>
      <w:r>
        <w:t xml:space="preserve"> </w:t>
      </w:r>
      <w:r>
        <w:t xml:space="preserve">The system shall submit every sales invoice to the KRA eTIMS API simultaneously with or prior to delivering the invoice to the customer, when the tenant localisation profile is</w:t>
      </w:r>
      <w:r>
        <w:t xml:space="preserve"> </w:t>
      </w:r>
      <w:r>
        <w:rPr>
          <w:rStyle w:val="VerbatimChar"/>
        </w:rPr>
        <w:t xml:space="preserve">KE</w:t>
      </w:r>
      <w:r>
        <w:t xml:space="preserve"> </w:t>
      </w:r>
      <w:r>
        <w:t xml:space="preserve">and the Sales module generates a confirmed invoice.</w:t>
      </w:r>
    </w:p>
    <w:p>
      <w:pPr>
        <w:pStyle w:val="BodyText"/>
      </w:pPr>
      <w:r>
        <w:rPr>
          <w:b/>
          <w:bCs/>
        </w:rPr>
        <w:t xml:space="preserve">FR-INTG-047:</w:t>
      </w:r>
      <w:r>
        <w:t xml:space="preserve"> </w:t>
      </w:r>
      <w:r>
        <w:t xml:space="preserve">The system shall submit every credit note to the KRA eTIMS API before the credit note is made available to the customer, when a credit note is raised against a previously submitted eTIMS invoice.</w:t>
      </w:r>
    </w:p>
    <w:p>
      <w:pPr>
        <w:pStyle w:val="BodyText"/>
      </w:pPr>
      <w:r>
        <w:rPr>
          <w:b/>
          <w:bCs/>
        </w:rPr>
        <w:t xml:space="preserve">FR-INTG-048:</w:t>
      </w:r>
      <w:r>
        <w:t xml:space="preserve"> </w:t>
      </w:r>
      <w:r>
        <w:t xml:space="preserve">The system shall construct each eTIMS submission payload using the field mapping defined in the KRA eTIMS Integration Guide for the active API version, when preparing a submission for a given invoice or credit note.</w:t>
      </w:r>
    </w:p>
    <w:p>
      <w:pPr>
        <w:pStyle w:val="BodyText"/>
      </w:pPr>
      <w:r>
        <w:rPr>
          <w:b/>
          <w:bCs/>
        </w:rPr>
        <w:t xml:space="preserve">FR-INTG-049:</w:t>
      </w:r>
      <w:r>
        <w:t xml:space="preserve"> </w:t>
      </w:r>
      <w:r>
        <w:t xml:space="preserve">The system shall include the tenant's KRA Personal Identification Number (PIN), business name, invoice date, line items with Harmonised System (HS) codes where applicable, tax amounts, and invoice totals in every outbound eTIMS payload, when constructing the payload from a confirmed invoice record.</w:t>
      </w:r>
    </w:p>
    <w:p>
      <w:pPr>
        <w:pStyle w:val="BodyText"/>
      </w:pPr>
      <w:r>
        <w:rPr>
          <w:b/>
          <w:bCs/>
        </w:rPr>
        <w:t xml:space="preserve">FR-INTG-050:</w:t>
      </w:r>
      <w:r>
        <w:t xml:space="preserve"> </w:t>
      </w:r>
      <w:r>
        <w:t xml:space="preserve">The system shall transmit all eTIMS payloads over TLS 1.2 or higher, when communicating with the KRA eTIMS endpoint.</w:t>
      </w:r>
    </w:p>
    <w:bookmarkEnd w:id="37"/>
    <w:bookmarkStart w:id="38" w:name="Xd526efeb9a2c7277429e2ec06c0491cfc8e36dc"/>
    <w:p>
      <w:pPr>
        <w:pStyle w:val="Heading2"/>
      </w:pPr>
      <w:r>
        <w:t xml:space="preserve">4.2 Fiscal Response Handling</w:t>
      </w:r>
    </w:p>
    <w:p>
      <w:pPr>
        <w:pStyle w:val="FirstParagraph"/>
      </w:pPr>
      <w:r>
        <w:rPr>
          <w:b/>
          <w:bCs/>
        </w:rPr>
        <w:t xml:space="preserve">FR-INTG-051:</w:t>
      </w:r>
      <w:r>
        <w:t xml:space="preserve"> </w:t>
      </w:r>
      <w:r>
        <w:t xml:space="preserve">The system shall parse the eTIMS control unit invoice number (CUIN) and QR code returned in the KRA eTIMS API success response, when the KRA eTIMS API returns HTTP 200 with a valid fiscal receipt payload.</w:t>
      </w:r>
    </w:p>
    <w:p>
      <w:pPr>
        <w:pStyle w:val="BodyText"/>
      </w:pPr>
      <w:r>
        <w:rPr>
          <w:b/>
          <w:bCs/>
        </w:rPr>
        <w:t xml:space="preserve">FR-INTG-052:</w:t>
      </w:r>
      <w:r>
        <w:t xml:space="preserve"> </w:t>
      </w:r>
      <w:r>
        <w:t xml:space="preserve">The system shall store the CUIN and QR code against the originating invoice record in the database, when a successful eTIMS response is received.</w:t>
      </w:r>
    </w:p>
    <w:p>
      <w:pPr>
        <w:pStyle w:val="BodyText"/>
      </w:pPr>
      <w:r>
        <w:rPr>
          <w:b/>
          <w:bCs/>
        </w:rPr>
        <w:t xml:space="preserve">FR-INTG-053:</w:t>
      </w:r>
      <w:r>
        <w:t xml:space="preserve"> </w:t>
      </w:r>
      <w:r>
        <w:t xml:space="preserve">The system shall embed the CUIN and QR code in the printed and PDF versions of the invoice, when the invoice is rendered for customer delivery following a successful eTIMS submission.</w:t>
      </w:r>
    </w:p>
    <w:p>
      <w:pPr>
        <w:pStyle w:val="BodyText"/>
      </w:pPr>
      <w:r>
        <w:rPr>
          <w:b/>
          <w:bCs/>
        </w:rPr>
        <w:t xml:space="preserve">FR-INTG-054:</w:t>
      </w:r>
      <w:r>
        <w:t xml:space="preserve"> </w:t>
      </w:r>
      <w:r>
        <w:t xml:space="preserve">The system shall mark the invoice with status</w:t>
      </w:r>
      <w:r>
        <w:t xml:space="preserve"> </w:t>
      </w:r>
      <w:r>
        <w:rPr>
          <w:rStyle w:val="VerbatimChar"/>
        </w:rPr>
        <w:t xml:space="preserve">ETIMS_SUBMITTED</w:t>
      </w:r>
      <w:r>
        <w:t xml:space="preserve"> </w:t>
      </w:r>
      <w:r>
        <w:t xml:space="preserve">upon receipt of a successful eTIMS fiscal response, when the submission cycle completes without error.</w:t>
      </w:r>
    </w:p>
    <w:bookmarkEnd w:id="38"/>
    <w:bookmarkStart w:id="39" w:name="X7ca81145c51463e513c68405ad438ebe493811f"/>
    <w:p>
      <w:pPr>
        <w:pStyle w:val="Heading2"/>
      </w:pPr>
      <w:r>
        <w:t xml:space="preserve">4.3 Retry and Failure Handling</w:t>
      </w:r>
    </w:p>
    <w:p>
      <w:pPr>
        <w:pStyle w:val="FirstParagraph"/>
      </w:pPr>
      <w:r>
        <w:rPr>
          <w:b/>
          <w:bCs/>
        </w:rPr>
        <w:t xml:space="preserve">FR-INTG-055:</w:t>
      </w:r>
      <w:r>
        <w:t xml:space="preserve"> </w:t>
      </w:r>
      <w:r>
        <w:t xml:space="preserve">The system shall retry a failed eTIMS submission up to 3 times using exponential backoff intervals of 30 seconds, 60 seconds, and 120 seconds respectively, when the eTIMS API returns a network error, HTTP 5xx response, or connection timeout.</w:t>
      </w:r>
    </w:p>
    <w:p>
      <w:pPr>
        <w:pStyle w:val="BodyText"/>
      </w:pPr>
      <w:r>
        <w:rPr>
          <w:b/>
          <w:bCs/>
        </w:rPr>
        <w:t xml:space="preserve">FR-INTG-056:</w:t>
      </w:r>
      <w:r>
        <w:t xml:space="preserve"> </w:t>
      </w:r>
      <w:r>
        <w:t xml:space="preserve">The system shall place the invoice submission payload onto the offline queue and mark the invoice with status</w:t>
      </w:r>
      <w:r>
        <w:t xml:space="preserve"> </w:t>
      </w:r>
      <w:r>
        <w:rPr>
          <w:rStyle w:val="VerbatimChar"/>
        </w:rPr>
        <w:t xml:space="preserve">ETIMS_QUEUED</w:t>
      </w:r>
      <w:r>
        <w:t xml:space="preserve"> </w:t>
      </w:r>
      <w:r>
        <w:t xml:space="preserve">when all 3 retry attempts fail, allowing the tenant workflow to continue without blocking invoice delivery.</w:t>
      </w:r>
    </w:p>
    <w:p>
      <w:pPr>
        <w:pStyle w:val="BodyText"/>
      </w:pPr>
      <w:r>
        <w:rPr>
          <w:b/>
          <w:bCs/>
        </w:rPr>
        <w:t xml:space="preserve">FR-INTG-057:</w:t>
      </w:r>
      <w:r>
        <w:t xml:space="preserve"> </w:t>
      </w:r>
      <w:r>
        <w:t xml:space="preserve">The system shall not block or delay the tenant's invoicing workflow while an eTIMS submission is in</w:t>
      </w:r>
      <w:r>
        <w:t xml:space="preserve"> </w:t>
      </w:r>
      <w:r>
        <w:rPr>
          <w:rStyle w:val="VerbatimChar"/>
        </w:rPr>
        <w:t xml:space="preserve">ETIMS_QUEUED</w:t>
      </w:r>
      <w:r>
        <w:t xml:space="preserve"> </w:t>
      </w:r>
      <w:r>
        <w:t xml:space="preserve">status, when the offline queue is active.</w:t>
      </w:r>
    </w:p>
    <w:p>
      <w:pPr>
        <w:pStyle w:val="BodyText"/>
      </w:pPr>
      <w:r>
        <w:rPr>
          <w:b/>
          <w:bCs/>
        </w:rPr>
        <w:t xml:space="preserve">FR-INTG-058:</w:t>
      </w:r>
      <w:r>
        <w:t xml:space="preserve"> </w:t>
      </w:r>
      <w:r>
        <w:t xml:space="preserve">The system shall retain queued eTIMS payloads for a minimum of 72 hours, when the external eTIMS service is unavailable.</w:t>
      </w:r>
    </w:p>
    <w:p>
      <w:pPr>
        <w:pStyle w:val="BodyText"/>
      </w:pPr>
      <w:r>
        <w:rPr>
          <w:b/>
          <w:bCs/>
        </w:rPr>
        <w:t xml:space="preserve">FR-INTG-059:</w:t>
      </w:r>
      <w:r>
        <w:t xml:space="preserve"> </w:t>
      </w:r>
      <w:r>
        <w:t xml:space="preserve">The system shall display a visible status indicator on the invoice record showing</w:t>
      </w:r>
      <w:r>
        <w:t xml:space="preserve"> </w:t>
      </w:r>
      <w:r>
        <w:rPr>
          <w:rStyle w:val="VerbatimChar"/>
        </w:rPr>
        <w:t xml:space="preserve">ETIMS_QUEUED</w:t>
      </w:r>
      <w:r>
        <w:t xml:space="preserve"> </w:t>
      </w:r>
      <w:r>
        <w:t xml:space="preserve">or</w:t>
      </w:r>
      <w:r>
        <w:t xml:space="preserve"> </w:t>
      </w:r>
      <w:r>
        <w:rPr>
          <w:rStyle w:val="VerbatimChar"/>
        </w:rPr>
        <w:t xml:space="preserve">ETIMS_FAILED</w:t>
      </w:r>
      <w:r>
        <w:t xml:space="preserve"> </w:t>
      </w:r>
      <w:r>
        <w:t xml:space="preserve">to the authorised Finance user, when a submission has not completed successfully.</w:t>
      </w:r>
    </w:p>
    <w:bookmarkEnd w:id="39"/>
    <w:bookmarkStart w:id="40" w:name="X3cc858c86fcfab2904a9501a2c2f422de542675"/>
    <w:p>
      <w:pPr>
        <w:pStyle w:val="Heading2"/>
      </w:pPr>
      <w:r>
        <w:t xml:space="preserve">4.4 Offline Queue and Reconnection</w:t>
      </w:r>
    </w:p>
    <w:p>
      <w:pPr>
        <w:pStyle w:val="FirstParagraph"/>
      </w:pPr>
      <w:r>
        <w:rPr>
          <w:b/>
          <w:bCs/>
        </w:rPr>
        <w:t xml:space="preserve">FR-INTG-060:</w:t>
      </w:r>
      <w:r>
        <w:t xml:space="preserve"> </w:t>
      </w:r>
      <w:r>
        <w:t xml:space="preserve">The system shall automatically detect restoration of connectivity to the eTIMS endpoint and begin processing all payloads in the offline queue in FIFO order, when the system performs its scheduled connectivity health check and the endpoint is reachable.</w:t>
      </w:r>
    </w:p>
    <w:bookmarkEnd w:id="40"/>
    <w:bookmarkStart w:id="41" w:name="Xa871ed12922b57e8baa1d13941dabb4121423c1"/>
    <w:p>
      <w:pPr>
        <w:pStyle w:val="Heading2"/>
      </w:pPr>
      <w:r>
        <w:t xml:space="preserve">4.5 Credential Management</w:t>
      </w:r>
    </w:p>
    <w:p>
      <w:pPr>
        <w:pStyle w:val="FirstParagraph"/>
      </w:pPr>
      <w:r>
        <w:rPr>
          <w:b/>
          <w:bCs/>
        </w:rPr>
        <w:t xml:space="preserve">FR-INTG-061:</w:t>
      </w:r>
      <w:r>
        <w:t xml:space="preserve"> </w:t>
      </w:r>
      <w:r>
        <w:t xml:space="preserve">The system shall retrieve all KRA eTIMS API credentials exclusively from the platform encrypted credential store using the tenant identifier as the lookup key, when initiating any eTIMS API call.</w:t>
      </w:r>
    </w:p>
    <w:p>
      <w:pPr>
        <w:pStyle w:val="BodyText"/>
      </w:pPr>
      <w:r>
        <w:rPr>
          <w:b/>
          <w:bCs/>
        </w:rPr>
        <w:t xml:space="preserve">FR-INTG-062:</w:t>
      </w:r>
      <w:r>
        <w:t xml:space="preserve"> </w:t>
      </w:r>
      <w:r>
        <w:t xml:space="preserve">The system shall never write KRA eTIMS API credentials, tokens, or private keys to application logs, error reports, or API response payloads, when processing any eTIMS transaction at any point in the request lifecycle.</w:t>
      </w:r>
    </w:p>
    <w:bookmarkEnd w:id="41"/>
    <w:bookmarkEnd w:id="42"/>
    <w:bookmarkStart w:id="48" w:name="X9fed6591b869f7a8a74f1faa0b3d34d4682af70"/>
    <w:p>
      <w:pPr>
        <w:pStyle w:val="Heading1"/>
      </w:pPr>
      <w:r>
        <w:t xml:space="preserve">5. NSSF Integration Requirements</w:t>
      </w:r>
    </w:p>
    <w:p>
      <w:pPr>
        <w:pStyle w:val="FirstParagraph"/>
      </w:pPr>
      <w:r>
        <w:rPr>
          <w:rStyle w:val="VerbatimChar"/>
        </w:rPr>
        <w:t xml:space="preserve">[CONTEXT-GAP: GAP-013 — NSSF Uganda and NSSF Kenya contribution file format, API endpoint, authentication mechanism, and SFTP server details not confirmed. Requirements below use placeholder references to "NSSF-specified format" pending receipt of the official integration specification from both funds.]</w:t>
      </w:r>
    </w:p>
    <w:bookmarkStart w:id="43" w:name="X44b64ccead2e86cc509c063d35a4e3308dd7957"/>
    <w:p>
      <w:pPr>
        <w:pStyle w:val="Heading2"/>
      </w:pPr>
      <w:r>
        <w:t xml:space="preserve">5.1 Activation and Scope</w:t>
      </w:r>
    </w:p>
    <w:p>
      <w:pPr>
        <w:pStyle w:val="FirstParagraph"/>
      </w:pPr>
      <w:r>
        <w:rPr>
          <w:b/>
          <w:bCs/>
        </w:rPr>
        <w:t xml:space="preserve">FR-INTG-063:</w:t>
      </w:r>
      <w:r>
        <w:t xml:space="preserve"> </w:t>
      </w:r>
      <w:r>
        <w:t xml:space="preserve">The system shall activate the NSSF integration adapter when the HR &amp; Payroll module is active and the tenant localisation profile is</w:t>
      </w:r>
      <w:r>
        <w:t xml:space="preserve"> </w:t>
      </w:r>
      <w:r>
        <w:rPr>
          <w:rStyle w:val="VerbatimChar"/>
        </w:rPr>
        <w:t xml:space="preserve">UG</w:t>
      </w:r>
      <w:r>
        <w:t xml:space="preserve"> </w:t>
      </w:r>
      <w:r>
        <w:t xml:space="preserve">or</w:t>
      </w:r>
      <w:r>
        <w:t xml:space="preserve"> </w:t>
      </w:r>
      <w:r>
        <w:rPr>
          <w:rStyle w:val="VerbatimChar"/>
        </w:rPr>
        <w:t xml:space="preserve">KE</w:t>
      </w:r>
      <w:r>
        <w:t xml:space="preserve">, when the tenant completes module activation.</w:t>
      </w:r>
    </w:p>
    <w:p>
      <w:pPr>
        <w:pStyle w:val="BodyText"/>
      </w:pPr>
      <w:r>
        <w:rPr>
          <w:b/>
          <w:bCs/>
        </w:rPr>
        <w:t xml:space="preserve">FR-INTG-064:</w:t>
      </w:r>
      <w:r>
        <w:t xml:space="preserve"> </w:t>
      </w:r>
      <w:r>
        <w:t xml:space="preserve">The system shall apply the Uganda National Social Security Fund (NSSF Uganda) contribution rules and file format for tenants with profile</w:t>
      </w:r>
      <w:r>
        <w:t xml:space="preserve"> </w:t>
      </w:r>
      <w:r>
        <w:rPr>
          <w:rStyle w:val="VerbatimChar"/>
        </w:rPr>
        <w:t xml:space="preserve">UG</w:t>
      </w:r>
      <w:r>
        <w:t xml:space="preserve">, and the Kenya National Social Security Fund (NSSF Kenya) contribution rules and file format for tenants with profile</w:t>
      </w:r>
      <w:r>
        <w:t xml:space="preserve"> </w:t>
      </w:r>
      <w:r>
        <w:rPr>
          <w:rStyle w:val="VerbatimChar"/>
        </w:rPr>
        <w:t xml:space="preserve">KE</w:t>
      </w:r>
      <w:r>
        <w:t xml:space="preserve">, when generating a monthly contribution file.</w:t>
      </w:r>
    </w:p>
    <w:bookmarkEnd w:id="43"/>
    <w:bookmarkStart w:id="44" w:name="Xcb3e81c800fa1954690443923791dcc874cd56f"/>
    <w:p>
      <w:pPr>
        <w:pStyle w:val="Heading2"/>
      </w:pPr>
      <w:r>
        <w:t xml:space="preserve">5.2 Contribution File Generation</w:t>
      </w:r>
    </w:p>
    <w:p>
      <w:pPr>
        <w:pStyle w:val="FirstParagraph"/>
      </w:pPr>
      <w:r>
        <w:rPr>
          <w:b/>
          <w:bCs/>
        </w:rPr>
        <w:t xml:space="preserve">FR-INTG-065:</w:t>
      </w:r>
      <w:r>
        <w:t xml:space="preserve"> </w:t>
      </w:r>
      <w:r>
        <w:t xml:space="preserve">The system shall generate a monthly NSSF contribution file containing employee names, national identification numbers, employee NSSF numbers, gross salary, employer contribution amount, and employee contribution amount for all active employees in the payroll run, when the Payroll module confirms the monthly payroll close for the relevant pay period.</w:t>
      </w:r>
    </w:p>
    <w:p>
      <w:pPr>
        <w:pStyle w:val="BodyText"/>
      </w:pPr>
      <w:r>
        <w:rPr>
          <w:b/>
          <w:bCs/>
        </w:rPr>
        <w:t xml:space="preserve">FR-INTG-066:</w:t>
      </w:r>
      <w:r>
        <w:t xml:space="preserve"> </w:t>
      </w:r>
      <w:r>
        <w:t xml:space="preserve">The system shall format the contribution file in the NSSF-specified data format and encoding for the active localisation profile (</w:t>
      </w:r>
      <w:r>
        <w:rPr>
          <w:rStyle w:val="VerbatimChar"/>
        </w:rPr>
        <w:t xml:space="preserve">UG</w:t>
      </w:r>
      <w:r>
        <w:t xml:space="preserve"> </w:t>
      </w:r>
      <w:r>
        <w:t xml:space="preserve">or</w:t>
      </w:r>
      <w:r>
        <w:t xml:space="preserve"> </w:t>
      </w:r>
      <w:r>
        <w:rPr>
          <w:rStyle w:val="VerbatimChar"/>
        </w:rPr>
        <w:t xml:space="preserve">KE</w:t>
      </w:r>
      <w:r>
        <w:t xml:space="preserve">), when the file is prepared for submission.</w:t>
      </w:r>
    </w:p>
    <w:p>
      <w:pPr>
        <w:pStyle w:val="BodyText"/>
      </w:pPr>
      <w:r>
        <w:rPr>
          <w:b/>
          <w:bCs/>
        </w:rPr>
        <w:t xml:space="preserve">FR-INTG-067:</w:t>
      </w:r>
      <w:r>
        <w:t xml:space="preserve"> </w:t>
      </w:r>
      <w:r>
        <w:t xml:space="preserve">The system shall allow an authorised Payroll administrator to preview the contribution file before submission, displaying all employee records and computed contribution amounts, when the file generation process completes.</w:t>
      </w:r>
    </w:p>
    <w:bookmarkEnd w:id="44"/>
    <w:bookmarkStart w:id="45" w:name="X6f228ea67ea487452d9ec278df949cb41036831"/>
    <w:p>
      <w:pPr>
        <w:pStyle w:val="Heading2"/>
      </w:pPr>
      <w:r>
        <w:t xml:space="preserve">5.3 Submission</w:t>
      </w:r>
    </w:p>
    <w:p>
      <w:pPr>
        <w:pStyle w:val="FirstParagraph"/>
      </w:pPr>
      <w:r>
        <w:rPr>
          <w:b/>
          <w:bCs/>
        </w:rPr>
        <w:t xml:space="preserve">FR-INTG-068:</w:t>
      </w:r>
      <w:r>
        <w:t xml:space="preserve"> </w:t>
      </w:r>
      <w:r>
        <w:t xml:space="preserve">The system shall submit the generated contribution file to the NSSF portal via the NSSF REST API or SFTP, depending on the submission method specified for the active localisation profile, when the Payroll administrator confirms the file for submission.</w:t>
      </w:r>
    </w:p>
    <w:p>
      <w:pPr>
        <w:pStyle w:val="BodyText"/>
      </w:pPr>
      <w:r>
        <w:rPr>
          <w:b/>
          <w:bCs/>
        </w:rPr>
        <w:t xml:space="preserve">FR-INTG-069:</w:t>
      </w:r>
      <w:r>
        <w:t xml:space="preserve"> </w:t>
      </w:r>
      <w:r>
        <w:t xml:space="preserve">The system shall record the NSSF submission reference number, submission timestamp (UTC), and submission status against the corresponding payroll period record, when the NSSF portal acknowledges receipt of the contribution file.</w:t>
      </w:r>
    </w:p>
    <w:bookmarkEnd w:id="45"/>
    <w:bookmarkStart w:id="46" w:name="X7a35cab9054bc449e871e0f13d2e7e66a0a257b"/>
    <w:p>
      <w:pPr>
        <w:pStyle w:val="Heading2"/>
      </w:pPr>
      <w:r>
        <w:t xml:space="preserve">5.4 Error Handling</w:t>
      </w:r>
    </w:p>
    <w:p>
      <w:pPr>
        <w:pStyle w:val="FirstParagraph"/>
      </w:pPr>
      <w:r>
        <w:rPr>
          <w:b/>
          <w:bCs/>
        </w:rPr>
        <w:t xml:space="preserve">FR-INTG-070:</w:t>
      </w:r>
      <w:r>
        <w:t xml:space="preserve"> </w:t>
      </w:r>
      <w:r>
        <w:t xml:space="preserve">The system shall surface validation errors returned by the NSSF portal — including rejected employee records and the specific rejection reasons — to the Payroll administrator, when the NSSF portal returns an error or partial-acceptance response.</w:t>
      </w:r>
    </w:p>
    <w:p>
      <w:pPr>
        <w:pStyle w:val="BodyText"/>
      </w:pPr>
      <w:r>
        <w:rPr>
          <w:b/>
          <w:bCs/>
        </w:rPr>
        <w:t xml:space="preserve">FR-INTG-071:</w:t>
      </w:r>
      <w:r>
        <w:t xml:space="preserve"> </w:t>
      </w:r>
      <w:r>
        <w:t xml:space="preserve">The system shall allow the Payroll administrator to correct rejected records and resubmit the corrected file for the same pay period without regenerating the entire contribution batch, when a partial rejection requires targeted correction.</w:t>
      </w:r>
    </w:p>
    <w:bookmarkEnd w:id="46"/>
    <w:bookmarkStart w:id="47" w:name="X7c6d28269cfea7f406a7e13939a4107ef9dcbbe"/>
    <w:p>
      <w:pPr>
        <w:pStyle w:val="Heading2"/>
      </w:pPr>
      <w:r>
        <w:t xml:space="preserve">5.5 Audit and Reconciliation</w:t>
      </w:r>
    </w:p>
    <w:p>
      <w:pPr>
        <w:pStyle w:val="FirstParagraph"/>
      </w:pPr>
      <w:r>
        <w:rPr>
          <w:b/>
          <w:bCs/>
        </w:rPr>
        <w:t xml:space="preserve">FR-INTG-072:</w:t>
      </w:r>
      <w:r>
        <w:t xml:space="preserve"> </w:t>
      </w:r>
      <w:r>
        <w:t xml:space="preserve">The system shall retain a copy of every generated NSSF contribution file and its submission outcome for a minimum of 7 years, when files are generated and submitted, in compliance with statutory record-keeping requirements.</w:t>
      </w:r>
    </w:p>
    <w:bookmarkEnd w:id="47"/>
    <w:bookmarkEnd w:id="48"/>
    <w:bookmarkStart w:id="54" w:name="Xa59a8984166e6fd49305c7ab15f8764dc77bdac"/>
    <w:p>
      <w:pPr>
        <w:pStyle w:val="Heading1"/>
      </w:pPr>
      <w:r>
        <w:t xml:space="preserve">6. Outbound Webhook Framework Requirements</w:t>
      </w:r>
    </w:p>
    <w:bookmarkStart w:id="49" w:name="Xf60daa043633dd6b1c1a16db61d43c93683f615"/>
    <w:p>
      <w:pPr>
        <w:pStyle w:val="Heading2"/>
      </w:pPr>
      <w:r>
        <w:t xml:space="preserve">6.1 Tenant Webhook Registration</w:t>
      </w:r>
    </w:p>
    <w:p>
      <w:pPr>
        <w:pStyle w:val="FirstParagraph"/>
      </w:pPr>
      <w:r>
        <w:rPr>
          <w:b/>
          <w:bCs/>
        </w:rPr>
        <w:t xml:space="preserve">FR-INTG-073:</w:t>
      </w:r>
      <w:r>
        <w:t xml:space="preserve"> </w:t>
      </w:r>
      <w:r>
        <w:t xml:space="preserve">The system shall allow an authorised tenant administrator to register one or more outbound webhook endpoints by providing a target URL, a shared secret key, and a selection of subscribed event types, when the administrator accesses the Integrations settings panel.</w:t>
      </w:r>
    </w:p>
    <w:p>
      <w:pPr>
        <w:pStyle w:val="BodyText"/>
      </w:pPr>
      <w:r>
        <w:rPr>
          <w:b/>
          <w:bCs/>
        </w:rPr>
        <w:t xml:space="preserve">FR-INTG-074:</w:t>
      </w:r>
      <w:r>
        <w:t xml:space="preserve"> </w:t>
      </w:r>
      <w:r>
        <w:t xml:space="preserve">The system shall validate that a registered webhook URL is a syntactically valid HTTPS URL before saving the registration, when the administrator submits the webhook configuration form.</w:t>
      </w:r>
    </w:p>
    <w:p>
      <w:pPr>
        <w:pStyle w:val="BodyText"/>
      </w:pPr>
      <w:r>
        <w:rPr>
          <w:b/>
          <w:bCs/>
        </w:rPr>
        <w:t xml:space="preserve">FR-INTG-075:</w:t>
      </w:r>
      <w:r>
        <w:t xml:space="preserve"> </w:t>
      </w:r>
      <w:r>
        <w:t xml:space="preserve">The system shall allow an authorised tenant administrator to activate or deactivate any registered webhook endpoint without deleting it, when the administrator toggles the active/inactive control on the webhook record.</w:t>
      </w:r>
    </w:p>
    <w:p>
      <w:pPr>
        <w:pStyle w:val="BodyText"/>
      </w:pPr>
      <w:r>
        <w:rPr>
          <w:b/>
          <w:bCs/>
        </w:rPr>
        <w:t xml:space="preserve">FR-INTG-076:</w:t>
      </w:r>
      <w:r>
        <w:t xml:space="preserve"> </w:t>
      </w:r>
      <w:r>
        <w:t xml:space="preserve">The system shall allow an authorised tenant administrator to update the target URL, secret key, or subscribed event list of a registered webhook at any time, when the administrator saves changes to the webhook configuration.</w:t>
      </w:r>
    </w:p>
    <w:p>
      <w:pPr>
        <w:pStyle w:val="BodyText"/>
      </w:pPr>
      <w:r>
        <w:rPr>
          <w:b/>
          <w:bCs/>
        </w:rPr>
        <w:t xml:space="preserve">FR-INTG-077:</w:t>
      </w:r>
      <w:r>
        <w:t xml:space="preserve"> </w:t>
      </w:r>
      <w:r>
        <w:t xml:space="preserve">The system shall store the webhook shared secret key in the encrypted credential store using AES-256 encryption, when the secret is provisioned or updated by the tenant administrator.</w:t>
      </w:r>
    </w:p>
    <w:bookmarkEnd w:id="49"/>
    <w:bookmarkStart w:id="50" w:name="Xb86e23e09887598d1ea8081a0f77d0593a76223"/>
    <w:p>
      <w:pPr>
        <w:pStyle w:val="Heading2"/>
      </w:pPr>
      <w:r>
        <w:t xml:space="preserve">6.2 Supported Event Types</w:t>
      </w:r>
    </w:p>
    <w:p>
      <w:pPr>
        <w:pStyle w:val="FirstParagraph"/>
      </w:pPr>
      <w:r>
        <w:rPr>
          <w:b/>
          <w:bCs/>
        </w:rPr>
        <w:t xml:space="preserve">FR-INTG-078:</w:t>
      </w:r>
      <w:r>
        <w:t xml:space="preserve"> </w:t>
      </w:r>
      <w:r>
        <w:t xml:space="preserve">The system shall support the following standard event types for webhook subscription, when a tenant registers a webhook endpoint:</w:t>
      </w:r>
    </w:p>
    <w:p>
      <w:pPr>
        <w:pStyle w:val="Compact"/>
        <w:numPr>
          <w:ilvl w:val="0"/>
          <w:numId w:val="1004"/>
        </w:numPr>
      </w:pPr>
      <w:r>
        <w:rPr>
          <w:rStyle w:val="VerbatimChar"/>
        </w:rPr>
        <w:t xml:space="preserve">invoice.created</w:t>
      </w:r>
      <w:r>
        <w:t xml:space="preserve"> </w:t>
      </w:r>
      <w:r>
        <w:t xml:space="preserve">— a new sales invoice is confirmed</w:t>
      </w:r>
    </w:p>
    <w:p>
      <w:pPr>
        <w:pStyle w:val="Compact"/>
        <w:numPr>
          <w:ilvl w:val="0"/>
          <w:numId w:val="1004"/>
        </w:numPr>
      </w:pPr>
      <w:r>
        <w:rPr>
          <w:rStyle w:val="VerbatimChar"/>
        </w:rPr>
        <w:t xml:space="preserve">invoice.paid</w:t>
      </w:r>
      <w:r>
        <w:t xml:space="preserve"> </w:t>
      </w:r>
      <w:r>
        <w:t xml:space="preserve">— an invoice is fully settled</w:t>
      </w:r>
    </w:p>
    <w:p>
      <w:pPr>
        <w:pStyle w:val="Compact"/>
        <w:numPr>
          <w:ilvl w:val="0"/>
          <w:numId w:val="1004"/>
        </w:numPr>
      </w:pPr>
      <w:r>
        <w:rPr>
          <w:rStyle w:val="VerbatimChar"/>
        </w:rPr>
        <w:t xml:space="preserve">payment.received</w:t>
      </w:r>
      <w:r>
        <w:t xml:space="preserve"> </w:t>
      </w:r>
      <w:r>
        <w:t xml:space="preserve">— a payment is posted to the ledger</w:t>
      </w:r>
    </w:p>
    <w:p>
      <w:pPr>
        <w:pStyle w:val="Compact"/>
        <w:numPr>
          <w:ilvl w:val="0"/>
          <w:numId w:val="1004"/>
        </w:numPr>
      </w:pPr>
      <w:r>
        <w:rPr>
          <w:rStyle w:val="VerbatimChar"/>
        </w:rPr>
        <w:t xml:space="preserve">credit_note.issued</w:t>
      </w:r>
      <w:r>
        <w:t xml:space="preserve"> </w:t>
      </w:r>
      <w:r>
        <w:t xml:space="preserve">— a credit note is raised</w:t>
      </w:r>
    </w:p>
    <w:p>
      <w:pPr>
        <w:pStyle w:val="Compact"/>
        <w:numPr>
          <w:ilvl w:val="0"/>
          <w:numId w:val="1004"/>
        </w:numPr>
      </w:pPr>
      <w:r>
        <w:rPr>
          <w:rStyle w:val="VerbatimChar"/>
        </w:rPr>
        <w:t xml:space="preserve">stock.low</w:t>
      </w:r>
      <w:r>
        <w:t xml:space="preserve"> </w:t>
      </w:r>
      <w:r>
        <w:t xml:space="preserve">— a stock item falls below its reorder level</w:t>
      </w:r>
    </w:p>
    <w:p>
      <w:pPr>
        <w:pStyle w:val="Compact"/>
        <w:numPr>
          <w:ilvl w:val="0"/>
          <w:numId w:val="1004"/>
        </w:numPr>
      </w:pPr>
      <w:r>
        <w:rPr>
          <w:rStyle w:val="VerbatimChar"/>
        </w:rPr>
        <w:t xml:space="preserve">purchase_order.approved</w:t>
      </w:r>
      <w:r>
        <w:t xml:space="preserve"> </w:t>
      </w:r>
      <w:r>
        <w:t xml:space="preserve">— a purchase order passes the approval workflow</w:t>
      </w:r>
    </w:p>
    <w:p>
      <w:pPr>
        <w:pStyle w:val="Compact"/>
        <w:numPr>
          <w:ilvl w:val="0"/>
          <w:numId w:val="1004"/>
        </w:numPr>
      </w:pPr>
      <w:r>
        <w:rPr>
          <w:rStyle w:val="VerbatimChar"/>
        </w:rPr>
        <w:t xml:space="preserve">goods_received.posted</w:t>
      </w:r>
      <w:r>
        <w:t xml:space="preserve"> </w:t>
      </w:r>
      <w:r>
        <w:t xml:space="preserve">— a goods received note is posted to inventory</w:t>
      </w:r>
    </w:p>
    <w:p>
      <w:pPr>
        <w:pStyle w:val="Compact"/>
        <w:numPr>
          <w:ilvl w:val="0"/>
          <w:numId w:val="1004"/>
        </w:numPr>
      </w:pPr>
      <w:r>
        <w:rPr>
          <w:rStyle w:val="VerbatimChar"/>
        </w:rPr>
        <w:t xml:space="preserve">employee.onboarded</w:t>
      </w:r>
      <w:r>
        <w:t xml:space="preserve"> </w:t>
      </w:r>
      <w:r>
        <w:t xml:space="preserve">— a new employee record is activated in HR</w:t>
      </w:r>
    </w:p>
    <w:p>
      <w:pPr>
        <w:pStyle w:val="Compact"/>
        <w:numPr>
          <w:ilvl w:val="0"/>
          <w:numId w:val="1004"/>
        </w:numPr>
      </w:pPr>
      <w:r>
        <w:rPr>
          <w:rStyle w:val="VerbatimChar"/>
        </w:rPr>
        <w:t xml:space="preserve">payroll.run_completed</w:t>
      </w:r>
      <w:r>
        <w:t xml:space="preserve"> </w:t>
      </w:r>
      <w:r>
        <w:t xml:space="preserve">— a payroll run is finalised</w:t>
      </w:r>
    </w:p>
    <w:p>
      <w:pPr>
        <w:pStyle w:val="Compact"/>
        <w:numPr>
          <w:ilvl w:val="0"/>
          <w:numId w:val="1004"/>
        </w:numPr>
      </w:pPr>
      <w:r>
        <w:rPr>
          <w:rStyle w:val="VerbatimChar"/>
        </w:rPr>
        <w:t xml:space="preserve">tenant.subscription_renewed</w:t>
      </w:r>
      <w:r>
        <w:t xml:space="preserve"> </w:t>
      </w:r>
      <w:r>
        <w:t xml:space="preserve">— a SaaS subscription billing cycle completes successfully</w:t>
      </w:r>
    </w:p>
    <w:p>
      <w:pPr>
        <w:pStyle w:val="Compact"/>
        <w:numPr>
          <w:ilvl w:val="0"/>
          <w:numId w:val="1004"/>
        </w:numPr>
      </w:pPr>
      <w:r>
        <w:rPr>
          <w:rStyle w:val="VerbatimChar"/>
        </w:rPr>
        <w:t xml:space="preserve">tenant.subscription_overdue</w:t>
      </w:r>
      <w:r>
        <w:t xml:space="preserve"> </w:t>
      </w:r>
      <w:r>
        <w:t xml:space="preserve">— a SaaS subscription payment is overdue</w:t>
      </w:r>
    </w:p>
    <w:p>
      <w:pPr>
        <w:pStyle w:val="FirstParagraph"/>
      </w:pPr>
      <w:r>
        <w:rPr>
          <w:b/>
          <w:bCs/>
        </w:rPr>
        <w:t xml:space="preserve">FR-INTG-079:</w:t>
      </w:r>
      <w:r>
        <w:t xml:space="preserve"> </w:t>
      </w:r>
      <w:r>
        <w:t xml:space="preserve">The system shall allow the platform engineering team to register additional event types in the webhook event registry without modifying the webhook delivery core, when new system events are introduced in future module releases.</w:t>
      </w:r>
    </w:p>
    <w:bookmarkEnd w:id="50"/>
    <w:bookmarkStart w:id="51" w:name="X82397e528dfa68b2b9889c4c3b4c125c6465afd"/>
    <w:p>
      <w:pPr>
        <w:pStyle w:val="Heading2"/>
      </w:pPr>
      <w:r>
        <w:t xml:space="preserve">6.3 Payload and Signature</w:t>
      </w:r>
    </w:p>
    <w:p>
      <w:pPr>
        <w:pStyle w:val="FirstParagraph"/>
      </w:pPr>
      <w:r>
        <w:rPr>
          <w:b/>
          <w:bCs/>
        </w:rPr>
        <w:t xml:space="preserve">FR-INTG-080:</w:t>
      </w:r>
      <w:r>
        <w:t xml:space="preserve"> </w:t>
      </w:r>
      <w:r>
        <w:t xml:space="preserve">The system shall deliver every webhook notification as an HTTP POST request with a</w:t>
      </w:r>
      <w:r>
        <w:t xml:space="preserve"> </w:t>
      </w:r>
      <w:r>
        <w:rPr>
          <w:rStyle w:val="VerbatimChar"/>
        </w:rPr>
        <w:t xml:space="preserve">Content-Type: application/json</w:t>
      </w:r>
      <w:r>
        <w:t xml:space="preserve"> </w:t>
      </w:r>
      <w:r>
        <w:t xml:space="preserve">header and a JSON payload to the registered endpoint, when a subscribed event occurs.</w:t>
      </w:r>
    </w:p>
    <w:p>
      <w:pPr>
        <w:pStyle w:val="BodyText"/>
      </w:pPr>
      <w:r>
        <w:rPr>
          <w:b/>
          <w:bCs/>
        </w:rPr>
        <w:t xml:space="preserve">FR-INTG-081:</w:t>
      </w:r>
      <w:r>
        <w:t xml:space="preserve"> </w:t>
      </w:r>
      <w:r>
        <w:t xml:space="preserve">The system shall include the following fields in every webhook payload:</w:t>
      </w:r>
      <w:r>
        <w:t xml:space="preserve"> </w:t>
      </w:r>
      <w:r>
        <w:rPr>
          <w:rStyle w:val="VerbatimChar"/>
        </w:rPr>
        <w:t xml:space="preserve">event_type</w:t>
      </w:r>
      <w:r>
        <w:t xml:space="preserve">,</w:t>
      </w:r>
      <w:r>
        <w:t xml:space="preserve"> </w:t>
      </w:r>
      <w:r>
        <w:rPr>
          <w:rStyle w:val="VerbatimChar"/>
        </w:rPr>
        <w:t xml:space="preserve">event_id</w:t>
      </w:r>
      <w:r>
        <w:t xml:space="preserve"> </w:t>
      </w:r>
      <w:r>
        <w:t xml:space="preserve">(UUID v4),</w:t>
      </w:r>
      <w:r>
        <w:t xml:space="preserve"> </w:t>
      </w:r>
      <w:r>
        <w:rPr>
          <w:rStyle w:val="VerbatimChar"/>
        </w:rPr>
        <w:t xml:space="preserve">tenant_id</w:t>
      </w:r>
      <w:r>
        <w:t xml:space="preserve">,</w:t>
      </w:r>
      <w:r>
        <w:t xml:space="preserve"> </w:t>
      </w:r>
      <w:r>
        <w:rPr>
          <w:rStyle w:val="VerbatimChar"/>
        </w:rPr>
        <w:t xml:space="preserve">timestamp</w:t>
      </w:r>
      <w:r>
        <w:t xml:space="preserve"> </w:t>
      </w:r>
      <w:r>
        <w:t xml:space="preserve">(ISO 8601 UTC), and</w:t>
      </w:r>
      <w:r>
        <w:t xml:space="preserve"> </w:t>
      </w:r>
      <w:r>
        <w:rPr>
          <w:rStyle w:val="VerbatimChar"/>
        </w:rPr>
        <w:t xml:space="preserve">data</w:t>
      </w:r>
      <w:r>
        <w:t xml:space="preserve"> </w:t>
      </w:r>
      <w:r>
        <w:t xml:space="preserve">(event-specific object), when constructing the outbound payload.</w:t>
      </w:r>
    </w:p>
    <w:p>
      <w:pPr>
        <w:pStyle w:val="BodyText"/>
      </w:pPr>
      <w:r>
        <w:rPr>
          <w:b/>
          <w:bCs/>
        </w:rPr>
        <w:t xml:space="preserve">FR-INTG-082:</w:t>
      </w:r>
      <w:r>
        <w:t xml:space="preserve"> </w:t>
      </w:r>
      <w:r>
        <w:t xml:space="preserve">The system shall compute an HMAC-SHA256 signature of the serialised JSON payload using the tenant's registered secret key and include it in the</w:t>
      </w:r>
      <w:r>
        <w:t xml:space="preserve"> </w:t>
      </w:r>
      <w:r>
        <w:rPr>
          <w:rStyle w:val="VerbatimChar"/>
        </w:rPr>
        <w:t xml:space="preserve">X-KraalCode-Signature</w:t>
      </w:r>
      <w:r>
        <w:t xml:space="preserve"> </w:t>
      </w:r>
      <w:r>
        <w:t xml:space="preserve">request header, when dispatching any outbound webhook.</w:t>
      </w:r>
    </w:p>
    <w:p>
      <w:pPr>
        <w:pStyle w:val="BodyText"/>
      </w:pPr>
      <w:r>
        <w:rPr>
          <w:b/>
          <w:bCs/>
        </w:rPr>
        <w:t xml:space="preserve">FR-INTG-083:</w:t>
      </w:r>
      <w:r>
        <w:t xml:space="preserve"> </w:t>
      </w:r>
      <w:r>
        <w:t xml:space="preserve">The system shall document the HMAC-SHA256 verification procedure in the developer-facing Integration API reference so that receiving systems can independently verify payload authenticity, when the webhook framework is documented.</w:t>
      </w:r>
    </w:p>
    <w:bookmarkEnd w:id="51"/>
    <w:bookmarkStart w:id="52" w:name="X917277ae72fa975eb5d71afd3b77c39fa3f1dfa"/>
    <w:p>
      <w:pPr>
        <w:pStyle w:val="Heading2"/>
      </w:pPr>
      <w:r>
        <w:t xml:space="preserve">6.4 Delivery, Retry, and Dead-Letter Queue</w:t>
      </w:r>
    </w:p>
    <w:p>
      <w:pPr>
        <w:pStyle w:val="FirstParagraph"/>
      </w:pPr>
      <w:r>
        <w:rPr>
          <w:b/>
          <w:bCs/>
        </w:rPr>
        <w:t xml:space="preserve">FR-INTG-084:</w:t>
      </w:r>
      <w:r>
        <w:t xml:space="preserve"> </w:t>
      </w:r>
      <w:r>
        <w:t xml:space="preserve">The system shall dispatch the webhook notification within 10 seconds of the triggering event at P95 under normal operating load, when an event occurs that has one or more active webhook subscriptions.</w:t>
      </w:r>
    </w:p>
    <w:p>
      <w:pPr>
        <w:pStyle w:val="BodyText"/>
      </w:pPr>
      <w:r>
        <w:rPr>
          <w:b/>
          <w:bCs/>
        </w:rPr>
        <w:t xml:space="preserve">FR-INTG-085:</w:t>
      </w:r>
      <w:r>
        <w:t xml:space="preserve"> </w:t>
      </w:r>
      <w:r>
        <w:t xml:space="preserve">The system shall consider a webhook delivery successful when the receiving endpoint responds with HTTP 2xx within 10 seconds of the POST request being sent, when evaluating delivery outcome.</w:t>
      </w:r>
    </w:p>
    <w:p>
      <w:pPr>
        <w:pStyle w:val="BodyText"/>
      </w:pPr>
      <w:r>
        <w:rPr>
          <w:b/>
          <w:bCs/>
        </w:rPr>
        <w:t xml:space="preserve">FR-INTG-086:</w:t>
      </w:r>
      <w:r>
        <w:t xml:space="preserve"> </w:t>
      </w:r>
      <w:r>
        <w:t xml:space="preserve">The system shall retry a failed webhook delivery up to 3 times using exponential backoff intervals of 60 seconds, 300 seconds, and 900 seconds, when the endpoint returns a non-2xx response or does not respond within the 10-second window.</w:t>
      </w:r>
    </w:p>
    <w:p>
      <w:pPr>
        <w:pStyle w:val="BodyText"/>
      </w:pPr>
      <w:r>
        <w:rPr>
          <w:b/>
          <w:bCs/>
        </w:rPr>
        <w:t xml:space="preserve">FR-INTG-087:</w:t>
      </w:r>
      <w:r>
        <w:t xml:space="preserve"> </w:t>
      </w:r>
      <w:r>
        <w:t xml:space="preserve">The system shall move a webhook payload to the Dead-Letter Queue (DLQ) after 3 consecutive failed delivery attempts, when all retry attempts are exhausted.</w:t>
      </w:r>
    </w:p>
    <w:p>
      <w:pPr>
        <w:pStyle w:val="BodyText"/>
      </w:pPr>
      <w:r>
        <w:rPr>
          <w:b/>
          <w:bCs/>
        </w:rPr>
        <w:t xml:space="preserve">FR-INTG-088:</w:t>
      </w:r>
      <w:r>
        <w:t xml:space="preserve"> </w:t>
      </w:r>
      <w:r>
        <w:t xml:space="preserve">The system shall retain DLQ entries for a minimum of 7 days and make them visible to the tenant administrator in the Webhook Delivery Log, when a payload enters the DLQ.</w:t>
      </w:r>
    </w:p>
    <w:p>
      <w:pPr>
        <w:pStyle w:val="BodyText"/>
      </w:pPr>
      <w:r>
        <w:rPr>
          <w:b/>
          <w:bCs/>
        </w:rPr>
        <w:t xml:space="preserve">FR-INTG-089:</w:t>
      </w:r>
      <w:r>
        <w:t xml:space="preserve"> </w:t>
      </w:r>
      <w:r>
        <w:t xml:space="preserve">The system shall allow an authorised tenant administrator to manually re-trigger delivery of any entry in the DLQ, when the administrator selects the re-deliver action on a DLQ record.</w:t>
      </w:r>
    </w:p>
    <w:bookmarkEnd w:id="52"/>
    <w:bookmarkStart w:id="53" w:name="Xe4ef8dc557b77afd8c3a2337dfab2d8c046fda9"/>
    <w:p>
      <w:pPr>
        <w:pStyle w:val="Heading2"/>
      </w:pPr>
      <w:r>
        <w:t xml:space="preserve">6.5 Observability</w:t>
      </w:r>
    </w:p>
    <w:p>
      <w:pPr>
        <w:pStyle w:val="FirstParagraph"/>
      </w:pPr>
      <w:r>
        <w:rPr>
          <w:b/>
          <w:bCs/>
        </w:rPr>
        <w:t xml:space="preserve">FR-INTG-090:</w:t>
      </w:r>
      <w:r>
        <w:t xml:space="preserve"> </w:t>
      </w:r>
      <w:r>
        <w:t xml:space="preserve">The system shall record a delivery log entry for every webhook dispatch attempt, including the event type, target URL, HTTP response code, response time in milliseconds, attempt number, and outcome (</w:t>
      </w:r>
      <w:r>
        <w:rPr>
          <w:rStyle w:val="VerbatimChar"/>
        </w:rPr>
        <w:t xml:space="preserve">SUCCESS</w:t>
      </w:r>
      <w:r>
        <w:t xml:space="preserve"> </w:t>
      </w:r>
      <w:r>
        <w:t xml:space="preserve">or</w:t>
      </w:r>
      <w:r>
        <w:t xml:space="preserve"> </w:t>
      </w:r>
      <w:r>
        <w:rPr>
          <w:rStyle w:val="VerbatimChar"/>
        </w:rPr>
        <w:t xml:space="preserve">FAILED</w:t>
      </w:r>
      <w:r>
        <w:t xml:space="preserve">), when a delivery is attempted.</w:t>
      </w:r>
    </w:p>
    <w:p>
      <w:pPr>
        <w:pStyle w:val="BodyText"/>
      </w:pPr>
      <w:r>
        <w:rPr>
          <w:b/>
          <w:bCs/>
        </w:rPr>
        <w:t xml:space="preserve">FR-INTG-091:</w:t>
      </w:r>
      <w:r>
        <w:t xml:space="preserve"> </w:t>
      </w:r>
      <w:r>
        <w:t xml:space="preserve">The system shall retain webhook delivery log entries for a minimum of 30 days and present them to the authorised tenant administrator through the Integrations settings panel, when the administrator views the Webhook Delivery Log.</w:t>
      </w:r>
    </w:p>
    <w:bookmarkEnd w:id="53"/>
    <w:bookmarkEnd w:id="54"/>
    <w:bookmarkStart w:id="60" w:name="Xae6d123937e7d4cad43b3f25fab3a176da5ed53"/>
    <w:p>
      <w:pPr>
        <w:pStyle w:val="Heading1"/>
      </w:pPr>
      <w:r>
        <w:t xml:space="preserve">7. Non-Functional Requirements for the Integration Layer</w:t>
      </w:r>
    </w:p>
    <w:bookmarkStart w:id="55" w:name="Xadd02b0199bc658fc44c5486e56de564e709a0e"/>
    <w:p>
      <w:pPr>
        <w:pStyle w:val="Heading2"/>
      </w:pPr>
      <w:r>
        <w:t xml:space="preserve">7.1 Performance</w:t>
      </w:r>
    </w:p>
    <w:p>
      <w:pPr>
        <w:pStyle w:val="FirstParagraph"/>
      </w:pPr>
      <w:r>
        <w:rPr>
          <w:b/>
          <w:bCs/>
        </w:rPr>
        <w:t xml:space="preserve">NFR-INTG-001:</w:t>
      </w:r>
      <w:r>
        <w:t xml:space="preserve"> </w:t>
      </w:r>
      <w:r>
        <w:t xml:space="preserve">The Integration Layer shall complete EFRIS invoice submission and return the fiscal document number to the calling module within 5 seconds at P95 under normal operating load, measured from the moment the EFRIS adapter dispatches the HTTP POST to the URA endpoint until the fiscal response is stored in the database.</w:t>
      </w:r>
    </w:p>
    <w:p>
      <w:pPr>
        <w:pStyle w:val="BodyText"/>
      </w:pPr>
      <w:r>
        <w:rPr>
          <w:b/>
          <w:bCs/>
        </w:rPr>
        <w:t xml:space="preserve">NFR-INTG-002:</w:t>
      </w:r>
      <w:r>
        <w:t xml:space="preserve"> </w:t>
      </w:r>
      <w:r>
        <w:t xml:space="preserve">The Integration Layer shall process and post an inbound mobile money provider callback to the payment ledger within 3 seconds at P95, measured from HTTP receipt of the callback at the Kraal Code callback endpoint until the corresponding invoice or billing record is updated to</w:t>
      </w:r>
      <w:r>
        <w:t xml:space="preserve"> </w:t>
      </w:r>
      <w:r>
        <w:rPr>
          <w:rStyle w:val="VerbatimChar"/>
        </w:rPr>
        <w:t xml:space="preserve">PAID</w:t>
      </w:r>
      <w:r>
        <w:t xml:space="preserve"> </w:t>
      </w:r>
      <w:r>
        <w:t xml:space="preserve">or</w:t>
      </w:r>
      <w:r>
        <w:t xml:space="preserve"> </w:t>
      </w:r>
      <w:r>
        <w:rPr>
          <w:rStyle w:val="VerbatimChar"/>
        </w:rPr>
        <w:t xml:space="preserve">FAILED</w:t>
      </w:r>
      <w:r>
        <w:t xml:space="preserve">.</w:t>
      </w:r>
    </w:p>
    <w:p>
      <w:pPr>
        <w:pStyle w:val="BodyText"/>
      </w:pPr>
      <w:r>
        <w:rPr>
          <w:b/>
          <w:bCs/>
        </w:rPr>
        <w:t xml:space="preserve">NFR-INTG-003:</w:t>
      </w:r>
      <w:r>
        <w:t xml:space="preserve"> </w:t>
      </w:r>
      <w:r>
        <w:t xml:space="preserve">The webhook framework shall dispatch outbound webhook notifications within 10 seconds of the triggering event at P95 under normal operating load, with no data loss for events that have active subscriptions.</w:t>
      </w:r>
    </w:p>
    <w:bookmarkEnd w:id="55"/>
    <w:bookmarkStart w:id="56" w:name="X7801a566f482b4efb56afbc89acb5405060d0d1"/>
    <w:p>
      <w:pPr>
        <w:pStyle w:val="Heading2"/>
      </w:pPr>
      <w:r>
        <w:t xml:space="preserve">7.2 Availability and Resilience</w:t>
      </w:r>
    </w:p>
    <w:p>
      <w:pPr>
        <w:pStyle w:val="FirstParagraph"/>
      </w:pPr>
      <w:r>
        <w:rPr>
          <w:b/>
          <w:bCs/>
        </w:rPr>
        <w:t xml:space="preserve">NFR-INTG-004:</w:t>
      </w:r>
      <w:r>
        <w:t xml:space="preserve"> </w:t>
      </w:r>
      <w:r>
        <w:t xml:space="preserve">Outbound integration payloads (EFRIS, eTIMS, NSSF, mobile money disbursements) shall be durably queued for retry without blocking the tenant-facing workflow when the target external service is unavailable, ensuring zero payload loss for queued items.</w:t>
      </w:r>
    </w:p>
    <w:p>
      <w:pPr>
        <w:pStyle w:val="BodyText"/>
      </w:pPr>
      <w:r>
        <w:rPr>
          <w:b/>
          <w:bCs/>
        </w:rPr>
        <w:t xml:space="preserve">NFR-INTG-005:</w:t>
      </w:r>
      <w:r>
        <w:t xml:space="preserve"> </w:t>
      </w:r>
      <w:r>
        <w:t xml:space="preserve">The offline queue shall support durable storage of EFRIS and eTIMS payloads for a minimum of 72 hours during external service unavailability, without data loss.</w:t>
      </w:r>
    </w:p>
    <w:p>
      <w:pPr>
        <w:pStyle w:val="BodyText"/>
      </w:pPr>
      <w:r>
        <w:rPr>
          <w:b/>
          <w:bCs/>
        </w:rPr>
        <w:t xml:space="preserve">NFR-INTG-006:</w:t>
      </w:r>
      <w:r>
        <w:t xml:space="preserve"> </w:t>
      </w:r>
      <w:r>
        <w:t xml:space="preserve">The webhook Dead-Letter Queue (DLQ) shall support durable storage of failed webhook payloads for a minimum of 7 days without data loss.</w:t>
      </w:r>
    </w:p>
    <w:bookmarkEnd w:id="56"/>
    <w:bookmarkStart w:id="57" w:name="Xe0f9d01ef6856e3b705c2ca63e4fbb3526cb0e5"/>
    <w:p>
      <w:pPr>
        <w:pStyle w:val="Heading2"/>
      </w:pPr>
      <w:r>
        <w:t xml:space="preserve">7.3 Security</w:t>
      </w:r>
    </w:p>
    <w:p>
      <w:pPr>
        <w:pStyle w:val="FirstParagraph"/>
      </w:pPr>
      <w:r>
        <w:rPr>
          <w:b/>
          <w:bCs/>
        </w:rPr>
        <w:t xml:space="preserve">NFR-INTG-007:</w:t>
      </w:r>
      <w:r>
        <w:t xml:space="preserve"> </w:t>
      </w:r>
      <w:r>
        <w:t xml:space="preserve">All third-party API credentials (EFRIS, KRA eTIMS, NSSF, all mobile money providers) shall be encrypted at rest using AES-256 and shall never be returned in API responses, surfaced in application logs, or exposed in error messages at any point in the request or response lifecycle.</w:t>
      </w:r>
    </w:p>
    <w:p>
      <w:pPr>
        <w:pStyle w:val="BodyText"/>
      </w:pPr>
      <w:r>
        <w:rPr>
          <w:b/>
          <w:bCs/>
        </w:rPr>
        <w:t xml:space="preserve">NFR-INTG-008:</w:t>
      </w:r>
      <w:r>
        <w:t xml:space="preserve"> </w:t>
      </w:r>
      <w:r>
        <w:t xml:space="preserve">All outbound Integration Layer communications shall use TLS 1.2 or higher; connections using TLS 1.0, TLS 1.1, or SSLv3 shall be refused.</w:t>
      </w:r>
    </w:p>
    <w:p>
      <w:pPr>
        <w:pStyle w:val="BodyText"/>
      </w:pPr>
      <w:r>
        <w:rPr>
          <w:b/>
          <w:bCs/>
        </w:rPr>
        <w:t xml:space="preserve">NFR-INTG-009:</w:t>
      </w:r>
      <w:r>
        <w:t xml:space="preserve"> </w:t>
      </w:r>
      <w:r>
        <w:t xml:space="preserve">Webhook outbound payloads shall be signed with HMAC-SHA256 using the tenant's registered secret, and the</w:t>
      </w:r>
      <w:r>
        <w:t xml:space="preserve"> </w:t>
      </w:r>
      <w:r>
        <w:rPr>
          <w:rStyle w:val="VerbatimChar"/>
        </w:rPr>
        <w:t xml:space="preserve">X-KraalCode-Signature</w:t>
      </w:r>
      <w:r>
        <w:t xml:space="preserve"> </w:t>
      </w:r>
      <w:r>
        <w:t xml:space="preserve">header shall be present on every outbound webhook request without exception.</w:t>
      </w:r>
    </w:p>
    <w:bookmarkEnd w:id="57"/>
    <w:bookmarkStart w:id="58" w:name="Xbf3d6a9f96d0a8ee226cc9f1d8f10af27b65689"/>
    <w:p>
      <w:pPr>
        <w:pStyle w:val="Heading2"/>
      </w:pPr>
      <w:r>
        <w:t xml:space="preserve">7.4 Scalability</w:t>
      </w:r>
    </w:p>
    <w:p>
      <w:pPr>
        <w:pStyle w:val="FirstParagraph"/>
      </w:pPr>
      <w:r>
        <w:rPr>
          <w:b/>
          <w:bCs/>
        </w:rPr>
        <w:t xml:space="preserve">NFR-INTG-010:</w:t>
      </w:r>
      <w:r>
        <w:t xml:space="preserve"> </w:t>
      </w:r>
      <w:r>
        <w:t xml:space="preserve">The Integration Layer shall process concurrent EFRIS and eTIMS submissions for multiple tenants without degradation in submission latency beyond the P95 threshold stated in</w:t>
      </w:r>
      <w:r>
        <w:t xml:space="preserve"> </w:t>
      </w:r>
      <w:r>
        <w:rPr>
          <w:b/>
          <w:bCs/>
        </w:rPr>
        <w:t xml:space="preserve">NFR-INTG-001</w:t>
      </w:r>
      <w:r>
        <w:t xml:space="preserve">, when the system is operating at the documented maximum tenant concurrency load.</w:t>
      </w:r>
    </w:p>
    <w:p>
      <w:pPr>
        <w:pStyle w:val="BodyText"/>
      </w:pPr>
      <w:r>
        <w:rPr>
          <w:b/>
          <w:bCs/>
        </w:rPr>
        <w:t xml:space="preserve">NFR-INTG-011:</w:t>
      </w:r>
      <w:r>
        <w:t xml:space="preserve"> </w:t>
      </w:r>
      <w:r>
        <w:t xml:space="preserve">The webhook delivery engine shall support up to 10,000 webhook dispatches per minute across all tenants without queuing delays exceeding the P95 threshold stated in</w:t>
      </w:r>
      <w:r>
        <w:t xml:space="preserve"> </w:t>
      </w:r>
      <w:r>
        <w:rPr>
          <w:b/>
          <w:bCs/>
        </w:rPr>
        <w:t xml:space="preserve">NFR-INTG-003</w:t>
      </w:r>
      <w:r>
        <w:t xml:space="preserve">, when measured under sustained peak load.</w:t>
      </w:r>
    </w:p>
    <w:bookmarkEnd w:id="58"/>
    <w:bookmarkStart w:id="59" w:name="Xf9389b5435504fe23b306547d4bb1783b2d4638"/>
    <w:p>
      <w:pPr>
        <w:pStyle w:val="Heading2"/>
      </w:pPr>
      <w:r>
        <w:t xml:space="preserve">7.5 Auditability</w:t>
      </w:r>
    </w:p>
    <w:p>
      <w:pPr>
        <w:pStyle w:val="FirstParagraph"/>
      </w:pPr>
      <w:r>
        <w:rPr>
          <w:b/>
          <w:bCs/>
        </w:rPr>
        <w:t xml:space="preserve">NFR-INTG-012:</w:t>
      </w:r>
      <w:r>
        <w:t xml:space="preserve"> </w:t>
      </w:r>
      <w:r>
        <w:t xml:space="preserve">Every Integration Layer transaction (submission, callback, retry, queue event, DLQ entry, reversal) shall be logged with a unique correlation ID, tenant ID, timestamp (UTC), integration type, and outcome, in the platform audit log, to support post-incident investigation and regulatory audit within a maximum of 5 minutes of the event occurring.</w:t>
      </w:r>
    </w:p>
    <w:p>
      <w:pPr>
        <w:pStyle w:val="BodyText"/>
      </w:pPr>
      <w:r>
        <w:rPr>
          <w:b/>
          <w:bCs/>
        </w:rPr>
        <w:t xml:space="preserve">NFR-INTG-013:</w:t>
      </w:r>
      <w:r>
        <w:t xml:space="preserve"> </w:t>
      </w:r>
      <w:r>
        <w:t xml:space="preserve">NSSF contribution files and submission outcomes shall be retained for a minimum of 7 years in immutable storage, satisfying statutory record-keeping obligations under applicable Ugandan and Kenyan labour law.</w:t>
      </w:r>
    </w:p>
    <w:bookmarkEnd w:id="59"/>
    <w:bookmarkEnd w:id="60"/>
    <w:bookmarkStart w:id="65" w:name="Xd757519892badfc66bea054a7bcfb3d11268e6c"/>
    <w:p>
      <w:pPr>
        <w:pStyle w:val="Heading1"/>
      </w:pPr>
      <w:r>
        <w:t xml:space="preserve">8. Requirements Traceability Matrix</w:t>
      </w:r>
    </w:p>
    <w:bookmarkStart w:id="61" w:name="Xa6019956070fb44e6a64870954bb5d3de0a5599"/>
    <w:p>
      <w:pPr>
        <w:pStyle w:val="Heading2"/>
      </w:pPr>
      <w:r>
        <w:t xml:space="preserve">8.1 Business Goals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BG-001</w:t>
            </w:r>
          </w:p>
        </w:tc>
        <w:tc>
          <w:tcPr/>
          <w:p>
            <w:pPr>
              <w:pStyle w:val="Compact"/>
            </w:pPr>
            <w:r>
              <w:t xml:space="preserve">Regulatory compliance — Uganda (URA EFRIS e-invoicing; NSSF Uganda contribution submission)</w:t>
            </w:r>
          </w:p>
        </w:tc>
      </w:tr>
      <w:tr>
        <w:tc>
          <w:tcPr/>
          <w:p>
            <w:pPr>
              <w:pStyle w:val="Compact"/>
            </w:pPr>
            <w:r>
              <w:t xml:space="preserve">BG-002</w:t>
            </w:r>
          </w:p>
        </w:tc>
        <w:tc>
          <w:tcPr/>
          <w:p>
            <w:pPr>
              <w:pStyle w:val="Compact"/>
            </w:pPr>
            <w:r>
              <w:t xml:space="preserve">Regulatory compliance — Kenya (KRA eTIMS e-invoicing; NSSF Kenya contribution submission)</w:t>
            </w:r>
          </w:p>
        </w:tc>
      </w:tr>
      <w:tr>
        <w:tc>
          <w:tcPr/>
          <w:p>
            <w:pPr>
              <w:pStyle w:val="Compact"/>
            </w:pPr>
            <w:r>
              <w:t xml:space="preserve">BG-003</w:t>
            </w:r>
          </w:p>
        </w:tc>
        <w:tc>
          <w:tcPr/>
          <w:p>
            <w:pPr>
              <w:pStyle w:val="Compact"/>
            </w:pPr>
            <w:r>
              <w:t xml:space="preserve">Revenue collection and payment operations (SaaS billing; customer invoice settlement; supplier disbursement via mobile money)</w:t>
            </w:r>
          </w:p>
        </w:tc>
      </w:tr>
      <w:tr>
        <w:tc>
          <w:tcPr/>
          <w:p>
            <w:pPr>
              <w:pStyle w:val="Compact"/>
            </w:pPr>
            <w:r>
              <w:t xml:space="preserve">BG-004</w:t>
            </w:r>
          </w:p>
        </w:tc>
        <w:tc>
          <w:tcPr/>
          <w:p>
            <w:pPr>
              <w:pStyle w:val="Compact"/>
            </w:pPr>
            <w:r>
              <w:t xml:space="preserve">Partner ecosystem extensibility (real-time event notifications for third-party integrations via webhook framework)</w:t>
            </w:r>
          </w:p>
        </w:tc>
      </w:tr>
    </w:tbl>
    <w:bookmarkEnd w:id="61"/>
    <w:bookmarkStart w:id="62" w:name="X931abadf47514145552c7e1dd550a0d12c835e5"/>
    <w:p>
      <w:pPr>
        <w:pStyle w:val="Heading2"/>
      </w:pPr>
      <w:r>
        <w:t xml:space="preserve">8.2 Functional Requirements Traceability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 Identifier</w:t>
            </w:r>
          </w:p>
        </w:tc>
        <w:tc>
          <w:tcPr/>
          <w:p>
            <w:pPr>
              <w:pStyle w:val="Compact"/>
            </w:pPr>
            <w:r>
              <w:t xml:space="preserve">Requirement Summary</w:t>
            </w:r>
          </w:p>
        </w:tc>
        <w:tc>
          <w:tcPr/>
          <w:p>
            <w:pPr>
              <w:pStyle w:val="Compact"/>
            </w:pPr>
            <w:r>
              <w:t xml:space="preserve">Business Goal</w:t>
            </w:r>
          </w:p>
        </w:tc>
        <w:tc>
          <w:tcPr/>
          <w:p>
            <w:pPr>
              <w:pStyle w:val="Compact"/>
            </w:pPr>
            <w:r>
              <w:t xml:space="preserve">Integration Domain</w:t>
            </w:r>
          </w:p>
        </w:tc>
      </w:tr>
      <w:tr>
        <w:tc>
          <w:tcPr/>
          <w:p>
            <w:pPr>
              <w:pStyle w:val="Compact"/>
            </w:pPr>
            <w:r>
              <w:rPr>
                <w:b/>
                <w:bCs/>
              </w:rPr>
              <w:t xml:space="preserve">FR-INTG-001</w:t>
            </w:r>
          </w:p>
        </w:tc>
        <w:tc>
          <w:tcPr/>
          <w:p>
            <w:pPr>
              <w:pStyle w:val="Compact"/>
            </w:pPr>
            <w:r>
              <w:t xml:space="preserve">Submit sales invoice to EFRIS before customer delivery</w:t>
            </w:r>
          </w:p>
        </w:tc>
        <w:tc>
          <w:tcPr/>
          <w:p>
            <w:pPr>
              <w:pStyle w:val="Compact"/>
            </w:pPr>
            <w:r>
              <w:t xml:space="preserve">BG-001</w:t>
            </w:r>
          </w:p>
        </w:tc>
        <w:tc>
          <w:tcPr/>
          <w:p>
            <w:pPr>
              <w:pStyle w:val="Compact"/>
            </w:pPr>
            <w:r>
              <w:t xml:space="preserve">EFRIS</w:t>
            </w:r>
          </w:p>
        </w:tc>
      </w:tr>
      <w:tr>
        <w:tc>
          <w:tcPr/>
          <w:p>
            <w:pPr>
              <w:pStyle w:val="Compact"/>
            </w:pPr>
            <w:r>
              <w:rPr>
                <w:b/>
                <w:bCs/>
              </w:rPr>
              <w:t xml:space="preserve">FR-INTG-002</w:t>
            </w:r>
          </w:p>
        </w:tc>
        <w:tc>
          <w:tcPr/>
          <w:p>
            <w:pPr>
              <w:pStyle w:val="Compact"/>
            </w:pPr>
            <w:r>
              <w:t xml:space="preserve">Submit credit note to EFRIS before customer delivery</w:t>
            </w:r>
          </w:p>
        </w:tc>
        <w:tc>
          <w:tcPr/>
          <w:p>
            <w:pPr>
              <w:pStyle w:val="Compact"/>
            </w:pPr>
            <w:r>
              <w:t xml:space="preserve">BG-001</w:t>
            </w:r>
          </w:p>
        </w:tc>
        <w:tc>
          <w:tcPr/>
          <w:p>
            <w:pPr>
              <w:pStyle w:val="Compact"/>
            </w:pPr>
            <w:r>
              <w:t xml:space="preserve">EFRIS</w:t>
            </w:r>
          </w:p>
        </w:tc>
      </w:tr>
      <w:tr>
        <w:tc>
          <w:tcPr/>
          <w:p>
            <w:pPr>
              <w:pStyle w:val="Compact"/>
            </w:pPr>
            <w:r>
              <w:rPr>
                <w:b/>
                <w:bCs/>
              </w:rPr>
              <w:t xml:space="preserve">FR-INTG-003</w:t>
            </w:r>
          </w:p>
        </w:tc>
        <w:tc>
          <w:tcPr/>
          <w:p>
            <w:pPr>
              <w:pStyle w:val="Compact"/>
            </w:pPr>
            <w:r>
              <w:t xml:space="preserve">Construct EFRIS payload per URA field mapping</w:t>
            </w:r>
          </w:p>
        </w:tc>
        <w:tc>
          <w:tcPr/>
          <w:p>
            <w:pPr>
              <w:pStyle w:val="Compact"/>
            </w:pPr>
            <w:r>
              <w:t xml:space="preserve">BG-001</w:t>
            </w:r>
          </w:p>
        </w:tc>
        <w:tc>
          <w:tcPr/>
          <w:p>
            <w:pPr>
              <w:pStyle w:val="Compact"/>
            </w:pPr>
            <w:r>
              <w:t xml:space="preserve">EFRIS</w:t>
            </w:r>
          </w:p>
        </w:tc>
      </w:tr>
      <w:tr>
        <w:tc>
          <w:tcPr/>
          <w:p>
            <w:pPr>
              <w:pStyle w:val="Compact"/>
            </w:pPr>
            <w:r>
              <w:rPr>
                <w:b/>
                <w:bCs/>
              </w:rPr>
              <w:t xml:space="preserve">FR-INTG-004</w:t>
            </w:r>
          </w:p>
        </w:tc>
        <w:tc>
          <w:tcPr/>
          <w:p>
            <w:pPr>
              <w:pStyle w:val="Compact"/>
            </w:pPr>
            <w:r>
              <w:t xml:space="preserve">Include TIN, line items, tax amounts in EFRIS payload</w:t>
            </w:r>
          </w:p>
        </w:tc>
        <w:tc>
          <w:tcPr/>
          <w:p>
            <w:pPr>
              <w:pStyle w:val="Compact"/>
            </w:pPr>
            <w:r>
              <w:t xml:space="preserve">BG-001</w:t>
            </w:r>
          </w:p>
        </w:tc>
        <w:tc>
          <w:tcPr/>
          <w:p>
            <w:pPr>
              <w:pStyle w:val="Compact"/>
            </w:pPr>
            <w:r>
              <w:t xml:space="preserve">EFRIS</w:t>
            </w:r>
          </w:p>
        </w:tc>
      </w:tr>
      <w:tr>
        <w:tc>
          <w:tcPr/>
          <w:p>
            <w:pPr>
              <w:pStyle w:val="Compact"/>
            </w:pPr>
            <w:r>
              <w:rPr>
                <w:b/>
                <w:bCs/>
              </w:rPr>
              <w:t xml:space="preserve">FR-INTG-005</w:t>
            </w:r>
          </w:p>
        </w:tc>
        <w:tc>
          <w:tcPr/>
          <w:p>
            <w:pPr>
              <w:pStyle w:val="Compact"/>
            </w:pPr>
            <w:r>
              <w:t xml:space="preserve">Transmit EFRIS payloads over TLS 1.2+</w:t>
            </w:r>
          </w:p>
        </w:tc>
        <w:tc>
          <w:tcPr/>
          <w:p>
            <w:pPr>
              <w:pStyle w:val="Compact"/>
            </w:pPr>
            <w:r>
              <w:t xml:space="preserve">BG-001</w:t>
            </w:r>
          </w:p>
        </w:tc>
        <w:tc>
          <w:tcPr/>
          <w:p>
            <w:pPr>
              <w:pStyle w:val="Compact"/>
            </w:pPr>
            <w:r>
              <w:t xml:space="preserve">EFRIS</w:t>
            </w:r>
          </w:p>
        </w:tc>
      </w:tr>
      <w:tr>
        <w:tc>
          <w:tcPr/>
          <w:p>
            <w:pPr>
              <w:pStyle w:val="Compact"/>
            </w:pPr>
            <w:r>
              <w:rPr>
                <w:b/>
                <w:bCs/>
              </w:rPr>
              <w:t xml:space="preserve">FR-INTG-006</w:t>
            </w:r>
          </w:p>
        </w:tc>
        <w:tc>
          <w:tcPr/>
          <w:p>
            <w:pPr>
              <w:pStyle w:val="Compact"/>
            </w:pPr>
            <w:r>
              <w:t xml:space="preserve">Parse fiscal document number and QR code from EFRIS response</w:t>
            </w:r>
          </w:p>
        </w:tc>
        <w:tc>
          <w:tcPr/>
          <w:p>
            <w:pPr>
              <w:pStyle w:val="Compact"/>
            </w:pPr>
            <w:r>
              <w:t xml:space="preserve">BG-001</w:t>
            </w:r>
          </w:p>
        </w:tc>
        <w:tc>
          <w:tcPr/>
          <w:p>
            <w:pPr>
              <w:pStyle w:val="Compact"/>
            </w:pPr>
            <w:r>
              <w:t xml:space="preserve">EFRIS</w:t>
            </w:r>
          </w:p>
        </w:tc>
      </w:tr>
      <w:tr>
        <w:tc>
          <w:tcPr/>
          <w:p>
            <w:pPr>
              <w:pStyle w:val="Compact"/>
            </w:pPr>
            <w:r>
              <w:rPr>
                <w:b/>
                <w:bCs/>
              </w:rPr>
              <w:t xml:space="preserve">FR-INTG-007</w:t>
            </w:r>
          </w:p>
        </w:tc>
        <w:tc>
          <w:tcPr/>
          <w:p>
            <w:pPr>
              <w:pStyle w:val="Compact"/>
            </w:pPr>
            <w:r>
              <w:t xml:space="preserve">Store fiscal document number and QR code on invoice record</w:t>
            </w:r>
          </w:p>
        </w:tc>
        <w:tc>
          <w:tcPr/>
          <w:p>
            <w:pPr>
              <w:pStyle w:val="Compact"/>
            </w:pPr>
            <w:r>
              <w:t xml:space="preserve">BG-001</w:t>
            </w:r>
          </w:p>
        </w:tc>
        <w:tc>
          <w:tcPr/>
          <w:p>
            <w:pPr>
              <w:pStyle w:val="Compact"/>
            </w:pPr>
            <w:r>
              <w:t xml:space="preserve">EFRIS</w:t>
            </w:r>
          </w:p>
        </w:tc>
      </w:tr>
      <w:tr>
        <w:tc>
          <w:tcPr/>
          <w:p>
            <w:pPr>
              <w:pStyle w:val="Compact"/>
            </w:pPr>
            <w:r>
              <w:rPr>
                <w:b/>
                <w:bCs/>
              </w:rPr>
              <w:t xml:space="preserve">FR-INTG-008</w:t>
            </w:r>
          </w:p>
        </w:tc>
        <w:tc>
          <w:tcPr/>
          <w:p>
            <w:pPr>
              <w:pStyle w:val="Compact"/>
            </w:pPr>
            <w:r>
              <w:t xml:space="preserve">Embed fiscal document number and QR code in printed invoice</w:t>
            </w:r>
          </w:p>
        </w:tc>
        <w:tc>
          <w:tcPr/>
          <w:p>
            <w:pPr>
              <w:pStyle w:val="Compact"/>
            </w:pPr>
            <w:r>
              <w:t xml:space="preserve">BG-001</w:t>
            </w:r>
          </w:p>
        </w:tc>
        <w:tc>
          <w:tcPr/>
          <w:p>
            <w:pPr>
              <w:pStyle w:val="Compact"/>
            </w:pPr>
            <w:r>
              <w:t xml:space="preserve">EFRIS</w:t>
            </w:r>
          </w:p>
        </w:tc>
      </w:tr>
      <w:tr>
        <w:tc>
          <w:tcPr/>
          <w:p>
            <w:pPr>
              <w:pStyle w:val="Compact"/>
            </w:pPr>
            <w:r>
              <w:rPr>
                <w:b/>
                <w:bCs/>
              </w:rPr>
              <w:t xml:space="preserve">FR-INTG-009</w:t>
            </w:r>
          </w:p>
        </w:tc>
        <w:tc>
          <w:tcPr/>
          <w:p>
            <w:pPr>
              <w:pStyle w:val="Compact"/>
            </w:pPr>
            <w:r>
              <w:t xml:space="preserve">Mark invoice</w:t>
            </w:r>
            <w:r>
              <w:t xml:space="preserve"> </w:t>
            </w:r>
            <w:r>
              <w:rPr>
                <w:rStyle w:val="VerbatimChar"/>
              </w:rPr>
              <w:t xml:space="preserve">EFRIS_SUBMITTED</w:t>
            </w:r>
            <w:r>
              <w:t xml:space="preserve"> </w:t>
            </w:r>
            <w:r>
              <w:t xml:space="preserve">on successful response</w:t>
            </w:r>
          </w:p>
        </w:tc>
        <w:tc>
          <w:tcPr/>
          <w:p>
            <w:pPr>
              <w:pStyle w:val="Compact"/>
            </w:pPr>
            <w:r>
              <w:t xml:space="preserve">BG-001</w:t>
            </w:r>
          </w:p>
        </w:tc>
        <w:tc>
          <w:tcPr/>
          <w:p>
            <w:pPr>
              <w:pStyle w:val="Compact"/>
            </w:pPr>
            <w:r>
              <w:t xml:space="preserve">EFRIS</w:t>
            </w:r>
          </w:p>
        </w:tc>
      </w:tr>
      <w:tr>
        <w:tc>
          <w:tcPr/>
          <w:p>
            <w:pPr>
              <w:pStyle w:val="Compact"/>
            </w:pPr>
            <w:r>
              <w:rPr>
                <w:b/>
                <w:bCs/>
              </w:rPr>
              <w:t xml:space="preserve">FR-INTG-010</w:t>
            </w:r>
          </w:p>
        </w:tc>
        <w:tc>
          <w:tcPr/>
          <w:p>
            <w:pPr>
              <w:pStyle w:val="Compact"/>
            </w:pPr>
            <w:r>
              <w:t xml:space="preserve">Retry failed EFRIS submission with exponential backoff (3 attempts)</w:t>
            </w:r>
          </w:p>
        </w:tc>
        <w:tc>
          <w:tcPr/>
          <w:p>
            <w:pPr>
              <w:pStyle w:val="Compact"/>
            </w:pPr>
            <w:r>
              <w:t xml:space="preserve">BG-001</w:t>
            </w:r>
          </w:p>
        </w:tc>
        <w:tc>
          <w:tcPr/>
          <w:p>
            <w:pPr>
              <w:pStyle w:val="Compact"/>
            </w:pPr>
            <w:r>
              <w:t xml:space="preserve">EFRIS</w:t>
            </w:r>
          </w:p>
        </w:tc>
      </w:tr>
      <w:tr>
        <w:tc>
          <w:tcPr/>
          <w:p>
            <w:pPr>
              <w:pStyle w:val="Compact"/>
            </w:pPr>
            <w:r>
              <w:rPr>
                <w:b/>
                <w:bCs/>
              </w:rPr>
              <w:t xml:space="preserve">FR-INTG-011</w:t>
            </w:r>
          </w:p>
        </w:tc>
        <w:tc>
          <w:tcPr/>
          <w:p>
            <w:pPr>
              <w:pStyle w:val="Compact"/>
            </w:pPr>
            <w:r>
              <w:t xml:space="preserve">Queue payload and mark invoice</w:t>
            </w:r>
            <w:r>
              <w:t xml:space="preserve"> </w:t>
            </w:r>
            <w:r>
              <w:rPr>
                <w:rStyle w:val="VerbatimChar"/>
              </w:rPr>
              <w:t xml:space="preserve">EFRIS_QUEUED</w:t>
            </w:r>
            <w:r>
              <w:t xml:space="preserve"> </w:t>
            </w:r>
            <w:r>
              <w:t xml:space="preserve">after 3 failures</w:t>
            </w:r>
          </w:p>
        </w:tc>
        <w:tc>
          <w:tcPr/>
          <w:p>
            <w:pPr>
              <w:pStyle w:val="Compact"/>
            </w:pPr>
            <w:r>
              <w:t xml:space="preserve">BG-001</w:t>
            </w:r>
          </w:p>
        </w:tc>
        <w:tc>
          <w:tcPr/>
          <w:p>
            <w:pPr>
              <w:pStyle w:val="Compact"/>
            </w:pPr>
            <w:r>
              <w:t xml:space="preserve">EFRIS</w:t>
            </w:r>
          </w:p>
        </w:tc>
      </w:tr>
      <w:tr>
        <w:tc>
          <w:tcPr/>
          <w:p>
            <w:pPr>
              <w:pStyle w:val="Compact"/>
            </w:pPr>
            <w:r>
              <w:rPr>
                <w:b/>
                <w:bCs/>
              </w:rPr>
              <w:t xml:space="preserve">FR-INTG-012</w:t>
            </w:r>
          </w:p>
        </w:tc>
        <w:tc>
          <w:tcPr/>
          <w:p>
            <w:pPr>
              <w:pStyle w:val="Compact"/>
            </w:pPr>
            <w:r>
              <w:t xml:space="preserve">Do not block invoicing workflow when submission is queued</w:t>
            </w:r>
          </w:p>
        </w:tc>
        <w:tc>
          <w:tcPr/>
          <w:p>
            <w:pPr>
              <w:pStyle w:val="Compact"/>
            </w:pPr>
            <w:r>
              <w:t xml:space="preserve">BG-001</w:t>
            </w:r>
          </w:p>
        </w:tc>
        <w:tc>
          <w:tcPr/>
          <w:p>
            <w:pPr>
              <w:pStyle w:val="Compact"/>
            </w:pPr>
            <w:r>
              <w:t xml:space="preserve">EFRIS</w:t>
            </w:r>
          </w:p>
        </w:tc>
      </w:tr>
      <w:tr>
        <w:tc>
          <w:tcPr/>
          <w:p>
            <w:pPr>
              <w:pStyle w:val="Compact"/>
            </w:pPr>
            <w:r>
              <w:rPr>
                <w:b/>
                <w:bCs/>
              </w:rPr>
              <w:t xml:space="preserve">FR-INTG-013</w:t>
            </w:r>
          </w:p>
        </w:tc>
        <w:tc>
          <w:tcPr/>
          <w:p>
            <w:pPr>
              <w:pStyle w:val="Compact"/>
            </w:pPr>
            <w:r>
              <w:t xml:space="preserve">Retain queued EFRIS payloads for 72 hours</w:t>
            </w:r>
          </w:p>
        </w:tc>
        <w:tc>
          <w:tcPr/>
          <w:p>
            <w:pPr>
              <w:pStyle w:val="Compact"/>
            </w:pPr>
            <w:r>
              <w:t xml:space="preserve">BG-001</w:t>
            </w:r>
          </w:p>
        </w:tc>
        <w:tc>
          <w:tcPr/>
          <w:p>
            <w:pPr>
              <w:pStyle w:val="Compact"/>
            </w:pPr>
            <w:r>
              <w:t xml:space="preserve">EFRIS</w:t>
            </w:r>
          </w:p>
        </w:tc>
      </w:tr>
      <w:tr>
        <w:tc>
          <w:tcPr/>
          <w:p>
            <w:pPr>
              <w:pStyle w:val="Compact"/>
            </w:pPr>
            <w:r>
              <w:rPr>
                <w:b/>
                <w:bCs/>
              </w:rPr>
              <w:t xml:space="preserve">FR-INTG-014</w:t>
            </w:r>
          </w:p>
        </w:tc>
        <w:tc>
          <w:tcPr/>
          <w:p>
            <w:pPr>
              <w:pStyle w:val="Compact"/>
            </w:pPr>
            <w:r>
              <w:t xml:space="preserve">Display EFRIS status indicator on invoice record</w:t>
            </w:r>
          </w:p>
        </w:tc>
        <w:tc>
          <w:tcPr/>
          <w:p>
            <w:pPr>
              <w:pStyle w:val="Compact"/>
            </w:pPr>
            <w:r>
              <w:t xml:space="preserve">BG-001</w:t>
            </w:r>
          </w:p>
        </w:tc>
        <w:tc>
          <w:tcPr/>
          <w:p>
            <w:pPr>
              <w:pStyle w:val="Compact"/>
            </w:pPr>
            <w:r>
              <w:t xml:space="preserve">EFRIS</w:t>
            </w:r>
          </w:p>
        </w:tc>
      </w:tr>
      <w:tr>
        <w:tc>
          <w:tcPr/>
          <w:p>
            <w:pPr>
              <w:pStyle w:val="Compact"/>
            </w:pPr>
            <w:r>
              <w:rPr>
                <w:b/>
                <w:bCs/>
              </w:rPr>
              <w:t xml:space="preserve">FR-INTG-015</w:t>
            </w:r>
          </w:p>
        </w:tc>
        <w:tc>
          <w:tcPr/>
          <w:p>
            <w:pPr>
              <w:pStyle w:val="Compact"/>
            </w:pPr>
            <w:r>
              <w:t xml:space="preserve">Auto-process offline queue on EFRIS endpoint reconnection</w:t>
            </w:r>
          </w:p>
        </w:tc>
        <w:tc>
          <w:tcPr/>
          <w:p>
            <w:pPr>
              <w:pStyle w:val="Compact"/>
            </w:pPr>
            <w:r>
              <w:t xml:space="preserve">BG-001</w:t>
            </w:r>
          </w:p>
        </w:tc>
        <w:tc>
          <w:tcPr/>
          <w:p>
            <w:pPr>
              <w:pStyle w:val="Compact"/>
            </w:pPr>
            <w:r>
              <w:t xml:space="preserve">EFRIS</w:t>
            </w:r>
          </w:p>
        </w:tc>
      </w:tr>
      <w:tr>
        <w:tc>
          <w:tcPr/>
          <w:p>
            <w:pPr>
              <w:pStyle w:val="Compact"/>
            </w:pPr>
            <w:r>
              <w:rPr>
                <w:b/>
                <w:bCs/>
              </w:rPr>
              <w:t xml:space="preserve">FR-INTG-016</w:t>
            </w:r>
          </w:p>
        </w:tc>
        <w:tc>
          <w:tcPr/>
          <w:p>
            <w:pPr>
              <w:pStyle w:val="Compact"/>
            </w:pPr>
            <w:r>
              <w:t xml:space="preserve">Update invoice to</w:t>
            </w:r>
            <w:r>
              <w:t xml:space="preserve"> </w:t>
            </w:r>
            <w:r>
              <w:rPr>
                <w:rStyle w:val="VerbatimChar"/>
              </w:rPr>
              <w:t xml:space="preserve">EFRIS_SUBMITTED</w:t>
            </w:r>
            <w:r>
              <w:t xml:space="preserve"> </w:t>
            </w:r>
            <w:r>
              <w:t xml:space="preserve">after queued submission succeeds</w:t>
            </w:r>
          </w:p>
        </w:tc>
        <w:tc>
          <w:tcPr/>
          <w:p>
            <w:pPr>
              <w:pStyle w:val="Compact"/>
            </w:pPr>
            <w:r>
              <w:t xml:space="preserve">BG-001</w:t>
            </w:r>
          </w:p>
        </w:tc>
        <w:tc>
          <w:tcPr/>
          <w:p>
            <w:pPr>
              <w:pStyle w:val="Compact"/>
            </w:pPr>
            <w:r>
              <w:t xml:space="preserve">EFRIS</w:t>
            </w:r>
          </w:p>
        </w:tc>
      </w:tr>
      <w:tr>
        <w:tc>
          <w:tcPr/>
          <w:p>
            <w:pPr>
              <w:pStyle w:val="Compact"/>
            </w:pPr>
            <w:r>
              <w:rPr>
                <w:b/>
                <w:bCs/>
              </w:rPr>
              <w:t xml:space="preserve">FR-INTG-017</w:t>
            </w:r>
          </w:p>
        </w:tc>
        <w:tc>
          <w:tcPr/>
          <w:p>
            <w:pPr>
              <w:pStyle w:val="Compact"/>
            </w:pPr>
            <w:r>
              <w:t xml:space="preserve">Generate daily EFRIS reconciliation report</w:t>
            </w:r>
          </w:p>
        </w:tc>
        <w:tc>
          <w:tcPr/>
          <w:p>
            <w:pPr>
              <w:pStyle w:val="Compact"/>
            </w:pPr>
            <w:r>
              <w:t xml:space="preserve">BG-001</w:t>
            </w:r>
          </w:p>
        </w:tc>
        <w:tc>
          <w:tcPr/>
          <w:p>
            <w:pPr>
              <w:pStyle w:val="Compact"/>
            </w:pPr>
            <w:r>
              <w:t xml:space="preserve">EFRIS</w:t>
            </w:r>
          </w:p>
        </w:tc>
      </w:tr>
      <w:tr>
        <w:tc>
          <w:tcPr/>
          <w:p>
            <w:pPr>
              <w:pStyle w:val="Compact"/>
            </w:pPr>
            <w:r>
              <w:rPr>
                <w:b/>
                <w:bCs/>
              </w:rPr>
              <w:t xml:space="preserve">FR-INTG-018</w:t>
            </w:r>
          </w:p>
        </w:tc>
        <w:tc>
          <w:tcPr/>
          <w:p>
            <w:pPr>
              <w:pStyle w:val="Compact"/>
            </w:pPr>
            <w:r>
              <w:t xml:space="preserve">Allow manual resubmission of</w:t>
            </w:r>
            <w:r>
              <w:t xml:space="preserve"> </w:t>
            </w:r>
            <w:r>
              <w:rPr>
                <w:rStyle w:val="VerbatimChar"/>
              </w:rPr>
              <w:t xml:space="preserve">EFRIS_FAILED</w:t>
            </w:r>
            <w:r>
              <w:t xml:space="preserve"> </w:t>
            </w:r>
            <w:r>
              <w:t xml:space="preserve">invoices</w:t>
            </w:r>
          </w:p>
        </w:tc>
        <w:tc>
          <w:tcPr/>
          <w:p>
            <w:pPr>
              <w:pStyle w:val="Compact"/>
            </w:pPr>
            <w:r>
              <w:t xml:space="preserve">BG-001</w:t>
            </w:r>
          </w:p>
        </w:tc>
        <w:tc>
          <w:tcPr/>
          <w:p>
            <w:pPr>
              <w:pStyle w:val="Compact"/>
            </w:pPr>
            <w:r>
              <w:t xml:space="preserve">EFRIS</w:t>
            </w:r>
          </w:p>
        </w:tc>
      </w:tr>
      <w:tr>
        <w:tc>
          <w:tcPr/>
          <w:p>
            <w:pPr>
              <w:pStyle w:val="Compact"/>
            </w:pPr>
            <w:r>
              <w:rPr>
                <w:b/>
                <w:bCs/>
              </w:rPr>
              <w:t xml:space="preserve">FR-INTG-019</w:t>
            </w:r>
          </w:p>
        </w:tc>
        <w:tc>
          <w:tcPr/>
          <w:p>
            <w:pPr>
              <w:pStyle w:val="Compact"/>
            </w:pPr>
            <w:r>
              <w:t xml:space="preserve">Retrieve EFRIS credentials from encrypted store only</w:t>
            </w:r>
          </w:p>
        </w:tc>
        <w:tc>
          <w:tcPr/>
          <w:p>
            <w:pPr>
              <w:pStyle w:val="Compact"/>
            </w:pPr>
            <w:r>
              <w:t xml:space="preserve">BG-001</w:t>
            </w:r>
          </w:p>
        </w:tc>
        <w:tc>
          <w:tcPr/>
          <w:p>
            <w:pPr>
              <w:pStyle w:val="Compact"/>
            </w:pPr>
            <w:r>
              <w:t xml:space="preserve">EFRIS</w:t>
            </w:r>
          </w:p>
        </w:tc>
      </w:tr>
      <w:tr>
        <w:tc>
          <w:tcPr/>
          <w:p>
            <w:pPr>
              <w:pStyle w:val="Compact"/>
            </w:pPr>
            <w:r>
              <w:rPr>
                <w:b/>
                <w:bCs/>
              </w:rPr>
              <w:t xml:space="preserve">FR-INTG-020</w:t>
            </w:r>
          </w:p>
        </w:tc>
        <w:tc>
          <w:tcPr/>
          <w:p>
            <w:pPr>
              <w:pStyle w:val="Compact"/>
            </w:pPr>
            <w:r>
              <w:t xml:space="preserve">Never log EFRIS credentials in plaintext</w:t>
            </w:r>
          </w:p>
        </w:tc>
        <w:tc>
          <w:tcPr/>
          <w:p>
            <w:pPr>
              <w:pStyle w:val="Compact"/>
            </w:pPr>
            <w:r>
              <w:t xml:space="preserve">BG-001</w:t>
            </w:r>
          </w:p>
        </w:tc>
        <w:tc>
          <w:tcPr/>
          <w:p>
            <w:pPr>
              <w:pStyle w:val="Compact"/>
            </w:pPr>
            <w:r>
              <w:t xml:space="preserve">EFRIS</w:t>
            </w:r>
          </w:p>
        </w:tc>
      </w:tr>
      <w:tr>
        <w:tc>
          <w:tcPr/>
          <w:p>
            <w:pPr>
              <w:pStyle w:val="Compact"/>
            </w:pPr>
            <w:r>
              <w:rPr>
                <w:b/>
                <w:bCs/>
              </w:rPr>
              <w:t xml:space="preserve">FR-INTG-021</w:t>
            </w:r>
          </w:p>
        </w:tc>
        <w:tc>
          <w:tcPr/>
          <w:p>
            <w:pPr>
              <w:pStyle w:val="Compact"/>
            </w:pPr>
            <w:r>
              <w:t xml:space="preserve">Provider-plugin architecture for mobile money adapters</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FR-INTG-022</w:t>
            </w:r>
          </w:p>
        </w:tc>
        <w:tc>
          <w:tcPr/>
          <w:p>
            <w:pPr>
              <w:pStyle w:val="Compact"/>
            </w:pPr>
            <w:r>
              <w:t xml:space="preserve">Activate provider plugins without modifying Integration Layer core</w:t>
            </w:r>
          </w:p>
        </w:tc>
        <w:tc>
          <w:tcPr/>
          <w:p>
            <w:pPr>
              <w:pStyle w:val="Compact"/>
            </w:pPr>
            <w:r>
              <w:t xml:space="preserve">BG-003, BG-004</w:t>
            </w:r>
          </w:p>
        </w:tc>
        <w:tc>
          <w:tcPr/>
          <w:p>
            <w:pPr>
              <w:pStyle w:val="Compact"/>
            </w:pPr>
            <w:r>
              <w:t xml:space="preserve">Mobile Money</w:t>
            </w:r>
          </w:p>
        </w:tc>
      </w:tr>
      <w:tr>
        <w:tc>
          <w:tcPr/>
          <w:p>
            <w:pPr>
              <w:pStyle w:val="Compact"/>
            </w:pPr>
            <w:r>
              <w:rPr>
                <w:b/>
                <w:bCs/>
              </w:rPr>
              <w:t xml:space="preserve">FR-INTG-023</w:t>
            </w:r>
          </w:p>
        </w:tc>
        <w:tc>
          <w:tcPr/>
          <w:p>
            <w:pPr>
              <w:pStyle w:val="Compact"/>
            </w:pPr>
            <w:r>
              <w:t xml:space="preserve">Activate MTN MoMo for profiles</w:t>
            </w:r>
            <w:r>
              <w:t xml:space="preserve"> </w:t>
            </w:r>
            <w:r>
              <w:rPr>
                <w:rStyle w:val="VerbatimChar"/>
              </w:rPr>
              <w:t xml:space="preserve">UG</w:t>
            </w:r>
            <w:r>
              <w:t xml:space="preserve">/</w:t>
            </w:r>
            <w:r>
              <w:rPr>
                <w:rStyle w:val="VerbatimChar"/>
              </w:rPr>
              <w:t xml:space="preserve">RW</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FR-INTG-024</w:t>
            </w:r>
          </w:p>
        </w:tc>
        <w:tc>
          <w:tcPr/>
          <w:p>
            <w:pPr>
              <w:pStyle w:val="Compact"/>
            </w:pPr>
            <w:r>
              <w:t xml:space="preserve">Activate Airtel Money for profiles</w:t>
            </w:r>
            <w:r>
              <w:t xml:space="preserve"> </w:t>
            </w:r>
            <w:r>
              <w:rPr>
                <w:rStyle w:val="VerbatimChar"/>
              </w:rPr>
              <w:t xml:space="preserve">UG</w:t>
            </w:r>
            <w:r>
              <w:t xml:space="preserve">/</w:t>
            </w:r>
            <w:r>
              <w:rPr>
                <w:rStyle w:val="VerbatimChar"/>
              </w:rPr>
              <w:t xml:space="preserve">KE</w:t>
            </w:r>
            <w:r>
              <w:t xml:space="preserve">/</w:t>
            </w:r>
            <w:r>
              <w:rPr>
                <w:rStyle w:val="VerbatimChar"/>
              </w:rPr>
              <w:t xml:space="preserve">TZ</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FR-INTG-025</w:t>
            </w:r>
          </w:p>
        </w:tc>
        <w:tc>
          <w:tcPr/>
          <w:p>
            <w:pPr>
              <w:pStyle w:val="Compact"/>
            </w:pPr>
            <w:r>
              <w:t xml:space="preserve">Activate M-Pesa Daraja for profiles</w:t>
            </w:r>
            <w:r>
              <w:t xml:space="preserve"> </w:t>
            </w:r>
            <w:r>
              <w:rPr>
                <w:rStyle w:val="VerbatimChar"/>
              </w:rPr>
              <w:t xml:space="preserve">KE</w:t>
            </w:r>
            <w:r>
              <w:t xml:space="preserve">/</w:t>
            </w:r>
            <w:r>
              <w:rPr>
                <w:rStyle w:val="VerbatimChar"/>
              </w:rPr>
              <w:t xml:space="preserve">TZ</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FR-INTG-026</w:t>
            </w:r>
          </w:p>
        </w:tc>
        <w:tc>
          <w:tcPr/>
          <w:p>
            <w:pPr>
              <w:pStyle w:val="Compact"/>
            </w:pPr>
            <w:r>
              <w:t xml:space="preserve">Collect SaaS subscription fee via mobile money</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FR-INTG-027</w:t>
            </w:r>
          </w:p>
        </w:tc>
        <w:tc>
          <w:tcPr/>
          <w:p>
            <w:pPr>
              <w:pStyle w:val="Compact"/>
            </w:pPr>
            <w:r>
              <w:t xml:space="preserve">Collect customer invoice payment via mobile money</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FR-INTG-028</w:t>
            </w:r>
          </w:p>
        </w:tc>
        <w:tc>
          <w:tcPr/>
          <w:p>
            <w:pPr>
              <w:pStyle w:val="Compact"/>
            </w:pPr>
            <w:r>
              <w:t xml:space="preserve">Disburse supplier payment via mobile money</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FR-INTG-029</w:t>
            </w:r>
          </w:p>
        </w:tc>
        <w:tc>
          <w:tcPr/>
          <w:p>
            <w:pPr>
              <w:pStyle w:val="Compact"/>
            </w:pPr>
            <w:r>
              <w:t xml:space="preserve">Transmit amount, currency, mobile number, and reference on initiation</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FR-INTG-030</w:t>
            </w:r>
          </w:p>
        </w:tc>
        <w:tc>
          <w:tcPr/>
          <w:p>
            <w:pPr>
              <w:pStyle w:val="Compact"/>
            </w:pPr>
            <w:r>
              <w:t xml:space="preserve">Assign UUID v4 reference to every mobile money request</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FR-INTG-031</w:t>
            </w:r>
          </w:p>
        </w:tc>
        <w:tc>
          <w:tcPr/>
          <w:p>
            <w:pPr>
              <w:pStyle w:val="Compact"/>
            </w:pPr>
            <w:r>
              <w:t xml:space="preserve">Record provider transaction ID alongside internal reference</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FR-INTG-032</w:t>
            </w:r>
          </w:p>
        </w:tc>
        <w:tc>
          <w:tcPr/>
          <w:p>
            <w:pPr>
              <w:pStyle w:val="Compact"/>
            </w:pPr>
            <w:r>
              <w:t xml:space="preserve">Poll provider status at 15s, 30s, 60s when no callback received</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FR-INTG-033</w:t>
            </w:r>
          </w:p>
        </w:tc>
        <w:tc>
          <w:tcPr/>
          <w:p>
            <w:pPr>
              <w:pStyle w:val="Compact"/>
            </w:pPr>
            <w:r>
              <w:t xml:space="preserve">Mark transaction</w:t>
            </w:r>
            <w:r>
              <w:t xml:space="preserve"> </w:t>
            </w:r>
            <w:r>
              <w:rPr>
                <w:rStyle w:val="VerbatimChar"/>
              </w:rPr>
              <w:t xml:space="preserve">TIMEOUT</w:t>
            </w:r>
            <w:r>
              <w:t xml:space="preserve"> </w:t>
            </w:r>
            <w:r>
              <w:t xml:space="preserve">and cease polling after 5 minutes</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FR-INTG-034</w:t>
            </w:r>
          </w:p>
        </w:tc>
        <w:tc>
          <w:tcPr/>
          <w:p>
            <w:pPr>
              <w:pStyle w:val="Compact"/>
            </w:pPr>
            <w:r>
              <w:t xml:space="preserve">Expose tenant-isolated inbound callback endpoint per provider</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FR-INTG-035</w:t>
            </w:r>
          </w:p>
        </w:tc>
        <w:tc>
          <w:tcPr/>
          <w:p>
            <w:pPr>
              <w:pStyle w:val="Compact"/>
            </w:pPr>
            <w:r>
              <w:t xml:space="preserve">Validate provider callback signature before processing</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FR-INTG-036</w:t>
            </w:r>
          </w:p>
        </w:tc>
        <w:tc>
          <w:tcPr/>
          <w:p>
            <w:pPr>
              <w:pStyle w:val="Compact"/>
            </w:pPr>
            <w:r>
              <w:t xml:space="preserve">Update payment ledger to</w:t>
            </w:r>
            <w:r>
              <w:t xml:space="preserve"> </w:t>
            </w:r>
            <w:r>
              <w:rPr>
                <w:rStyle w:val="VerbatimChar"/>
              </w:rPr>
              <w:t xml:space="preserve">PAID</w:t>
            </w:r>
            <w:r>
              <w:t xml:space="preserve"> </w:t>
            </w:r>
            <w:r>
              <w:t xml:space="preserve">within 3 seconds of successful callback</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FR-INTG-037</w:t>
            </w:r>
          </w:p>
        </w:tc>
        <w:tc>
          <w:tcPr/>
          <w:p>
            <w:pPr>
              <w:pStyle w:val="Compact"/>
            </w:pPr>
            <w:r>
              <w:t xml:space="preserve">Update transaction to</w:t>
            </w:r>
            <w:r>
              <w:t xml:space="preserve"> </w:t>
            </w:r>
            <w:r>
              <w:rPr>
                <w:rStyle w:val="VerbatimChar"/>
              </w:rPr>
              <w:t xml:space="preserve">FAILED</w:t>
            </w:r>
            <w:r>
              <w:t xml:space="preserve"> </w:t>
            </w:r>
            <w:r>
              <w:t xml:space="preserve">on declined callback</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FR-INTG-038</w:t>
            </w:r>
          </w:p>
        </w:tc>
        <w:tc>
          <w:tcPr/>
          <w:p>
            <w:pPr>
              <w:pStyle w:val="Compact"/>
            </w:pPr>
            <w:r>
              <w:t xml:space="preserve">Generate daily mobile money reconciliation report per provider</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FR-INTG-039</w:t>
            </w:r>
          </w:p>
        </w:tc>
        <w:tc>
          <w:tcPr/>
          <w:p>
            <w:pPr>
              <w:pStyle w:val="Compact"/>
            </w:pPr>
            <w:r>
              <w:t xml:space="preserve">Flag reconciliation anomalies for Finance administrator review</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FR-INTG-040</w:t>
            </w:r>
          </w:p>
        </w:tc>
        <w:tc>
          <w:tcPr/>
          <w:p>
            <w:pPr>
              <w:pStyle w:val="Compact"/>
            </w:pPr>
            <w:r>
              <w:t xml:space="preserve">Submit reversal request to provider on authorised refund</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FR-INTG-041</w:t>
            </w:r>
          </w:p>
        </w:tc>
        <w:tc>
          <w:tcPr/>
          <w:p>
            <w:pPr>
              <w:pStyle w:val="Compact"/>
            </w:pPr>
            <w:r>
              <w:t xml:space="preserve">Update record to</w:t>
            </w:r>
            <w:r>
              <w:t xml:space="preserve"> </w:t>
            </w:r>
            <w:r>
              <w:rPr>
                <w:rStyle w:val="VerbatimChar"/>
              </w:rPr>
              <w:t xml:space="preserve">REVERSED</w:t>
            </w:r>
            <w:r>
              <w:t xml:space="preserve"> </w:t>
            </w:r>
            <w:r>
              <w:t xml:space="preserve">and post credit entry on confirmed reversal</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FR-INTG-042</w:t>
            </w:r>
          </w:p>
        </w:tc>
        <w:tc>
          <w:tcPr/>
          <w:p>
            <w:pPr>
              <w:pStyle w:val="Compact"/>
            </w:pPr>
            <w:r>
              <w:t xml:space="preserve">Place timed-out transactions in manual review queue</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FR-INTG-043</w:t>
            </w:r>
          </w:p>
        </w:tc>
        <w:tc>
          <w:tcPr/>
          <w:p>
            <w:pPr>
              <w:pStyle w:val="Compact"/>
            </w:pPr>
            <w:r>
              <w:t xml:space="preserve">Store mobile money credentials using AES-256 encryption</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FR-INTG-044</w:t>
            </w:r>
          </w:p>
        </w:tc>
        <w:tc>
          <w:tcPr/>
          <w:p>
            <w:pPr>
              <w:pStyle w:val="Compact"/>
            </w:pPr>
            <w:r>
              <w:t xml:space="preserve">Retrieve credentials from encrypted store at runtime only</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FR-INTG-045</w:t>
            </w:r>
          </w:p>
        </w:tc>
        <w:tc>
          <w:tcPr/>
          <w:p>
            <w:pPr>
              <w:pStyle w:val="Compact"/>
            </w:pPr>
            <w:r>
              <w:t xml:space="preserve">Never log mobile money credentials in plaintext</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FR-INTG-046</w:t>
            </w:r>
          </w:p>
        </w:tc>
        <w:tc>
          <w:tcPr/>
          <w:p>
            <w:pPr>
              <w:pStyle w:val="Compact"/>
            </w:pPr>
            <w:r>
              <w:t xml:space="preserve">Submit sales invoice to KRA eTIMS before customer delivery</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FR-INTG-047</w:t>
            </w:r>
          </w:p>
        </w:tc>
        <w:tc>
          <w:tcPr/>
          <w:p>
            <w:pPr>
              <w:pStyle w:val="Compact"/>
            </w:pPr>
            <w:r>
              <w:t xml:space="preserve">Submit credit note to KRA eTIMS before customer delivery</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FR-INTG-048</w:t>
            </w:r>
          </w:p>
        </w:tc>
        <w:tc>
          <w:tcPr/>
          <w:p>
            <w:pPr>
              <w:pStyle w:val="Compact"/>
            </w:pPr>
            <w:r>
              <w:t xml:space="preserve">Construct eTIMS payload per KRA field mapping</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FR-INTG-049</w:t>
            </w:r>
          </w:p>
        </w:tc>
        <w:tc>
          <w:tcPr/>
          <w:p>
            <w:pPr>
              <w:pStyle w:val="Compact"/>
            </w:pPr>
            <w:r>
              <w:t xml:space="preserve">Include KRA PIN, HS codes, tax amounts in eTIMS payload</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FR-INTG-050</w:t>
            </w:r>
          </w:p>
        </w:tc>
        <w:tc>
          <w:tcPr/>
          <w:p>
            <w:pPr>
              <w:pStyle w:val="Compact"/>
            </w:pPr>
            <w:r>
              <w:t xml:space="preserve">Transmit eTIMS payloads over TLS 1.2+</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FR-INTG-051</w:t>
            </w:r>
          </w:p>
        </w:tc>
        <w:tc>
          <w:tcPr/>
          <w:p>
            <w:pPr>
              <w:pStyle w:val="Compact"/>
            </w:pPr>
            <w:r>
              <w:t xml:space="preserve">Parse CUIN and QR code from eTIMS response</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FR-INTG-052</w:t>
            </w:r>
          </w:p>
        </w:tc>
        <w:tc>
          <w:tcPr/>
          <w:p>
            <w:pPr>
              <w:pStyle w:val="Compact"/>
            </w:pPr>
            <w:r>
              <w:t xml:space="preserve">Store CUIN and QR code on invoice record</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FR-INTG-053</w:t>
            </w:r>
          </w:p>
        </w:tc>
        <w:tc>
          <w:tcPr/>
          <w:p>
            <w:pPr>
              <w:pStyle w:val="Compact"/>
            </w:pPr>
            <w:r>
              <w:t xml:space="preserve">Embed CUIN and QR code in printed invoice</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FR-INTG-054</w:t>
            </w:r>
          </w:p>
        </w:tc>
        <w:tc>
          <w:tcPr/>
          <w:p>
            <w:pPr>
              <w:pStyle w:val="Compact"/>
            </w:pPr>
            <w:r>
              <w:t xml:space="preserve">Mark invoice</w:t>
            </w:r>
            <w:r>
              <w:t xml:space="preserve"> </w:t>
            </w:r>
            <w:r>
              <w:rPr>
                <w:rStyle w:val="VerbatimChar"/>
              </w:rPr>
              <w:t xml:space="preserve">ETIMS_SUBMITTED</w:t>
            </w:r>
            <w:r>
              <w:t xml:space="preserve"> </w:t>
            </w:r>
            <w:r>
              <w:t xml:space="preserve">on successful response</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FR-INTG-055</w:t>
            </w:r>
          </w:p>
        </w:tc>
        <w:tc>
          <w:tcPr/>
          <w:p>
            <w:pPr>
              <w:pStyle w:val="Compact"/>
            </w:pPr>
            <w:r>
              <w:t xml:space="preserve">Retry failed eTIMS submission with exponential backoff (3 attempts)</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FR-INTG-056</w:t>
            </w:r>
          </w:p>
        </w:tc>
        <w:tc>
          <w:tcPr/>
          <w:p>
            <w:pPr>
              <w:pStyle w:val="Compact"/>
            </w:pPr>
            <w:r>
              <w:t xml:space="preserve">Queue payload and mark invoice</w:t>
            </w:r>
            <w:r>
              <w:t xml:space="preserve"> </w:t>
            </w:r>
            <w:r>
              <w:rPr>
                <w:rStyle w:val="VerbatimChar"/>
              </w:rPr>
              <w:t xml:space="preserve">ETIMS_QUEUED</w:t>
            </w:r>
            <w:r>
              <w:t xml:space="preserve"> </w:t>
            </w:r>
            <w:r>
              <w:t xml:space="preserve">after 3 failures</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FR-INTG-057</w:t>
            </w:r>
          </w:p>
        </w:tc>
        <w:tc>
          <w:tcPr/>
          <w:p>
            <w:pPr>
              <w:pStyle w:val="Compact"/>
            </w:pPr>
            <w:r>
              <w:t xml:space="preserve">Do not block invoicing workflow when eTIMS submission is queued</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FR-INTG-058</w:t>
            </w:r>
          </w:p>
        </w:tc>
        <w:tc>
          <w:tcPr/>
          <w:p>
            <w:pPr>
              <w:pStyle w:val="Compact"/>
            </w:pPr>
            <w:r>
              <w:t xml:space="preserve">Retain queued eTIMS payloads for 72 hours</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FR-INTG-059</w:t>
            </w:r>
          </w:p>
        </w:tc>
        <w:tc>
          <w:tcPr/>
          <w:p>
            <w:pPr>
              <w:pStyle w:val="Compact"/>
            </w:pPr>
            <w:r>
              <w:t xml:space="preserve">Display eTIMS status indicator on invoice record</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FR-INTG-060</w:t>
            </w:r>
          </w:p>
        </w:tc>
        <w:tc>
          <w:tcPr/>
          <w:p>
            <w:pPr>
              <w:pStyle w:val="Compact"/>
            </w:pPr>
            <w:r>
              <w:t xml:space="preserve">Auto-process offline queue on eTIMS endpoint reconnection</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FR-INTG-061</w:t>
            </w:r>
          </w:p>
        </w:tc>
        <w:tc>
          <w:tcPr/>
          <w:p>
            <w:pPr>
              <w:pStyle w:val="Compact"/>
            </w:pPr>
            <w:r>
              <w:t xml:space="preserve">Retrieve eTIMS credentials from encrypted store only</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FR-INTG-062</w:t>
            </w:r>
          </w:p>
        </w:tc>
        <w:tc>
          <w:tcPr/>
          <w:p>
            <w:pPr>
              <w:pStyle w:val="Compact"/>
            </w:pPr>
            <w:r>
              <w:t xml:space="preserve">Never log eTIMS credentials in plaintext</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FR-INTG-063</w:t>
            </w:r>
          </w:p>
        </w:tc>
        <w:tc>
          <w:tcPr/>
          <w:p>
            <w:pPr>
              <w:pStyle w:val="Compact"/>
            </w:pPr>
            <w:r>
              <w:t xml:space="preserve">Activate NSSF adapter when HR &amp; Payroll active and profile is</w:t>
            </w:r>
            <w:r>
              <w:t xml:space="preserve"> </w:t>
            </w:r>
            <w:r>
              <w:rPr>
                <w:rStyle w:val="VerbatimChar"/>
              </w:rPr>
              <w:t xml:space="preserve">UG</w:t>
            </w:r>
            <w:r>
              <w:t xml:space="preserve">/</w:t>
            </w:r>
            <w:r>
              <w:rPr>
                <w:rStyle w:val="VerbatimChar"/>
              </w:rPr>
              <w:t xml:space="preserve">KE</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FR-INTG-064</w:t>
            </w:r>
          </w:p>
        </w:tc>
        <w:tc>
          <w:tcPr/>
          <w:p>
            <w:pPr>
              <w:pStyle w:val="Compact"/>
            </w:pPr>
            <w:r>
              <w:t xml:space="preserve">Apply jurisdiction-specific NSSF rules per localisation profile</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FR-INTG-065</w:t>
            </w:r>
          </w:p>
        </w:tc>
        <w:tc>
          <w:tcPr/>
          <w:p>
            <w:pPr>
              <w:pStyle w:val="Compact"/>
            </w:pPr>
            <w:r>
              <w:t xml:space="preserve">Generate monthly NSSF contribution file from payroll close</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FR-INTG-066</w:t>
            </w:r>
          </w:p>
        </w:tc>
        <w:tc>
          <w:tcPr/>
          <w:p>
            <w:pPr>
              <w:pStyle w:val="Compact"/>
            </w:pPr>
            <w:r>
              <w:t xml:space="preserve">Format contribution file per NSSF-specified schema</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FR-INTG-067</w:t>
            </w:r>
          </w:p>
        </w:tc>
        <w:tc>
          <w:tcPr/>
          <w:p>
            <w:pPr>
              <w:pStyle w:val="Compact"/>
            </w:pPr>
            <w:r>
              <w:t xml:space="preserve">Allow Payroll administrator to preview file before submission</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FR-INTG-068</w:t>
            </w:r>
          </w:p>
        </w:tc>
        <w:tc>
          <w:tcPr/>
          <w:p>
            <w:pPr>
              <w:pStyle w:val="Compact"/>
            </w:pPr>
            <w:r>
              <w:t xml:space="preserve">Submit contribution file via NSSF REST API or SFTP</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FR-INTG-069</w:t>
            </w:r>
          </w:p>
        </w:tc>
        <w:tc>
          <w:tcPr/>
          <w:p>
            <w:pPr>
              <w:pStyle w:val="Compact"/>
            </w:pPr>
            <w:r>
              <w:t xml:space="preserve">Record NSSF submission reference number and status</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FR-INTG-070</w:t>
            </w:r>
          </w:p>
        </w:tc>
        <w:tc>
          <w:tcPr/>
          <w:p>
            <w:pPr>
              <w:pStyle w:val="Compact"/>
            </w:pPr>
            <w:r>
              <w:t xml:space="preserve">Surface NSSF portal validation errors to Payroll administrator</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FR-INTG-071</w:t>
            </w:r>
          </w:p>
        </w:tc>
        <w:tc>
          <w:tcPr/>
          <w:p>
            <w:pPr>
              <w:pStyle w:val="Compact"/>
            </w:pPr>
            <w:r>
              <w:t xml:space="preserve">Allow correction and resubmission of rejected records</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FR-INTG-072</w:t>
            </w:r>
          </w:p>
        </w:tc>
        <w:tc>
          <w:tcPr/>
          <w:p>
            <w:pPr>
              <w:pStyle w:val="Compact"/>
            </w:pPr>
            <w:r>
              <w:t xml:space="preserve">Retain NSSF contribution files for 7 years</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FR-INTG-073</w:t>
            </w:r>
          </w:p>
        </w:tc>
        <w:tc>
          <w:tcPr/>
          <w:p>
            <w:pPr>
              <w:pStyle w:val="Compact"/>
            </w:pPr>
            <w:r>
              <w:t xml:space="preserve">Allow tenant administrator to register webhook endpoint with URL, secret, and events</w:t>
            </w:r>
          </w:p>
        </w:tc>
        <w:tc>
          <w:tcPr/>
          <w:p>
            <w:pPr>
              <w:pStyle w:val="Compact"/>
            </w:pPr>
            <w:r>
              <w:t xml:space="preserve">BG-004</w:t>
            </w:r>
          </w:p>
        </w:tc>
        <w:tc>
          <w:tcPr/>
          <w:p>
            <w:pPr>
              <w:pStyle w:val="Compact"/>
            </w:pPr>
            <w:r>
              <w:t xml:space="preserve">Webhook</w:t>
            </w:r>
          </w:p>
        </w:tc>
      </w:tr>
      <w:tr>
        <w:tc>
          <w:tcPr/>
          <w:p>
            <w:pPr>
              <w:pStyle w:val="Compact"/>
            </w:pPr>
            <w:r>
              <w:rPr>
                <w:b/>
                <w:bCs/>
              </w:rPr>
              <w:t xml:space="preserve">FR-INTG-074</w:t>
            </w:r>
          </w:p>
        </w:tc>
        <w:tc>
          <w:tcPr/>
          <w:p>
            <w:pPr>
              <w:pStyle w:val="Compact"/>
            </w:pPr>
            <w:r>
              <w:t xml:space="preserve">Validate webhook URL is a syntactically valid HTTPS URL</w:t>
            </w:r>
          </w:p>
        </w:tc>
        <w:tc>
          <w:tcPr/>
          <w:p>
            <w:pPr>
              <w:pStyle w:val="Compact"/>
            </w:pPr>
            <w:r>
              <w:t xml:space="preserve">BG-004</w:t>
            </w:r>
          </w:p>
        </w:tc>
        <w:tc>
          <w:tcPr/>
          <w:p>
            <w:pPr>
              <w:pStyle w:val="Compact"/>
            </w:pPr>
            <w:r>
              <w:t xml:space="preserve">Webhook</w:t>
            </w:r>
          </w:p>
        </w:tc>
      </w:tr>
      <w:tr>
        <w:tc>
          <w:tcPr/>
          <w:p>
            <w:pPr>
              <w:pStyle w:val="Compact"/>
            </w:pPr>
            <w:r>
              <w:rPr>
                <w:b/>
                <w:bCs/>
              </w:rPr>
              <w:t xml:space="preserve">FR-INTG-075</w:t>
            </w:r>
          </w:p>
        </w:tc>
        <w:tc>
          <w:tcPr/>
          <w:p>
            <w:pPr>
              <w:pStyle w:val="Compact"/>
            </w:pPr>
            <w:r>
              <w:t xml:space="preserve">Allow activation/deactivation of webhook without deletion</w:t>
            </w:r>
          </w:p>
        </w:tc>
        <w:tc>
          <w:tcPr/>
          <w:p>
            <w:pPr>
              <w:pStyle w:val="Compact"/>
            </w:pPr>
            <w:r>
              <w:t xml:space="preserve">BG-004</w:t>
            </w:r>
          </w:p>
        </w:tc>
        <w:tc>
          <w:tcPr/>
          <w:p>
            <w:pPr>
              <w:pStyle w:val="Compact"/>
            </w:pPr>
            <w:r>
              <w:t xml:space="preserve">Webhook</w:t>
            </w:r>
          </w:p>
        </w:tc>
      </w:tr>
      <w:tr>
        <w:tc>
          <w:tcPr/>
          <w:p>
            <w:pPr>
              <w:pStyle w:val="Compact"/>
            </w:pPr>
            <w:r>
              <w:rPr>
                <w:b/>
                <w:bCs/>
              </w:rPr>
              <w:t xml:space="preserve">FR-INTG-076</w:t>
            </w:r>
          </w:p>
        </w:tc>
        <w:tc>
          <w:tcPr/>
          <w:p>
            <w:pPr>
              <w:pStyle w:val="Compact"/>
            </w:pPr>
            <w:r>
              <w:t xml:space="preserve">Allow update of webhook URL, secret, and event subscriptions</w:t>
            </w:r>
          </w:p>
        </w:tc>
        <w:tc>
          <w:tcPr/>
          <w:p>
            <w:pPr>
              <w:pStyle w:val="Compact"/>
            </w:pPr>
            <w:r>
              <w:t xml:space="preserve">BG-004</w:t>
            </w:r>
          </w:p>
        </w:tc>
        <w:tc>
          <w:tcPr/>
          <w:p>
            <w:pPr>
              <w:pStyle w:val="Compact"/>
            </w:pPr>
            <w:r>
              <w:t xml:space="preserve">Webhook</w:t>
            </w:r>
          </w:p>
        </w:tc>
      </w:tr>
      <w:tr>
        <w:tc>
          <w:tcPr/>
          <w:p>
            <w:pPr>
              <w:pStyle w:val="Compact"/>
            </w:pPr>
            <w:r>
              <w:rPr>
                <w:b/>
                <w:bCs/>
              </w:rPr>
              <w:t xml:space="preserve">FR-INTG-077</w:t>
            </w:r>
          </w:p>
        </w:tc>
        <w:tc>
          <w:tcPr/>
          <w:p>
            <w:pPr>
              <w:pStyle w:val="Compact"/>
            </w:pPr>
            <w:r>
              <w:t xml:space="preserve">Store webhook secret key using AES-256 encryption</w:t>
            </w:r>
          </w:p>
        </w:tc>
        <w:tc>
          <w:tcPr/>
          <w:p>
            <w:pPr>
              <w:pStyle w:val="Compact"/>
            </w:pPr>
            <w:r>
              <w:t xml:space="preserve">BG-004</w:t>
            </w:r>
          </w:p>
        </w:tc>
        <w:tc>
          <w:tcPr/>
          <w:p>
            <w:pPr>
              <w:pStyle w:val="Compact"/>
            </w:pPr>
            <w:r>
              <w:t xml:space="preserve">Webhook</w:t>
            </w:r>
          </w:p>
        </w:tc>
      </w:tr>
      <w:tr>
        <w:tc>
          <w:tcPr/>
          <w:p>
            <w:pPr>
              <w:pStyle w:val="Compact"/>
            </w:pPr>
            <w:r>
              <w:rPr>
                <w:b/>
                <w:bCs/>
              </w:rPr>
              <w:t xml:space="preserve">FR-INTG-078</w:t>
            </w:r>
          </w:p>
        </w:tc>
        <w:tc>
          <w:tcPr/>
          <w:p>
            <w:pPr>
              <w:pStyle w:val="Compact"/>
            </w:pPr>
            <w:r>
              <w:t xml:space="preserve">Support standard event types for webhook subscription</w:t>
            </w:r>
          </w:p>
        </w:tc>
        <w:tc>
          <w:tcPr/>
          <w:p>
            <w:pPr>
              <w:pStyle w:val="Compact"/>
            </w:pPr>
            <w:r>
              <w:t xml:space="preserve">BG-004</w:t>
            </w:r>
          </w:p>
        </w:tc>
        <w:tc>
          <w:tcPr/>
          <w:p>
            <w:pPr>
              <w:pStyle w:val="Compact"/>
            </w:pPr>
            <w:r>
              <w:t xml:space="preserve">Webhook</w:t>
            </w:r>
          </w:p>
        </w:tc>
      </w:tr>
      <w:tr>
        <w:tc>
          <w:tcPr/>
          <w:p>
            <w:pPr>
              <w:pStyle w:val="Compact"/>
            </w:pPr>
            <w:r>
              <w:rPr>
                <w:b/>
                <w:bCs/>
              </w:rPr>
              <w:t xml:space="preserve">FR-INTG-079</w:t>
            </w:r>
          </w:p>
        </w:tc>
        <w:tc>
          <w:tcPr/>
          <w:p>
            <w:pPr>
              <w:pStyle w:val="Compact"/>
            </w:pPr>
            <w:r>
              <w:t xml:space="preserve">Allow new event types to be registered without modifying webhook core</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FR-INTG-080</w:t>
            </w:r>
          </w:p>
        </w:tc>
        <w:tc>
          <w:tcPr/>
          <w:p>
            <w:pPr>
              <w:pStyle w:val="Compact"/>
            </w:pPr>
            <w:r>
              <w:t xml:space="preserve">Deliver webhooks as HTTP POST with</w:t>
            </w:r>
            <w:r>
              <w:t xml:space="preserve"> </w:t>
            </w:r>
            <w:r>
              <w:rPr>
                <w:rStyle w:val="VerbatimChar"/>
              </w:rPr>
              <w:t xml:space="preserve">Content-Type: application/json</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FR-INTG-081</w:t>
            </w:r>
          </w:p>
        </w:tc>
        <w:tc>
          <w:tcPr/>
          <w:p>
            <w:pPr>
              <w:pStyle w:val="Compact"/>
            </w:pPr>
            <w:r>
              <w:t xml:space="preserve">Include</w:t>
            </w:r>
            <w:r>
              <w:t xml:space="preserve"> </w:t>
            </w:r>
            <w:r>
              <w:rPr>
                <w:rStyle w:val="VerbatimChar"/>
              </w:rPr>
              <w:t xml:space="preserve">event_type</w:t>
            </w:r>
            <w:r>
              <w:t xml:space="preserve">,</w:t>
            </w:r>
            <w:r>
              <w:t xml:space="preserve"> </w:t>
            </w:r>
            <w:r>
              <w:rPr>
                <w:rStyle w:val="VerbatimChar"/>
              </w:rPr>
              <w:t xml:space="preserve">event_id</w:t>
            </w:r>
            <w:r>
              <w:t xml:space="preserve">,</w:t>
            </w:r>
            <w:r>
              <w:t xml:space="preserve"> </w:t>
            </w:r>
            <w:r>
              <w:rPr>
                <w:rStyle w:val="VerbatimChar"/>
              </w:rPr>
              <w:t xml:space="preserve">tenant_id</w:t>
            </w:r>
            <w:r>
              <w:t xml:space="preserve">,</w:t>
            </w:r>
            <w:r>
              <w:t xml:space="preserve"> </w:t>
            </w:r>
            <w:r>
              <w:rPr>
                <w:rStyle w:val="VerbatimChar"/>
              </w:rPr>
              <w:t xml:space="preserve">timestamp</w:t>
            </w:r>
            <w:r>
              <w:t xml:space="preserve">,</w:t>
            </w:r>
            <w:r>
              <w:t xml:space="preserve"> </w:t>
            </w:r>
            <w:r>
              <w:rPr>
                <w:rStyle w:val="VerbatimChar"/>
              </w:rPr>
              <w:t xml:space="preserve">data</w:t>
            </w:r>
            <w:r>
              <w:t xml:space="preserve"> </w:t>
            </w:r>
            <w:r>
              <w:t xml:space="preserve">in payload</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FR-INTG-082</w:t>
            </w:r>
          </w:p>
        </w:tc>
        <w:tc>
          <w:tcPr/>
          <w:p>
            <w:pPr>
              <w:pStyle w:val="Compact"/>
            </w:pPr>
            <w:r>
              <w:t xml:space="preserve">Sign outbound webhook payload with HMAC-SHA256 in</w:t>
            </w:r>
            <w:r>
              <w:t xml:space="preserve"> </w:t>
            </w:r>
            <w:r>
              <w:rPr>
                <w:rStyle w:val="VerbatimChar"/>
              </w:rPr>
              <w:t xml:space="preserve">X-KraalCode-Signature</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FR-INTG-083</w:t>
            </w:r>
          </w:p>
        </w:tc>
        <w:tc>
          <w:tcPr/>
          <w:p>
            <w:pPr>
              <w:pStyle w:val="Compact"/>
            </w:pPr>
            <w:r>
              <w:t xml:space="preserve">Document HMAC-SHA256 verification procedure in developer reference</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FR-INTG-084</w:t>
            </w:r>
          </w:p>
        </w:tc>
        <w:tc>
          <w:tcPr/>
          <w:p>
            <w:pPr>
              <w:pStyle w:val="Compact"/>
            </w:pPr>
            <w:r>
              <w:t xml:space="preserve">Dispatch webhook within 10 seconds at P95</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FR-INTG-085</w:t>
            </w:r>
          </w:p>
        </w:tc>
        <w:tc>
          <w:tcPr/>
          <w:p>
            <w:pPr>
              <w:pStyle w:val="Compact"/>
            </w:pPr>
            <w:r>
              <w:t xml:space="preserve">Consider delivery successful on HTTP 2xx within 10 seconds</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FR-INTG-086</w:t>
            </w:r>
          </w:p>
        </w:tc>
        <w:tc>
          <w:tcPr/>
          <w:p>
            <w:pPr>
              <w:pStyle w:val="Compact"/>
            </w:pPr>
            <w:r>
              <w:t xml:space="preserve">Retry failed webhook delivery with exponential backoff (3 attempts)</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FR-INTG-087</w:t>
            </w:r>
          </w:p>
        </w:tc>
        <w:tc>
          <w:tcPr/>
          <w:p>
            <w:pPr>
              <w:pStyle w:val="Compact"/>
            </w:pPr>
            <w:r>
              <w:t xml:space="preserve">Move payload to DLQ after 3 failed delivery attempts</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FR-INTG-088</w:t>
            </w:r>
          </w:p>
        </w:tc>
        <w:tc>
          <w:tcPr/>
          <w:p>
            <w:pPr>
              <w:pStyle w:val="Compact"/>
            </w:pPr>
            <w:r>
              <w:t xml:space="preserve">Retain DLQ entries for 7 days and surface to tenant administrator</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FR-INTG-089</w:t>
            </w:r>
          </w:p>
        </w:tc>
        <w:tc>
          <w:tcPr/>
          <w:p>
            <w:pPr>
              <w:pStyle w:val="Compact"/>
            </w:pPr>
            <w:r>
              <w:t xml:space="preserve">Allow manual re-delivery of DLQ entries</w:t>
            </w:r>
          </w:p>
        </w:tc>
        <w:tc>
          <w:tcPr/>
          <w:p>
            <w:pPr>
              <w:pStyle w:val="Compact"/>
            </w:pPr>
            <w:r>
              <w:t xml:space="preserve">BG-004</w:t>
            </w:r>
          </w:p>
        </w:tc>
        <w:tc>
          <w:tcPr/>
          <w:p>
            <w:pPr>
              <w:pStyle w:val="Compact"/>
            </w:pPr>
            <w:r>
              <w:t xml:space="preserve">Webhook</w:t>
            </w:r>
          </w:p>
        </w:tc>
      </w:tr>
      <w:tr>
        <w:tc>
          <w:tcPr/>
          <w:p>
            <w:pPr>
              <w:pStyle w:val="Compact"/>
            </w:pPr>
            <w:r>
              <w:rPr>
                <w:b/>
                <w:bCs/>
              </w:rPr>
              <w:t xml:space="preserve">FR-INTG-090</w:t>
            </w:r>
          </w:p>
        </w:tc>
        <w:tc>
          <w:tcPr/>
          <w:p>
            <w:pPr>
              <w:pStyle w:val="Compact"/>
            </w:pPr>
            <w:r>
              <w:t xml:space="preserve">Record delivery log entry for every webhook dispatch attempt</w:t>
            </w:r>
          </w:p>
        </w:tc>
        <w:tc>
          <w:tcPr/>
          <w:p>
            <w:pPr>
              <w:pStyle w:val="Compact"/>
            </w:pPr>
            <w:r>
              <w:t xml:space="preserve">BG-004</w:t>
            </w:r>
          </w:p>
        </w:tc>
        <w:tc>
          <w:tcPr/>
          <w:p>
            <w:pPr>
              <w:pStyle w:val="Compact"/>
            </w:pPr>
            <w:r>
              <w:t xml:space="preserve">Webhook</w:t>
            </w:r>
          </w:p>
        </w:tc>
      </w:tr>
      <w:tr>
        <w:tc>
          <w:tcPr/>
          <w:p>
            <w:pPr>
              <w:pStyle w:val="Compact"/>
            </w:pPr>
            <w:r>
              <w:rPr>
                <w:b/>
                <w:bCs/>
              </w:rPr>
              <w:t xml:space="preserve">FR-INTG-091</w:t>
            </w:r>
          </w:p>
        </w:tc>
        <w:tc>
          <w:tcPr/>
          <w:p>
            <w:pPr>
              <w:pStyle w:val="Compact"/>
            </w:pPr>
            <w:r>
              <w:t xml:space="preserve">Retain webhook delivery logs for 30 days</w:t>
            </w:r>
          </w:p>
        </w:tc>
        <w:tc>
          <w:tcPr/>
          <w:p>
            <w:pPr>
              <w:pStyle w:val="Compact"/>
            </w:pPr>
            <w:r>
              <w:t xml:space="preserve">BG-004</w:t>
            </w:r>
          </w:p>
        </w:tc>
        <w:tc>
          <w:tcPr/>
          <w:p>
            <w:pPr>
              <w:pStyle w:val="Compact"/>
            </w:pPr>
            <w:r>
              <w:t xml:space="preserve">Webhook</w:t>
            </w:r>
          </w:p>
        </w:tc>
      </w:tr>
    </w:tbl>
    <w:bookmarkEnd w:id="62"/>
    <w:bookmarkStart w:id="63" w:name="Xd3766a9472b5aace0c4399ea3a008b933a14bef"/>
    <w:p>
      <w:pPr>
        <w:pStyle w:val="Heading2"/>
      </w:pPr>
      <w:r>
        <w:t xml:space="preserve">8.3 Non-Functional Requirements Traceability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NFR Identifier</w:t>
            </w:r>
          </w:p>
        </w:tc>
        <w:tc>
          <w:tcPr/>
          <w:p>
            <w:pPr>
              <w:pStyle w:val="Compact"/>
            </w:pPr>
            <w:r>
              <w:t xml:space="preserve">Requirement Summary</w:t>
            </w:r>
          </w:p>
        </w:tc>
        <w:tc>
          <w:tcPr/>
          <w:p>
            <w:pPr>
              <w:pStyle w:val="Compact"/>
            </w:pPr>
            <w:r>
              <w:t xml:space="preserve">Business Goal</w:t>
            </w:r>
          </w:p>
        </w:tc>
        <w:tc>
          <w:tcPr/>
          <w:p>
            <w:pPr>
              <w:pStyle w:val="Compact"/>
            </w:pPr>
            <w:r>
              <w:t xml:space="preserve">Integration Domain</w:t>
            </w:r>
          </w:p>
        </w:tc>
      </w:tr>
      <w:tr>
        <w:tc>
          <w:tcPr/>
          <w:p>
            <w:pPr>
              <w:pStyle w:val="Compact"/>
            </w:pPr>
            <w:r>
              <w:rPr>
                <w:b/>
                <w:bCs/>
              </w:rPr>
              <w:t xml:space="preserve">NFR-INTG-001</w:t>
            </w:r>
          </w:p>
        </w:tc>
        <w:tc>
          <w:tcPr/>
          <w:p>
            <w:pPr>
              <w:pStyle w:val="Compact"/>
            </w:pPr>
            <w:r>
              <w:t xml:space="preserve">EFRIS submission latency ≤ 5 seconds at P95</w:t>
            </w:r>
          </w:p>
        </w:tc>
        <w:tc>
          <w:tcPr/>
          <w:p>
            <w:pPr>
              <w:pStyle w:val="Compact"/>
            </w:pPr>
            <w:r>
              <w:t xml:space="preserve">BG-001</w:t>
            </w:r>
          </w:p>
        </w:tc>
        <w:tc>
          <w:tcPr/>
          <w:p>
            <w:pPr>
              <w:pStyle w:val="Compact"/>
            </w:pPr>
            <w:r>
              <w:t xml:space="preserve">EFRIS</w:t>
            </w:r>
          </w:p>
        </w:tc>
      </w:tr>
      <w:tr>
        <w:tc>
          <w:tcPr/>
          <w:p>
            <w:pPr>
              <w:pStyle w:val="Compact"/>
            </w:pPr>
            <w:r>
              <w:rPr>
                <w:b/>
                <w:bCs/>
              </w:rPr>
              <w:t xml:space="preserve">NFR-INTG-002</w:t>
            </w:r>
          </w:p>
        </w:tc>
        <w:tc>
          <w:tcPr/>
          <w:p>
            <w:pPr>
              <w:pStyle w:val="Compact"/>
            </w:pPr>
            <w:r>
              <w:t xml:space="preserve">Mobile money callback processing ≤ 3 seconds at P95</w:t>
            </w:r>
          </w:p>
        </w:tc>
        <w:tc>
          <w:tcPr/>
          <w:p>
            <w:pPr>
              <w:pStyle w:val="Compact"/>
            </w:pPr>
            <w:r>
              <w:t xml:space="preserve">BG-003</w:t>
            </w:r>
          </w:p>
        </w:tc>
        <w:tc>
          <w:tcPr/>
          <w:p>
            <w:pPr>
              <w:pStyle w:val="Compact"/>
            </w:pPr>
            <w:r>
              <w:t xml:space="preserve">Mobile Money</w:t>
            </w:r>
          </w:p>
        </w:tc>
      </w:tr>
      <w:tr>
        <w:tc>
          <w:tcPr/>
          <w:p>
            <w:pPr>
              <w:pStyle w:val="Compact"/>
            </w:pPr>
            <w:r>
              <w:rPr>
                <w:b/>
                <w:bCs/>
              </w:rPr>
              <w:t xml:space="preserve">NFR-INTG-003</w:t>
            </w:r>
          </w:p>
        </w:tc>
        <w:tc>
          <w:tcPr/>
          <w:p>
            <w:pPr>
              <w:pStyle w:val="Compact"/>
            </w:pPr>
            <w:r>
              <w:t xml:space="preserve">Webhook dispatch within 10 seconds at P95, zero data loss</w:t>
            </w:r>
          </w:p>
        </w:tc>
        <w:tc>
          <w:tcPr/>
          <w:p>
            <w:pPr>
              <w:pStyle w:val="Compact"/>
            </w:pPr>
            <w:r>
              <w:t xml:space="preserve">BG-004</w:t>
            </w:r>
          </w:p>
        </w:tc>
        <w:tc>
          <w:tcPr/>
          <w:p>
            <w:pPr>
              <w:pStyle w:val="Compact"/>
            </w:pPr>
            <w:r>
              <w:t xml:space="preserve">Webhook</w:t>
            </w:r>
          </w:p>
        </w:tc>
      </w:tr>
      <w:tr>
        <w:tc>
          <w:tcPr/>
          <w:p>
            <w:pPr>
              <w:pStyle w:val="Compact"/>
            </w:pPr>
            <w:r>
              <w:rPr>
                <w:b/>
                <w:bCs/>
              </w:rPr>
              <w:t xml:space="preserve">NFR-INTG-004</w:t>
            </w:r>
          </w:p>
        </w:tc>
        <w:tc>
          <w:tcPr/>
          <w:p>
            <w:pPr>
              <w:pStyle w:val="Compact"/>
            </w:pPr>
            <w:r>
              <w:t xml:space="preserve">Payloads queued for retry without blocking tenant workflow</w:t>
            </w:r>
          </w:p>
        </w:tc>
        <w:tc>
          <w:tcPr/>
          <w:p>
            <w:pPr>
              <w:pStyle w:val="Compact"/>
            </w:pPr>
            <w:r>
              <w:t xml:space="preserve">BG-001, BG-002, BG-003</w:t>
            </w:r>
          </w:p>
        </w:tc>
        <w:tc>
          <w:tcPr/>
          <w:p>
            <w:pPr>
              <w:pStyle w:val="Compact"/>
            </w:pPr>
            <w:r>
              <w:t xml:space="preserve">All</w:t>
            </w:r>
          </w:p>
        </w:tc>
      </w:tr>
      <w:tr>
        <w:tc>
          <w:tcPr/>
          <w:p>
            <w:pPr>
              <w:pStyle w:val="Compact"/>
            </w:pPr>
            <w:r>
              <w:rPr>
                <w:b/>
                <w:bCs/>
              </w:rPr>
              <w:t xml:space="preserve">NFR-INTG-005</w:t>
            </w:r>
          </w:p>
        </w:tc>
        <w:tc>
          <w:tcPr/>
          <w:p>
            <w:pPr>
              <w:pStyle w:val="Compact"/>
            </w:pPr>
            <w:r>
              <w:t xml:space="preserve">EFRIS/eTIMS offline queue durability ≥ 72 hours</w:t>
            </w:r>
          </w:p>
        </w:tc>
        <w:tc>
          <w:tcPr/>
          <w:p>
            <w:pPr>
              <w:pStyle w:val="Compact"/>
            </w:pPr>
            <w:r>
              <w:t xml:space="preserve">BG-001, BG-002</w:t>
            </w:r>
          </w:p>
        </w:tc>
        <w:tc>
          <w:tcPr/>
          <w:p>
            <w:pPr>
              <w:pStyle w:val="Compact"/>
            </w:pPr>
            <w:r>
              <w:t xml:space="preserve">EFRIS, KRA eTIMS</w:t>
            </w:r>
          </w:p>
        </w:tc>
      </w:tr>
      <w:tr>
        <w:tc>
          <w:tcPr/>
          <w:p>
            <w:pPr>
              <w:pStyle w:val="Compact"/>
            </w:pPr>
            <w:r>
              <w:rPr>
                <w:b/>
                <w:bCs/>
              </w:rPr>
              <w:t xml:space="preserve">NFR-INTG-006</w:t>
            </w:r>
          </w:p>
        </w:tc>
        <w:tc>
          <w:tcPr/>
          <w:p>
            <w:pPr>
              <w:pStyle w:val="Compact"/>
            </w:pPr>
            <w:r>
              <w:t xml:space="preserve">Webhook DLQ durability ≥ 7 days</w:t>
            </w:r>
          </w:p>
        </w:tc>
        <w:tc>
          <w:tcPr/>
          <w:p>
            <w:pPr>
              <w:pStyle w:val="Compact"/>
            </w:pPr>
            <w:r>
              <w:t xml:space="preserve">BG-004</w:t>
            </w:r>
          </w:p>
        </w:tc>
        <w:tc>
          <w:tcPr/>
          <w:p>
            <w:pPr>
              <w:pStyle w:val="Compact"/>
            </w:pPr>
            <w:r>
              <w:t xml:space="preserve">Webhook</w:t>
            </w:r>
          </w:p>
        </w:tc>
      </w:tr>
      <w:tr>
        <w:tc>
          <w:tcPr/>
          <w:p>
            <w:pPr>
              <w:pStyle w:val="Compact"/>
            </w:pPr>
            <w:r>
              <w:rPr>
                <w:b/>
                <w:bCs/>
              </w:rPr>
              <w:t xml:space="preserve">NFR-INTG-007</w:t>
            </w:r>
          </w:p>
        </w:tc>
        <w:tc>
          <w:tcPr/>
          <w:p>
            <w:pPr>
              <w:pStyle w:val="Compact"/>
            </w:pPr>
            <w:r>
              <w:t xml:space="preserve">All API credentials AES-256 encrypted at rest; never logged or returned</w:t>
            </w:r>
          </w:p>
        </w:tc>
        <w:tc>
          <w:tcPr/>
          <w:p>
            <w:pPr>
              <w:pStyle w:val="Compact"/>
            </w:pPr>
            <w:r>
              <w:t xml:space="preserve">BG-001, BG-002, BG-003</w:t>
            </w:r>
          </w:p>
        </w:tc>
        <w:tc>
          <w:tcPr/>
          <w:p>
            <w:pPr>
              <w:pStyle w:val="Compact"/>
            </w:pPr>
            <w:r>
              <w:t xml:space="preserve">All</w:t>
            </w:r>
          </w:p>
        </w:tc>
      </w:tr>
      <w:tr>
        <w:tc>
          <w:tcPr/>
          <w:p>
            <w:pPr>
              <w:pStyle w:val="Compact"/>
            </w:pPr>
            <w:r>
              <w:rPr>
                <w:b/>
                <w:bCs/>
              </w:rPr>
              <w:t xml:space="preserve">NFR-INTG-008</w:t>
            </w:r>
          </w:p>
        </w:tc>
        <w:tc>
          <w:tcPr/>
          <w:p>
            <w:pPr>
              <w:pStyle w:val="Compact"/>
            </w:pPr>
            <w:r>
              <w:t xml:space="preserve">All outbound communications use TLS 1.2+</w:t>
            </w:r>
          </w:p>
        </w:tc>
        <w:tc>
          <w:tcPr/>
          <w:p>
            <w:pPr>
              <w:pStyle w:val="Compact"/>
            </w:pPr>
            <w:r>
              <w:t xml:space="preserve">BG-001, BG-002, BG-003, BG-004</w:t>
            </w:r>
          </w:p>
        </w:tc>
        <w:tc>
          <w:tcPr/>
          <w:p>
            <w:pPr>
              <w:pStyle w:val="Compact"/>
            </w:pPr>
            <w:r>
              <w:t xml:space="preserve">All</w:t>
            </w:r>
          </w:p>
        </w:tc>
      </w:tr>
      <w:tr>
        <w:tc>
          <w:tcPr/>
          <w:p>
            <w:pPr>
              <w:pStyle w:val="Compact"/>
            </w:pPr>
            <w:r>
              <w:rPr>
                <w:b/>
                <w:bCs/>
              </w:rPr>
              <w:t xml:space="preserve">NFR-INTG-009</w:t>
            </w:r>
          </w:p>
        </w:tc>
        <w:tc>
          <w:tcPr/>
          <w:p>
            <w:pPr>
              <w:pStyle w:val="Compact"/>
            </w:pPr>
            <w:r>
              <w:t xml:space="preserve">All webhook payloads signed with HMAC-SHA256</w:t>
            </w:r>
          </w:p>
        </w:tc>
        <w:tc>
          <w:tcPr/>
          <w:p>
            <w:pPr>
              <w:pStyle w:val="Compact"/>
            </w:pPr>
            <w:r>
              <w:t xml:space="preserve">BG-004</w:t>
            </w:r>
          </w:p>
        </w:tc>
        <w:tc>
          <w:tcPr/>
          <w:p>
            <w:pPr>
              <w:pStyle w:val="Compact"/>
            </w:pPr>
            <w:r>
              <w:t xml:space="preserve">Webhook</w:t>
            </w:r>
          </w:p>
        </w:tc>
      </w:tr>
      <w:tr>
        <w:tc>
          <w:tcPr/>
          <w:p>
            <w:pPr>
              <w:pStyle w:val="Compact"/>
            </w:pPr>
            <w:r>
              <w:rPr>
                <w:b/>
                <w:bCs/>
              </w:rPr>
              <w:t xml:space="preserve">NFR-INTG-010</w:t>
            </w:r>
          </w:p>
        </w:tc>
        <w:tc>
          <w:tcPr/>
          <w:p>
            <w:pPr>
              <w:pStyle w:val="Compact"/>
            </w:pPr>
            <w:r>
              <w:t xml:space="preserve">Concurrent multi-tenant submissions within P95 latency threshold</w:t>
            </w:r>
          </w:p>
        </w:tc>
        <w:tc>
          <w:tcPr/>
          <w:p>
            <w:pPr>
              <w:pStyle w:val="Compact"/>
            </w:pPr>
            <w:r>
              <w:t xml:space="preserve">BG-001, BG-002</w:t>
            </w:r>
          </w:p>
        </w:tc>
        <w:tc>
          <w:tcPr/>
          <w:p>
            <w:pPr>
              <w:pStyle w:val="Compact"/>
            </w:pPr>
            <w:r>
              <w:t xml:space="preserve">EFRIS, KRA eTIMS</w:t>
            </w:r>
          </w:p>
        </w:tc>
      </w:tr>
      <w:tr>
        <w:tc>
          <w:tcPr/>
          <w:p>
            <w:pPr>
              <w:pStyle w:val="Compact"/>
            </w:pPr>
            <w:r>
              <w:rPr>
                <w:b/>
                <w:bCs/>
              </w:rPr>
              <w:t xml:space="preserve">NFR-INTG-011</w:t>
            </w:r>
          </w:p>
        </w:tc>
        <w:tc>
          <w:tcPr/>
          <w:p>
            <w:pPr>
              <w:pStyle w:val="Compact"/>
            </w:pPr>
            <w:r>
              <w:t xml:space="preserve">Webhook engine supports ≥ 10,000 dispatches/minute</w:t>
            </w:r>
          </w:p>
        </w:tc>
        <w:tc>
          <w:tcPr/>
          <w:p>
            <w:pPr>
              <w:pStyle w:val="Compact"/>
            </w:pPr>
            <w:r>
              <w:t xml:space="preserve">BG-004</w:t>
            </w:r>
          </w:p>
        </w:tc>
        <w:tc>
          <w:tcPr/>
          <w:p>
            <w:pPr>
              <w:pStyle w:val="Compact"/>
            </w:pPr>
            <w:r>
              <w:t xml:space="preserve">Webhook</w:t>
            </w:r>
          </w:p>
        </w:tc>
      </w:tr>
      <w:tr>
        <w:tc>
          <w:tcPr/>
          <w:p>
            <w:pPr>
              <w:pStyle w:val="Compact"/>
            </w:pPr>
            <w:r>
              <w:rPr>
                <w:b/>
                <w:bCs/>
              </w:rPr>
              <w:t xml:space="preserve">NFR-INTG-012</w:t>
            </w:r>
          </w:p>
        </w:tc>
        <w:tc>
          <w:tcPr/>
          <w:p>
            <w:pPr>
              <w:pStyle w:val="Compact"/>
            </w:pPr>
            <w:r>
              <w:t xml:space="preserve">Every transaction logged with correlation ID within 5 minutes</w:t>
            </w:r>
          </w:p>
        </w:tc>
        <w:tc>
          <w:tcPr/>
          <w:p>
            <w:pPr>
              <w:pStyle w:val="Compact"/>
            </w:pPr>
            <w:r>
              <w:t xml:space="preserve">BG-001, BG-002, BG-003, BG-004</w:t>
            </w:r>
          </w:p>
        </w:tc>
        <w:tc>
          <w:tcPr/>
          <w:p>
            <w:pPr>
              <w:pStyle w:val="Compact"/>
            </w:pPr>
            <w:r>
              <w:t xml:space="preserve">All</w:t>
            </w:r>
          </w:p>
        </w:tc>
      </w:tr>
      <w:tr>
        <w:tc>
          <w:tcPr/>
          <w:p>
            <w:pPr>
              <w:pStyle w:val="Compact"/>
            </w:pPr>
            <w:r>
              <w:rPr>
                <w:b/>
                <w:bCs/>
              </w:rPr>
              <w:t xml:space="preserve">NFR-INTG-013</w:t>
            </w:r>
          </w:p>
        </w:tc>
        <w:tc>
          <w:tcPr/>
          <w:p>
            <w:pPr>
              <w:pStyle w:val="Compact"/>
            </w:pPr>
            <w:r>
              <w:t xml:space="preserve">NSSF files retained in immutable storage for ≥ 7 years</w:t>
            </w:r>
          </w:p>
        </w:tc>
        <w:tc>
          <w:tcPr/>
          <w:p>
            <w:pPr>
              <w:pStyle w:val="Compact"/>
            </w:pPr>
            <w:r>
              <w:t xml:space="preserve">BG-001, BG-002</w:t>
            </w:r>
          </w:p>
        </w:tc>
        <w:tc>
          <w:tcPr/>
          <w:p>
            <w:pPr>
              <w:pStyle w:val="Compact"/>
            </w:pPr>
            <w:r>
              <w:t xml:space="preserve">NSSF</w:t>
            </w:r>
          </w:p>
        </w:tc>
      </w:tr>
    </w:tbl>
    <w:bookmarkEnd w:id="63"/>
    <w:bookmarkStart w:id="64" w:name="X3730253516f92012ce177f8f7dcc3ac2f8f83cc"/>
    <w:p>
      <w:pPr>
        <w:pStyle w:val="Heading2"/>
      </w:pPr>
      <w:r>
        <w:t xml:space="preserve">8.4 Open Context Gaps</w:t>
      </w:r>
    </w:p>
    <w:p>
      <w:pPr>
        <w:pStyle w:val="FirstParagraph"/>
      </w:pPr>
      <w:r>
        <w:t xml:space="preserve">The following context gaps must be resolved before this document is baselined for implementation: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 ID</w:t>
            </w:r>
          </w:p>
        </w:tc>
        <w:tc>
          <w:tcPr/>
          <w:p>
            <w:pPr>
              <w:pStyle w:val="Compact"/>
            </w:pPr>
            <w:r>
              <w:t xml:space="preserve">Description</w:t>
            </w:r>
          </w:p>
        </w:tc>
        <w:tc>
          <w:tcPr/>
          <w:p>
            <w:pPr>
              <w:pStyle w:val="Compact"/>
            </w:pPr>
            <w:r>
              <w:t xml:space="preserve">Affected Requirements</w:t>
            </w:r>
          </w:p>
        </w:tc>
      </w:tr>
      <w:tr>
        <w:tc>
          <w:tcPr/>
          <w:p>
            <w:pPr>
              <w:pStyle w:val="Compact"/>
            </w:pPr>
            <w:r>
              <w:t xml:space="preserve">GAP-001</w:t>
            </w:r>
          </w:p>
        </w:tc>
        <w:tc>
          <w:tcPr/>
          <w:p>
            <w:pPr>
              <w:pStyle w:val="Compact"/>
            </w:pPr>
            <w:r>
              <w:t xml:space="preserve">EFRIS API endpoint URL and authentication scheme not confirmed</w:t>
            </w:r>
          </w:p>
        </w:tc>
        <w:tc>
          <w:tcPr/>
          <w:p>
            <w:pPr>
              <w:pStyle w:val="Compact"/>
            </w:pPr>
            <w:r>
              <w:t xml:space="preserve">FR-INTG-001 through FR-INTG-020, NFR-INTG-001</w:t>
            </w:r>
          </w:p>
        </w:tc>
      </w:tr>
      <w:tr>
        <w:tc>
          <w:tcPr/>
          <w:p>
            <w:pPr>
              <w:pStyle w:val="Compact"/>
            </w:pPr>
            <w:r>
              <w:t xml:space="preserve">GAP-009</w:t>
            </w:r>
          </w:p>
        </w:tc>
        <w:tc>
          <w:tcPr/>
          <w:p>
            <w:pPr>
              <w:pStyle w:val="Compact"/>
            </w:pPr>
            <w:r>
              <w:t xml:space="preserve">KRA eTIMS API endpoint URL, authentication scheme, and payload schema version not confirmed</w:t>
            </w:r>
          </w:p>
        </w:tc>
        <w:tc>
          <w:tcPr/>
          <w:p>
            <w:pPr>
              <w:pStyle w:val="Compact"/>
            </w:pPr>
            <w:r>
              <w:t xml:space="preserve">FR-INTG-046 through FR-INTG-062, NFR-INTG-001</w:t>
            </w:r>
          </w:p>
        </w:tc>
      </w:tr>
      <w:tr>
        <w:tc>
          <w:tcPr/>
          <w:p>
            <w:pPr>
              <w:pStyle w:val="Compact"/>
            </w:pPr>
            <w:r>
              <w:t xml:space="preserve">GAP-013</w:t>
            </w:r>
          </w:p>
        </w:tc>
        <w:tc>
          <w:tcPr/>
          <w:p>
            <w:pPr>
              <w:pStyle w:val="Compact"/>
            </w:pPr>
            <w:r>
              <w:t xml:space="preserve">NSSF Uganda and NSSF Kenya contribution file format, API endpoint, authentication, and SFTP server details not confirmed</w:t>
            </w:r>
          </w:p>
        </w:tc>
        <w:tc>
          <w:tcPr/>
          <w:p>
            <w:pPr>
              <w:pStyle w:val="Compact"/>
            </w:pPr>
            <w:r>
              <w:t xml:space="preserve">FR-INTG-063 through FR-INTG-072, NFR-INTG-013</w:t>
            </w:r>
          </w:p>
        </w:tc>
      </w:tr>
    </w:tbl>
    <w:bookmarkEnd w:id="64"/>
    <w:bookmarkEnd w:id="65"/>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developer.safaricom.co.ke" TargetMode="External" /><Relationship Type="http://schemas.openxmlformats.org/officeDocument/2006/relationships/hyperlink" Id="rId15" Target="https://momodeveloper.mtn.com" TargetMode="Externa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6" Target="https://developer.safaricom.co.ke" TargetMode="External" /><Relationship Type="http://schemas.openxmlformats.org/officeDocument/2006/relationships/hyperlink" Id="rId15" Target="https://momodeveloper.mtn.com" TargetMode="Externa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Software Requirements Specification: Platform Integration Layer</dc:title>
  <dc:creator/>
  <cp:keywords/>
  <dcterms:created xsi:type="dcterms:W3CDTF">2026-08-08T22:03:04Z</dcterms:created>
  <dcterms:modified xsi:type="dcterms:W3CDTF">2026-08-08T22:03:04Z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