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Model and Compliance Framework</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1" w:name="security-model-and-compliance-framework"/>
    <w:p>
      <w:pPr>
        <w:pStyle w:val="Heading1"/>
      </w:pPr>
      <w:r>
        <w:t xml:space="preserve">Security Model and Compliance Framework</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11"/>
    <w:bookmarkStart w:id="20" w:name="security-design-philosophy"/>
    <w:p>
      <w:pPr>
        <w:pStyle w:val="Heading1"/>
      </w:pPr>
      <w:r>
        <w:t xml:space="preserve">Security Design Philosophy</w:t>
      </w:r>
    </w:p>
    <w:bookmarkStart w:id="17" w:name="X4c3c767a8d5ee16e2a635a1a4a10fc6db37ee20"/>
    <w:p>
      <w:pPr>
        <w:pStyle w:val="Heading2"/>
      </w:pPr>
      <w:r>
        <w:t xml:space="preserve">1.1 Governing Principles</w:t>
      </w:r>
    </w:p>
    <w:p>
      <w:pPr>
        <w:pStyle w:val="FirstParagraph"/>
      </w:pPr>
      <w:r>
        <w:t xml:space="preserve">Security in Kraal Code is not a layer applied after design — it is a design constraint applied before every architectural decision. The following five principles govern all security controls in this platform.</w:t>
      </w:r>
    </w:p>
    <w:bookmarkStart w:id="12" w:name="X02da160d7d12980a298cb114bcde881fbacb1ff"/>
    <w:p>
      <w:pPr>
        <w:pStyle w:val="Heading3"/>
      </w:pPr>
      <w:r>
        <w:t xml:space="preserve">1.1.1 Defence in Depth</w:t>
      </w:r>
    </w:p>
    <w:p>
      <w:pPr>
        <w:pStyle w:val="FirstParagraph"/>
      </w:pPr>
      <w:r>
        <w:t xml:space="preserve">The system shall enforce multiple independent security controls at each tier: network, application, data, and audit. The failure of any single control shall not expose tenant data or enable unauthorised access. Controls include, but are not limited to: transport-layer encryption, application-layer authentication, database-level tenant isolation, and an immutable audit trail.</w:t>
      </w:r>
    </w:p>
    <w:bookmarkEnd w:id="12"/>
    <w:bookmarkStart w:id="13" w:name="X9662b4e010751836ed402d2101dbfe505807be2"/>
    <w:p>
      <w:pPr>
        <w:pStyle w:val="Heading3"/>
      </w:pPr>
      <w:r>
        <w:t xml:space="preserve">1.1.2 Least Privilege</w:t>
      </w:r>
    </w:p>
    <w:p>
      <w:pPr>
        <w:pStyle w:val="FirstParagraph"/>
      </w:pPr>
      <w:r>
        <w:t xml:space="preserve">Every user, service account, and database user shall hold the minimum permissions required to perform its defined function. The application database user shall hold SELECT, INSERT, UPDATE, and DELETE on operational tables only. It shall hold INSERT-only access on the</w:t>
      </w:r>
      <w:r>
        <w:t xml:space="preserve"> </w:t>
      </w:r>
      <w:r>
        <w:rPr>
          <w:rStyle w:val="VerbatimChar"/>
        </w:rPr>
        <w:t xml:space="preserve">audit_log</w:t>
      </w:r>
      <w:r>
        <w:t xml:space="preserve"> </w:t>
      </w:r>
      <w:r>
        <w:t xml:space="preserve">table. It shall hold no DROP, ALTER, TRUNCATE, or GRANT permissions in any production environment.</w:t>
      </w:r>
    </w:p>
    <w:bookmarkEnd w:id="13"/>
    <w:bookmarkStart w:id="14" w:name="Xa6042ceb6fe40854f65bf6126726055ad79c08a"/>
    <w:p>
      <w:pPr>
        <w:pStyle w:val="Heading3"/>
      </w:pPr>
      <w:r>
        <w:t xml:space="preserve">1.1.3 Zero Trust Between Tenant Boundaries</w:t>
      </w:r>
    </w:p>
    <w:p>
      <w:pPr>
        <w:pStyle w:val="FirstParagraph"/>
      </w:pPr>
      <w:r>
        <w:t xml:space="preserve">No tenant context shall be inferred from request parameters, URL segments, HTTP headers, or request body fields. The system shall resolve tenant identity exclusively from server-side session state or cryptographically verified token claims. Every service layer invocation shall receive</w:t>
      </w:r>
      <w:r>
        <w:t xml:space="preserve"> </w:t>
      </w:r>
      <w:r>
        <w:rPr>
          <w:rStyle w:val="VerbatimChar"/>
        </w:rPr>
        <w:t xml:space="preserve">$tenantId</w:t>
      </w:r>
      <w:r>
        <w:t xml:space="preserve"> </w:t>
      </w:r>
      <w:r>
        <w:t xml:space="preserve">as an explicit, server-resolved parameter — never from caller-supplied input.</w:t>
      </w:r>
    </w:p>
    <w:bookmarkEnd w:id="14"/>
    <w:bookmarkStart w:id="15" w:name="Xe494ff2bc60216fe577eda28ffe171f1bd7bcbe"/>
    <w:p>
      <w:pPr>
        <w:pStyle w:val="Heading3"/>
      </w:pPr>
      <w:r>
        <w:t xml:space="preserve">1.1.4 Immutable Audit Trail</w:t>
      </w:r>
    </w:p>
    <w:p>
      <w:pPr>
        <w:pStyle w:val="FirstParagraph"/>
      </w:pPr>
      <w:r>
        <w:t xml:space="preserve">Every state-changing operation — create, update, delete, approve, reject, impersonate — shall produce an audit record that cannot be modified or deleted by any database user, application user, or super administrator. The</w:t>
      </w:r>
      <w:r>
        <w:t xml:space="preserve"> </w:t>
      </w:r>
      <w:r>
        <w:rPr>
          <w:rStyle w:val="VerbatimChar"/>
        </w:rPr>
        <w:t xml:space="preserve">audit_log</w:t>
      </w:r>
      <w:r>
        <w:t xml:space="preserve"> </w:t>
      </w:r>
      <w:r>
        <w:t xml:space="preserve">table shall be INSERT-only, enforced at the database privilege level.</w:t>
      </w:r>
    </w:p>
    <w:bookmarkEnd w:id="15"/>
    <w:bookmarkStart w:id="16" w:name="Xd8eb0342d6974ebdfef6b5c3e71ca412c0733ef"/>
    <w:p>
      <w:pPr>
        <w:pStyle w:val="Heading3"/>
      </w:pPr>
      <w:r>
        <w:t xml:space="preserve">1.1.5 OWASP Top 10 Compliance</w:t>
      </w:r>
    </w:p>
    <w:p>
      <w:pPr>
        <w:pStyle w:val="FirstParagraph"/>
      </w:pPr>
      <w:r>
        <w:t xml:space="preserve">The system shall address all ten vulnerability categories defined in the Open Web Application Security Project (OWASP) Top 10 (2021 edition). Section 8 of this document maps each category to the specific controls implemented.</w:t>
      </w:r>
    </w:p>
    <w:bookmarkEnd w:id="16"/>
    <w:bookmarkEnd w:id="17"/>
    <w:bookmarkStart w:id="18" w:name="X6b9e8079ec7efb4ca8e83a61b6e88bfc40cad0f"/>
    <w:p>
      <w:pPr>
        <w:pStyle w:val="Heading2"/>
      </w:pPr>
      <w:r>
        <w:t xml:space="preserve">1.2 Security Requirements Are Functional Requirements</w:t>
      </w:r>
    </w:p>
    <w:p>
      <w:pPr>
        <w:pStyle w:val="FirstParagraph"/>
      </w:pPr>
      <w:r>
        <w:t xml:space="preserve">Security requirements in this document are classified as functional requirements, not optional non-functional requirements (NFRs). A security requirement not met is a feature not delivered. A critical-severity security defect — defined as any defect that permits cross-tenant data access, audit log tampering, or privilege escalation — blocks the release of the affected module. No exception process exists for critical security defects.</w:t>
      </w:r>
    </w:p>
    <w:bookmarkEnd w:id="18"/>
    <w:bookmarkStart w:id="19" w:name="Xd846aa3542f1a0e85d0e0eae891c329dd8c88e5"/>
    <w:p>
      <w:pPr>
        <w:pStyle w:val="Heading2"/>
      </w:pPr>
      <w:r>
        <w:t xml:space="preserve">1.3 Applicable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Scope</w:t>
            </w:r>
          </w:p>
        </w:tc>
      </w:tr>
      <w:tr>
        <w:tc>
          <w:tcPr/>
          <w:p>
            <w:pPr>
              <w:pStyle w:val="Compact"/>
            </w:pPr>
            <w:r>
              <w:t xml:space="preserve">OWASP Top 10 (2021)</w:t>
            </w:r>
          </w:p>
        </w:tc>
        <w:tc>
          <w:tcPr/>
          <w:p>
            <w:pPr>
              <w:pStyle w:val="Compact"/>
            </w:pPr>
            <w:r>
              <w:t xml:space="preserve">Web and Application Programming Interface (API) security</w:t>
            </w:r>
          </w:p>
        </w:tc>
      </w:tr>
      <w:tr>
        <w:tc>
          <w:tcPr/>
          <w:p>
            <w:pPr>
              <w:pStyle w:val="Compact"/>
            </w:pPr>
            <w:r>
              <w:t xml:space="preserve">NIST Special Publication (SP) 800-63B</w:t>
            </w:r>
          </w:p>
        </w:tc>
        <w:tc>
          <w:tcPr/>
          <w:p>
            <w:pPr>
              <w:pStyle w:val="Compact"/>
            </w:pPr>
            <w:r>
              <w:t xml:space="preserve">Authentication assurance levels, password policy, two-factor authentication (2FA)</w:t>
            </w:r>
          </w:p>
        </w:tc>
      </w:tr>
      <w:tr>
        <w:tc>
          <w:tcPr/>
          <w:p>
            <w:pPr>
              <w:pStyle w:val="Compact"/>
            </w:pPr>
            <w:r>
              <w:t xml:space="preserve">Uganda Data Protection and Privacy Act 2019</w:t>
            </w:r>
          </w:p>
        </w:tc>
        <w:tc>
          <w:tcPr/>
          <w:p>
            <w:pPr>
              <w:pStyle w:val="Compact"/>
            </w:pPr>
            <w:r>
              <w:t xml:space="preserve">Data retention, employee data rights, sub-processor obligations</w:t>
            </w:r>
          </w:p>
        </w:tc>
      </w:tr>
      <w:tr>
        <w:tc>
          <w:tcPr/>
          <w:p>
            <w:pPr>
              <w:pStyle w:val="Compact"/>
            </w:pPr>
            <w:r>
              <w:t xml:space="preserve">ISO/IEC 27001:2022</w:t>
            </w:r>
          </w:p>
        </w:tc>
        <w:tc>
          <w:tcPr/>
          <w:p>
            <w:pPr>
              <w:pStyle w:val="Compact"/>
            </w:pPr>
            <w:r>
              <w:t xml:space="preserve">Information security management — audit and compliance baseline</w:t>
            </w:r>
          </w:p>
        </w:tc>
      </w:tr>
      <w:tr>
        <w:tc>
          <w:tcPr/>
          <w:p>
            <w:pPr>
              <w:pStyle w:val="Compact"/>
            </w:pPr>
            <w:r>
              <w:t xml:space="preserve">NITA-U SaaS Guidelines</w:t>
            </w:r>
          </w:p>
        </w:tc>
        <w:tc>
          <w:tcPr/>
          <w:p>
            <w:pPr>
              <w:pStyle w:val="Compact"/>
            </w:pPr>
            <w:r>
              <w:t xml:space="preserve">Cloud Software as a Service (SaaS) provider obligations in Uganda</w:t>
            </w:r>
          </w:p>
        </w:tc>
      </w:tr>
      <w:tr>
        <w:tc>
          <w:tcPr/>
          <w:p>
            <w:pPr>
              <w:pStyle w:val="Compact"/>
            </w:pPr>
            <w:r>
              <w:t xml:space="preserve">IEEE Std 830-1998</w:t>
            </w:r>
          </w:p>
        </w:tc>
        <w:tc>
          <w:tcPr/>
          <w:p>
            <w:pPr>
              <w:pStyle w:val="Compact"/>
            </w:pPr>
            <w:r>
              <w:t xml:space="preserve">Requirement verifiability criteria</w:t>
            </w:r>
          </w:p>
        </w:tc>
      </w:tr>
    </w:tbl>
    <w:bookmarkEnd w:id="19"/>
    <w:bookmarkEnd w:id="20"/>
    <w:bookmarkStart w:id="34" w:name="authentication-model"/>
    <w:p>
      <w:pPr>
        <w:pStyle w:val="Heading1"/>
      </w:pPr>
      <w:r>
        <w:t xml:space="preserve">Authentication Model</w:t>
      </w:r>
    </w:p>
    <w:bookmarkStart w:id="21" w:name="Xaaedca1e1f7f8bafe093120ca8334d9cbfaef13"/>
    <w:p>
      <w:pPr>
        <w:pStyle w:val="Heading2"/>
      </w:pPr>
      <w:r>
        <w:t xml:space="preserve">2.1 Overview</w:t>
      </w:r>
    </w:p>
    <w:p>
      <w:pPr>
        <w:pStyle w:val="FirstParagraph"/>
      </w:pPr>
      <w:r>
        <w:t xml:space="preserve">Kraal Code implements two distinct authentication models: session-based authentication for web clients and JSON Web Token (JWT) Bearer token authentication for mobile clients. Both models are tenant-scoped — every authenticated session or token is bound to a single</w:t>
      </w:r>
      <w:r>
        <w:t xml:space="preserve"> </w:t>
      </w:r>
      <w:r>
        <w:rPr>
          <w:rStyle w:val="VerbatimChar"/>
        </w:rPr>
        <w:t xml:space="preserve">tenant_id</w:t>
      </w:r>
      <w:r>
        <w:t xml:space="preserve"> </w:t>
      </w:r>
      <w:r>
        <w:t xml:space="preserve">resolved on the server at login.</w:t>
      </w:r>
    </w:p>
    <w:bookmarkEnd w:id="21"/>
    <w:bookmarkStart w:id="27" w:name="X4d46b260d598a0f41c1f143aa6dd640f8f291e7"/>
    <w:p>
      <w:pPr>
        <w:pStyle w:val="Heading2"/>
      </w:pPr>
      <w:r>
        <w:t xml:space="preserve">2.2 Web Session-Based Authentication</w:t>
      </w:r>
    </w:p>
    <w:p>
      <w:pPr>
        <w:pStyle w:val="FirstParagraph"/>
      </w:pPr>
      <w:r>
        <w:t xml:space="preserve">Web session-based authentication applies to the Tenant Workspace (</w:t>
      </w:r>
      <w:r>
        <w:rPr>
          <w:rStyle w:val="VerbatimChar"/>
        </w:rPr>
        <w:t xml:space="preserve">/public/</w:t>
      </w:r>
      <w:r>
        <w:t xml:space="preserve">) and the Super Admin Panel (</w:t>
      </w:r>
      <w:r>
        <w:rPr>
          <w:rStyle w:val="VerbatimChar"/>
        </w:rPr>
        <w:t xml:space="preserve">/public/superadmin/</w:t>
      </w:r>
      <w:r>
        <w:t xml:space="preserve">).</w:t>
      </w:r>
    </w:p>
    <w:bookmarkStart w:id="22" w:name="X2317ef69cab3817f2559843119b80ad5fec3f70"/>
    <w:p>
      <w:pPr>
        <w:pStyle w:val="Heading3"/>
      </w:pPr>
      <w:r>
        <w:t xml:space="preserve">2.2.1 Session Cookie Specification</w:t>
      </w:r>
    </w:p>
    <w:p>
      <w:pPr>
        <w:pStyle w:val="FirstParagraph"/>
      </w:pPr>
      <w:r>
        <w:t xml:space="preserve">The system shall issue a session cookie named</w:t>
      </w:r>
      <w:r>
        <w:t xml:space="preserve"> </w:t>
      </w:r>
      <w:r>
        <w:rPr>
          <w:rStyle w:val="VerbatimChar"/>
        </w:rPr>
        <w:t xml:space="preserve">KRAAL_CODE_SESSION</w:t>
      </w:r>
      <w:r>
        <w:t xml:space="preserve"> </w:t>
      </w:r>
      <w:r>
        <w:t xml:space="preserve">upon successful authentication. The cookie shall be configured with all of the following attributes:</w:t>
      </w:r>
    </w:p>
    <w:p>
      <w:pPr>
        <w:pStyle w:val="Compact"/>
        <w:numPr>
          <w:ilvl w:val="0"/>
          <w:numId w:val="1001"/>
        </w:numPr>
      </w:pPr>
      <w:r>
        <w:rPr>
          <w:rStyle w:val="VerbatimChar"/>
        </w:rPr>
        <w:t xml:space="preserve">HttpOnly</w:t>
      </w:r>
      <w:r>
        <w:t xml:space="preserve"> </w:t>
      </w:r>
      <w:r>
        <w:t xml:space="preserve">— the cookie shall not be accessible to client-side JavaScript.</w:t>
      </w:r>
    </w:p>
    <w:p>
      <w:pPr>
        <w:pStyle w:val="Compact"/>
        <w:numPr>
          <w:ilvl w:val="0"/>
          <w:numId w:val="1001"/>
        </w:numPr>
      </w:pPr>
      <w:r>
        <w:rPr>
          <w:rStyle w:val="VerbatimChar"/>
        </w:rPr>
        <w:t xml:space="preserve">Secure</w:t>
      </w:r>
      <w:r>
        <w:t xml:space="preserve"> </w:t>
      </w:r>
      <w:r>
        <w:t xml:space="preserve">— the cookie shall be transmitted only over HTTPS connections.</w:t>
      </w:r>
    </w:p>
    <w:p>
      <w:pPr>
        <w:pStyle w:val="Compact"/>
        <w:numPr>
          <w:ilvl w:val="0"/>
          <w:numId w:val="1001"/>
        </w:numPr>
      </w:pPr>
      <w:r>
        <w:rPr>
          <w:rStyle w:val="VerbatimChar"/>
        </w:rPr>
        <w:t xml:space="preserve">SameSite=Strict</w:t>
      </w:r>
      <w:r>
        <w:t xml:space="preserve"> </w:t>
      </w:r>
      <w:r>
        <w:t xml:space="preserve">— the cookie shall not be sent on cross-site requests, preventing cross-site request forgery (CSRF) via cookie leakage.</w:t>
      </w:r>
    </w:p>
    <w:p>
      <w:pPr>
        <w:pStyle w:val="Compact"/>
        <w:numPr>
          <w:ilvl w:val="0"/>
          <w:numId w:val="1001"/>
        </w:numPr>
      </w:pPr>
      <w:r>
        <w:t xml:space="preserve">No explicit domain scoping broader than the serving domain.</w:t>
      </w:r>
    </w:p>
    <w:bookmarkEnd w:id="22"/>
    <w:bookmarkStart w:id="23" w:name="X5c21fda5cbfafd59e9b55260a92950d059ae401"/>
    <w:p>
      <w:pPr>
        <w:pStyle w:val="Heading3"/>
      </w:pPr>
      <w:r>
        <w:t xml:space="preserve">2.2.2 Server-Side Session Binding</w:t>
      </w:r>
    </w:p>
    <w:p>
      <w:pPr>
        <w:pStyle w:val="FirstParagraph"/>
      </w:pPr>
      <w:r>
        <w:t xml:space="preserve">The system shall store</w:t>
      </w:r>
      <w:r>
        <w:t xml:space="preserve"> </w:t>
      </w:r>
      <w:r>
        <w:rPr>
          <w:rStyle w:val="VerbatimChar"/>
        </w:rPr>
        <w:t xml:space="preserve">tenant_id</w:t>
      </w:r>
      <w:r>
        <w:t xml:space="preserve"> </w:t>
      </w:r>
      <w:r>
        <w:t xml:space="preserve">and</w:t>
      </w:r>
      <w:r>
        <w:t xml:space="preserve"> </w:t>
      </w:r>
      <w:r>
        <w:rPr>
          <w:rStyle w:val="VerbatimChar"/>
        </w:rPr>
        <w:t xml:space="preserve">user_id</w:t>
      </w:r>
      <w:r>
        <w:t xml:space="preserve"> </w:t>
      </w:r>
      <w:r>
        <w:t xml:space="preserve">exclusively in server-side session storage. These values shall not be read from, echoed from, or validated against any value in the request URI, query parameters, POST body, or HTTP headers. Session data shall be the single authoritative source of tenant and user identity for all web requests.</w:t>
      </w:r>
    </w:p>
    <w:bookmarkEnd w:id="23"/>
    <w:bookmarkStart w:id="24" w:name="Xc3e821ded6340cd4893c1c2e2ba90ee2d688813"/>
    <w:p>
      <w:pPr>
        <w:pStyle w:val="Heading3"/>
      </w:pPr>
      <w:r>
        <w:t xml:space="preserve">2.2.3 CSRF Protection</w:t>
      </w:r>
    </w:p>
    <w:p>
      <w:pPr>
        <w:pStyle w:val="FirstParagraph"/>
      </w:pPr>
      <w:r>
        <w:t xml:space="preserve">All state-changing web API requests (</w:t>
      </w:r>
      <w:r>
        <w:rPr>
          <w:rStyle w:val="VerbatimChar"/>
        </w:rPr>
        <w:t xml:space="preserve">/public/api/</w:t>
      </w:r>
      <w:r>
        <w:t xml:space="preserve">,</w:t>
      </w:r>
      <w:r>
        <w:t xml:space="preserve"> </w:t>
      </w:r>
      <w:r>
        <w:rPr>
          <w:rStyle w:val="VerbatimChar"/>
        </w:rPr>
        <w:t xml:space="preserve">/public/superadmin/api/</w:t>
      </w:r>
      <w:r>
        <w:t xml:space="preserve">) shall require a valid</w:t>
      </w:r>
      <w:r>
        <w:t xml:space="preserve"> </w:t>
      </w:r>
      <w:r>
        <w:rPr>
          <w:rStyle w:val="VerbatimChar"/>
        </w:rPr>
        <w:t xml:space="preserve">X-CSRF-Token</w:t>
      </w:r>
      <w:r>
        <w:t xml:space="preserve"> </w:t>
      </w:r>
      <w:r>
        <w:t xml:space="preserve">header. The system shall validate the token against the current session. Requests missing or presenting an invalid token shall receive HTTP 403 and shall not be processed.</w:t>
      </w:r>
    </w:p>
    <w:bookmarkEnd w:id="24"/>
    <w:bookmarkStart w:id="25" w:name="X19a97e21393a744df51a183b55891e8533574ec"/>
    <w:p>
      <w:pPr>
        <w:pStyle w:val="Heading3"/>
      </w:pPr>
      <w:r>
        <w:t xml:space="preserve">2.2.4 Session Invalidation</w:t>
      </w:r>
    </w:p>
    <w:p>
      <w:pPr>
        <w:pStyle w:val="FirstParagraph"/>
      </w:pPr>
      <w:r>
        <w:t xml:space="preserve">The system shall invalidate all active sessions for a user within 5 seconds of an administrator disabling that user's account. This requirement is stated as</w:t>
      </w:r>
      <w:r>
        <w:t xml:space="preserve"> </w:t>
      </w:r>
      <w:r>
        <w:rPr>
          <w:b/>
          <w:bCs/>
        </w:rPr>
        <w:t xml:space="preserve">NFR-SEC-003</w:t>
      </w:r>
      <w:r>
        <w:t xml:space="preserve"> </w:t>
      </w:r>
      <w:r>
        <w:t xml:space="preserve">in</w:t>
      </w:r>
      <w:r>
        <w:t xml:space="preserve"> </w:t>
      </w:r>
      <w:r>
        <w:rPr>
          <w:rStyle w:val="VerbatimChar"/>
        </w:rPr>
        <w:t xml:space="preserve">_context/domain.md</w:t>
      </w:r>
      <w:r>
        <w:t xml:space="preserve">. Session invalidation shall also be triggered by: explicit logout, role change by an administrator, and tenant deactivation by a super administrator.</w:t>
      </w:r>
    </w:p>
    <w:bookmarkEnd w:id="25"/>
    <w:bookmarkStart w:id="26" w:name="X5b9d308038de84bce4fd1ba02fe792eca677dee"/>
    <w:p>
      <w:pPr>
        <w:pStyle w:val="Heading3"/>
      </w:pPr>
      <w:r>
        <w:t xml:space="preserve">2.2.5 Session Timeout</w:t>
      </w:r>
    </w:p>
    <w:p>
      <w:pPr>
        <w:pStyle w:val="FirstParagraph"/>
      </w:pPr>
      <w:r>
        <w:t xml:space="preserve">The system shall expire an idle web session after a configurable inactivity period. The default inactivity timeout shall be 30 minutes. The maximum configurable timeout shall be 8 hours. Timeout values shall be stored in the tenant configuration table and shall not be overridable by the end user.</w:t>
      </w:r>
    </w:p>
    <w:bookmarkEnd w:id="26"/>
    <w:bookmarkEnd w:id="27"/>
    <w:bookmarkStart w:id="33" w:name="X0593d71b1d4be44dc18c02f0df5087c26b32ab2"/>
    <w:p>
      <w:pPr>
        <w:pStyle w:val="Heading2"/>
      </w:pPr>
      <w:r>
        <w:t xml:space="preserve">2.3 Mobile JWT Bearer Token Authentication</w:t>
      </w:r>
    </w:p>
    <w:p>
      <w:pPr>
        <w:pStyle w:val="FirstParagraph"/>
      </w:pPr>
      <w:r>
        <w:t xml:space="preserve">JWT Bearer token authentication applies to all mobile API endpoints at</w:t>
      </w:r>
      <w:r>
        <w:t xml:space="preserve"> </w:t>
      </w:r>
      <w:r>
        <w:rPr>
          <w:rStyle w:val="VerbatimChar"/>
        </w:rPr>
        <w:t xml:space="preserve">/public/api/mobile/v1/</w:t>
      </w:r>
      <w:r>
        <w:t xml:space="preserve">.</w:t>
      </w:r>
    </w:p>
    <w:bookmarkStart w:id="28" w:name="X02c57b11479598fa7083d735c641c41964613d8"/>
    <w:p>
      <w:pPr>
        <w:pStyle w:val="Heading3"/>
      </w:pPr>
      <w:r>
        <w:t xml:space="preserve">2.3.1 Token Issuance</w:t>
      </w:r>
    </w:p>
    <w:p>
      <w:pPr>
        <w:pStyle w:val="FirstParagraph"/>
      </w:pPr>
      <w:r>
        <w:t xml:space="preserve">The system shall issue a JWT access token and a JWT refresh token upon successful mobile login. Both tokens shall be signed using the RS256 algorithm (RSA Signature with SHA-256). The private signing key shall reside on the server and shall never be transmitted to any client.</w:t>
      </w:r>
    </w:p>
    <w:bookmarkEnd w:id="28"/>
    <w:bookmarkStart w:id="29" w:name="X25e125787265367632e2f455a6b91b4b478a24f"/>
    <w:p>
      <w:pPr>
        <w:pStyle w:val="Heading3"/>
      </w:pPr>
      <w:r>
        <w:t xml:space="preserve">2.3.2 JWT Claims Specification</w:t>
      </w:r>
    </w:p>
    <w:p>
      <w:pPr>
        <w:pStyle w:val="FirstParagraph"/>
      </w:pPr>
      <w:r>
        <w:t xml:space="preserve">Every access token issued shall contain the following registered and private claims: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iss</w:t>
            </w:r>
          </w:p>
        </w:tc>
        <w:tc>
          <w:tcPr/>
          <w:p>
            <w:pPr>
              <w:pStyle w:val="Compact"/>
            </w:pPr>
            <w:r>
              <w:t xml:space="preserve">String</w:t>
            </w:r>
          </w:p>
        </w:tc>
        <w:tc>
          <w:tcPr/>
          <w:p>
            <w:pPr>
              <w:pStyle w:val="Compact"/>
            </w:pPr>
            <w:r>
              <w:t xml:space="preserve">Token issuer — the platform domain</w:t>
            </w:r>
          </w:p>
        </w:tc>
      </w:tr>
      <w:tr>
        <w:tc>
          <w:tcPr/>
          <w:p>
            <w:pPr>
              <w:pStyle w:val="Compact"/>
            </w:pPr>
            <w:r>
              <w:rPr>
                <w:rStyle w:val="VerbatimChar"/>
              </w:rPr>
              <w:t xml:space="preserve">sub</w:t>
            </w:r>
          </w:p>
        </w:tc>
        <w:tc>
          <w:tcPr/>
          <w:p>
            <w:pPr>
              <w:pStyle w:val="Compact"/>
            </w:pPr>
            <w:r>
              <w:t xml:space="preserve">String</w:t>
            </w:r>
          </w:p>
        </w:tc>
        <w:tc>
          <w:tcPr/>
          <w:p>
            <w:pPr>
              <w:pStyle w:val="Compact"/>
            </w:pPr>
            <w:r>
              <w:t xml:space="preserve">Subject — the</w:t>
            </w:r>
            <w:r>
              <w:t xml:space="preserve"> </w:t>
            </w:r>
            <w:r>
              <w:rPr>
                <w:rStyle w:val="VerbatimChar"/>
              </w:rPr>
              <w:t xml:space="preserve">user_id</w:t>
            </w:r>
            <w:r>
              <w:t xml:space="preserve"> </w:t>
            </w:r>
            <w:r>
              <w:t xml:space="preserve">value</w:t>
            </w:r>
          </w:p>
        </w:tc>
      </w:tr>
      <w:tr>
        <w:tc>
          <w:tcPr/>
          <w:p>
            <w:pPr>
              <w:pStyle w:val="Compact"/>
            </w:pPr>
            <w:r>
              <w:rPr>
                <w:rStyle w:val="VerbatimChar"/>
              </w:rPr>
              <w:t xml:space="preserve">iat</w:t>
            </w:r>
          </w:p>
        </w:tc>
        <w:tc>
          <w:tcPr/>
          <w:p>
            <w:pPr>
              <w:pStyle w:val="Compact"/>
            </w:pPr>
            <w:r>
              <w:t xml:space="preserve">Integer</w:t>
            </w:r>
          </w:p>
        </w:tc>
        <w:tc>
          <w:tcPr/>
          <w:p>
            <w:pPr>
              <w:pStyle w:val="Compact"/>
            </w:pPr>
            <w:r>
              <w:t xml:space="preserve">Issued-at timestamp (Unix epoch)</w:t>
            </w:r>
          </w:p>
        </w:tc>
      </w:tr>
      <w:tr>
        <w:tc>
          <w:tcPr/>
          <w:p>
            <w:pPr>
              <w:pStyle w:val="Compact"/>
            </w:pPr>
            <w:r>
              <w:rPr>
                <w:rStyle w:val="VerbatimChar"/>
              </w:rPr>
              <w:t xml:space="preserve">exp</w:t>
            </w:r>
          </w:p>
        </w:tc>
        <w:tc>
          <w:tcPr/>
          <w:p>
            <w:pPr>
              <w:pStyle w:val="Compact"/>
            </w:pPr>
            <w:r>
              <w:t xml:space="preserve">Integer</w:t>
            </w:r>
          </w:p>
        </w:tc>
        <w:tc>
          <w:tcPr/>
          <w:p>
            <w:pPr>
              <w:pStyle w:val="Compact"/>
            </w:pPr>
            <w:r>
              <w:t xml:space="preserve">Expiry timestamp (Unix epoch)</w:t>
            </w:r>
          </w:p>
        </w:tc>
      </w:tr>
      <w:tr>
        <w:tc>
          <w:tcPr/>
          <w:p>
            <w:pPr>
              <w:pStyle w:val="Compact"/>
            </w:pPr>
            <w:r>
              <w:rPr>
                <w:rStyle w:val="VerbatimChar"/>
              </w:rPr>
              <w:t xml:space="preserve">tid</w:t>
            </w:r>
          </w:p>
        </w:tc>
        <w:tc>
          <w:tcPr/>
          <w:p>
            <w:pPr>
              <w:pStyle w:val="Compact"/>
            </w:pPr>
            <w:r>
              <w:t xml:space="preserve">String</w:t>
            </w:r>
          </w:p>
        </w:tc>
        <w:tc>
          <w:tcPr/>
          <w:p>
            <w:pPr>
              <w:pStyle w:val="Compact"/>
            </w:pPr>
            <w:r>
              <w:rPr>
                <w:rStyle w:val="VerbatimChar"/>
              </w:rPr>
              <w:t xml:space="preserve">tenant_id</w:t>
            </w:r>
            <w:r>
              <w:t xml:space="preserve"> </w:t>
            </w:r>
            <w:r>
              <w:t xml:space="preserve">of the authenticated tenant</w:t>
            </w:r>
          </w:p>
        </w:tc>
      </w:tr>
      <w:tr>
        <w:tc>
          <w:tcPr/>
          <w:p>
            <w:pPr>
              <w:pStyle w:val="Compact"/>
            </w:pPr>
            <w:r>
              <w:rPr>
                <w:rStyle w:val="VerbatimChar"/>
              </w:rPr>
              <w:t xml:space="preserve">uid</w:t>
            </w:r>
          </w:p>
        </w:tc>
        <w:tc>
          <w:tcPr/>
          <w:p>
            <w:pPr>
              <w:pStyle w:val="Compact"/>
            </w:pPr>
            <w:r>
              <w:t xml:space="preserve">String</w:t>
            </w:r>
          </w:p>
        </w:tc>
        <w:tc>
          <w:tcPr/>
          <w:p>
            <w:pPr>
              <w:pStyle w:val="Compact"/>
            </w:pPr>
            <w:r>
              <w:rPr>
                <w:rStyle w:val="VerbatimChar"/>
              </w:rPr>
              <w:t xml:space="preserve">user_id</w:t>
            </w:r>
            <w:r>
              <w:t xml:space="preserve"> </w:t>
            </w:r>
            <w:r>
              <w:t xml:space="preserve">of the authenticated user</w:t>
            </w:r>
          </w:p>
        </w:tc>
      </w:tr>
      <w:tr>
        <w:tc>
          <w:tcPr/>
          <w:p>
            <w:pPr>
              <w:pStyle w:val="Compact"/>
            </w:pPr>
            <w:r>
              <w:rPr>
                <w:rStyle w:val="VerbatimChar"/>
              </w:rPr>
              <w:t xml:space="preserve">role</w:t>
            </w:r>
          </w:p>
        </w:tc>
        <w:tc>
          <w:tcPr/>
          <w:p>
            <w:pPr>
              <w:pStyle w:val="Compact"/>
            </w:pPr>
            <w:r>
              <w:t xml:space="preserve">String</w:t>
            </w:r>
          </w:p>
        </w:tc>
        <w:tc>
          <w:tcPr/>
          <w:p>
            <w:pPr>
              <w:pStyle w:val="Compact"/>
            </w:pPr>
            <w:r>
              <w:t xml:space="preserve">The user's current role identifier within the tenant</w:t>
            </w:r>
          </w:p>
        </w:tc>
      </w:tr>
      <w:tr>
        <w:tc>
          <w:tcPr/>
          <w:p>
            <w:pPr>
              <w:pStyle w:val="Compact"/>
            </w:pPr>
            <w:r>
              <w:rPr>
                <w:rStyle w:val="VerbatimChar"/>
              </w:rPr>
              <w:t xml:space="preserve">modules</w:t>
            </w:r>
          </w:p>
        </w:tc>
        <w:tc>
          <w:tcPr/>
          <w:p>
            <w:pPr>
              <w:pStyle w:val="Compact"/>
            </w:pPr>
            <w:r>
              <w:t xml:space="preserve">Array</w:t>
            </w:r>
          </w:p>
        </w:tc>
        <w:tc>
          <w:tcPr/>
          <w:p>
            <w:pPr>
              <w:pStyle w:val="Compact"/>
            </w:pPr>
            <w:r>
              <w:t xml:space="preserve">List of module identifiers enabled for the authenticated tenant</w:t>
            </w:r>
          </w:p>
        </w:tc>
      </w:tr>
    </w:tbl>
    <w:p>
      <w:pPr>
        <w:pStyle w:val="BodyText"/>
      </w:pPr>
      <w:r>
        <w:t xml:space="preserve">The</w:t>
      </w:r>
      <w:r>
        <w:t xml:space="preserve"> </w:t>
      </w:r>
      <w:r>
        <w:rPr>
          <w:rStyle w:val="VerbatimChar"/>
        </w:rPr>
        <w:t xml:space="preserve">tid</w:t>
      </w:r>
      <w:r>
        <w:t xml:space="preserve"> </w:t>
      </w:r>
      <w:r>
        <w:t xml:space="preserve">claim shall be set from server-side tenant resolution at login. No client-supplied</w:t>
      </w:r>
      <w:r>
        <w:t xml:space="preserve"> </w:t>
      </w:r>
      <w:r>
        <w:rPr>
          <w:rStyle w:val="VerbatimChar"/>
        </w:rPr>
        <w:t xml:space="preserve">tenant_id</w:t>
      </w:r>
      <w:r>
        <w:t xml:space="preserve"> </w:t>
      </w:r>
      <w:r>
        <w:t xml:space="preserve">value shall influence the</w:t>
      </w:r>
      <w:r>
        <w:t xml:space="preserve"> </w:t>
      </w:r>
      <w:r>
        <w:rPr>
          <w:rStyle w:val="VerbatimChar"/>
        </w:rPr>
        <w:t xml:space="preserve">tid</w:t>
      </w:r>
      <w:r>
        <w:t xml:space="preserve"> </w:t>
      </w:r>
      <w:r>
        <w:t xml:space="preserve">claim.</w:t>
      </w:r>
    </w:p>
    <w:bookmarkEnd w:id="29"/>
    <w:bookmarkStart w:id="30" w:name="Xc1d23c9c9c107dc2ff64d0692c53e9e89de0882"/>
    <w:p>
      <w:pPr>
        <w:pStyle w:val="Heading3"/>
      </w:pPr>
      <w:r>
        <w:t xml:space="preserve">2.3.3 Token Lifetime Policy</w:t>
      </w:r>
    </w:p>
    <w:p>
      <w:pPr>
        <w:pStyle w:val="FirstParagraph"/>
      </w:pPr>
      <w:r>
        <w:t xml:space="preserve">Token lifetime values shall be configurable per deployment environment via environment variables. The following defaults shall apply: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Environment Variable</w:t>
            </w:r>
          </w:p>
        </w:tc>
        <w:tc>
          <w:tcPr/>
          <w:p>
            <w:pPr>
              <w:pStyle w:val="Compact"/>
            </w:pPr>
            <w:r>
              <w:t xml:space="preserve">Default Value</w:t>
            </w:r>
          </w:p>
        </w:tc>
      </w:tr>
      <w:tr>
        <w:tc>
          <w:tcPr/>
          <w:p>
            <w:pPr>
              <w:pStyle w:val="Compact"/>
            </w:pPr>
            <w:r>
              <w:t xml:space="preserve">Access token lifetime</w:t>
            </w:r>
          </w:p>
        </w:tc>
        <w:tc>
          <w:tcPr/>
          <w:p>
            <w:pPr>
              <w:pStyle w:val="Compact"/>
            </w:pPr>
            <w:r>
              <w:rPr>
                <w:rStyle w:val="VerbatimChar"/>
              </w:rPr>
              <w:t xml:space="preserve">JWT_ACCESS_TOKEN_TTL</w:t>
            </w:r>
          </w:p>
        </w:tc>
        <w:tc>
          <w:tcPr/>
          <w:p>
            <w:pPr>
              <w:pStyle w:val="Compact"/>
            </w:pPr>
            <w:r>
              <w:t xml:space="preserve">15 minutes</w:t>
            </w:r>
          </w:p>
        </w:tc>
      </w:tr>
      <w:tr>
        <w:tc>
          <w:tcPr/>
          <w:p>
            <w:pPr>
              <w:pStyle w:val="Compact"/>
            </w:pPr>
            <w:r>
              <w:t xml:space="preserve">Refresh token lifetime</w:t>
            </w:r>
          </w:p>
        </w:tc>
        <w:tc>
          <w:tcPr/>
          <w:p>
            <w:pPr>
              <w:pStyle w:val="Compact"/>
            </w:pPr>
            <w:r>
              <w:rPr>
                <w:rStyle w:val="VerbatimChar"/>
              </w:rPr>
              <w:t xml:space="preserve">JWT_REFRESH_TOKEN_TTL</w:t>
            </w:r>
          </w:p>
        </w:tc>
        <w:tc>
          <w:tcPr/>
          <w:p>
            <w:pPr>
              <w:pStyle w:val="Compact"/>
            </w:pPr>
            <w:r>
              <w:t xml:space="preserve">30 days</w:t>
            </w:r>
          </w:p>
        </w:tc>
      </w:tr>
    </w:tbl>
    <w:p>
      <w:pPr>
        <w:pStyle w:val="BodyText"/>
      </w:pPr>
      <w:r>
        <w:t xml:space="preserve">These values shall be enforced server-side at token validation. A client presenting an expired access token shall receive HTTP 401 with error code</w:t>
      </w:r>
      <w:r>
        <w:t xml:space="preserve"> </w:t>
      </w:r>
      <w:r>
        <w:rPr>
          <w:rStyle w:val="VerbatimChar"/>
        </w:rPr>
        <w:t xml:space="preserve">TOKEN_EXPIRED</w:t>
      </w:r>
      <w:r>
        <w:t xml:space="preserve">.</w:t>
      </w:r>
    </w:p>
    <w:bookmarkEnd w:id="30"/>
    <w:bookmarkStart w:id="31" w:name="Xae06a52cb1baefd8ed3209d9f4fdac864ba17da"/>
    <w:p>
      <w:pPr>
        <w:pStyle w:val="Heading3"/>
      </w:pPr>
      <w:r>
        <w:t xml:space="preserve">2.3.4 Refresh Token Rotation</w:t>
      </w:r>
    </w:p>
    <w:p>
      <w:pPr>
        <w:pStyle w:val="FirstParagraph"/>
      </w:pPr>
      <w:r>
        <w:t xml:space="preserve">The system shall implement refresh token rotation. When a client exchanges a valid refresh token for a new access token, the system shall:</w:t>
      </w:r>
    </w:p>
    <w:p>
      <w:pPr>
        <w:pStyle w:val="Compact"/>
        <w:numPr>
          <w:ilvl w:val="0"/>
          <w:numId w:val="1002"/>
        </w:numPr>
      </w:pPr>
      <w:r>
        <w:t xml:space="preserve">Issue a new access token signed with the current server key.</w:t>
      </w:r>
    </w:p>
    <w:p>
      <w:pPr>
        <w:pStyle w:val="Compact"/>
        <w:numPr>
          <w:ilvl w:val="0"/>
          <w:numId w:val="1002"/>
        </w:numPr>
      </w:pPr>
      <w:r>
        <w:t xml:space="preserve">Issue a new refresh token and store its hash in the</w:t>
      </w:r>
      <w:r>
        <w:t xml:space="preserve"> </w:t>
      </w:r>
      <w:r>
        <w:rPr>
          <w:rStyle w:val="VerbatimChar"/>
        </w:rPr>
        <w:t xml:space="preserve">mobile_refresh_tokens</w:t>
      </w:r>
      <w:r>
        <w:t xml:space="preserve"> </w:t>
      </w:r>
      <w:r>
        <w:t xml:space="preserve">table.</w:t>
      </w:r>
    </w:p>
    <w:p>
      <w:pPr>
        <w:pStyle w:val="Compact"/>
        <w:numPr>
          <w:ilvl w:val="0"/>
          <w:numId w:val="1002"/>
        </w:numPr>
      </w:pPr>
      <w:r>
        <w:t xml:space="preserve">Immediately invalidate the previous refresh token.</w:t>
      </w:r>
    </w:p>
    <w:p>
      <w:pPr>
        <w:pStyle w:val="FirstParagraph"/>
      </w:pPr>
      <w:r>
        <w:t xml:space="preserve">Reuse of an already-rotated refresh token shall be treated as a potential token theft event. The system shall invalidate all refresh tokens for the affected</w:t>
      </w:r>
      <w:r>
        <w:t xml:space="preserve"> </w:t>
      </w:r>
      <w:r>
        <w:rPr>
          <w:rStyle w:val="VerbatimChar"/>
        </w:rPr>
        <w:t xml:space="preserve">user_id</w:t>
      </w:r>
      <w:r>
        <w:t xml:space="preserve"> </w:t>
      </w:r>
      <w:r>
        <w:t xml:space="preserve">and shall log the event in the audit log with action type</w:t>
      </w:r>
      <w:r>
        <w:t xml:space="preserve"> </w:t>
      </w:r>
      <w:r>
        <w:rPr>
          <w:rStyle w:val="VerbatimChar"/>
        </w:rPr>
        <w:t xml:space="preserve">REFRESH_TOKEN_REUSE_DETECTED</w:t>
      </w:r>
      <w:r>
        <w:t xml:space="preserve">.</w:t>
      </w:r>
    </w:p>
    <w:bookmarkEnd w:id="31"/>
    <w:bookmarkStart w:id="32" w:name="X5adfb8be448401e8b1a9cacdcec3e5edc40565d"/>
    <w:p>
      <w:pPr>
        <w:pStyle w:val="Heading3"/>
      </w:pPr>
      <w:r>
        <w:t xml:space="preserve">2.3.5 Token Revocation</w:t>
      </w:r>
    </w:p>
    <w:p>
      <w:pPr>
        <w:pStyle w:val="FirstParagraph"/>
      </w:pPr>
      <w:r>
        <w:t xml:space="preserve">The system shall maintain a server-side revocation record for all issued refresh tokens. Explicit logout, role change, account deactivation, and tenant deactivation shall revoke all active refresh tokens for the affected user. Revoked access tokens remain invalid until their</w:t>
      </w:r>
      <w:r>
        <w:t xml:space="preserve"> </w:t>
      </w:r>
      <w:r>
        <w:rPr>
          <w:rStyle w:val="VerbatimChar"/>
        </w:rPr>
        <w:t xml:space="preserve">exp</w:t>
      </w:r>
      <w:r>
        <w:t xml:space="preserve"> </w:t>
      </w:r>
      <w:r>
        <w:t xml:space="preserve">claim is reached; the short access token lifetime (15 minutes by default) limits the exposure window.</w:t>
      </w:r>
    </w:p>
    <w:bookmarkEnd w:id="32"/>
    <w:bookmarkEnd w:id="33"/>
    <w:bookmarkEnd w:id="34"/>
    <w:bookmarkStart w:id="45" w:name="authorization-model"/>
    <w:p>
      <w:pPr>
        <w:pStyle w:val="Heading1"/>
      </w:pPr>
      <w:r>
        <w:t xml:space="preserve">Authorization Model</w:t>
      </w:r>
    </w:p>
    <w:bookmarkStart w:id="35" w:name="X7bc3e925e0bcace78960745b93c1c530aea3597"/>
    <w:p>
      <w:pPr>
        <w:pStyle w:val="Heading2"/>
      </w:pPr>
      <w:r>
        <w:t xml:space="preserve">3.1 Role-Based Access Control Architecture</w:t>
      </w:r>
    </w:p>
    <w:p>
      <w:pPr>
        <w:pStyle w:val="FirstParagraph"/>
      </w:pPr>
      <w:r>
        <w:t xml:space="preserve">Kraal Code implements Role-Based Access Control (RBAC) at two scopes: tenant-scoped roles for all regular users and platform-scoped roles for super administrators. These two scopes are strictly separated — no tenant-scoped role grants any access to super admin functions, and no super admin session grants access to tenant data outside of the audited impersonation mechanism defined in Section 3.6.</w:t>
      </w:r>
    </w:p>
    <w:bookmarkEnd w:id="35"/>
    <w:bookmarkStart w:id="40" w:name="X582fb117e24bc4cda97147eb46ec3e7e4c8bec7"/>
    <w:p>
      <w:pPr>
        <w:pStyle w:val="Heading2"/>
      </w:pPr>
      <w:r>
        <w:t xml:space="preserve">3.2 Tenant-Scoped Roles</w:t>
      </w:r>
    </w:p>
    <w:bookmarkStart w:id="36" w:name="X66d355307d00c0d7705ea38ba19f09fc6343b44"/>
    <w:p>
      <w:pPr>
        <w:pStyle w:val="Heading3"/>
      </w:pPr>
      <w:r>
        <w:t xml:space="preserve">3.2.1 Role Definition</w:t>
      </w:r>
    </w:p>
    <w:p>
      <w:pPr>
        <w:pStyle w:val="FirstParagraph"/>
      </w:pPr>
      <w:r>
        <w:t xml:space="preserve">Roles are defined per tenant. Each tenant provisions its own role set through the Tenant Workspace role management interface. Roles defined by one tenant are invisible to and have no effect on any other tenant.</w:t>
      </w:r>
    </w:p>
    <w:bookmarkEnd w:id="36"/>
    <w:bookmarkStart w:id="37" w:name="Xceb3f9dec08339f1fb27b087a9f67be5d7a8408"/>
    <w:p>
      <w:pPr>
        <w:pStyle w:val="Heading3"/>
      </w:pPr>
      <w:r>
        <w:t xml:space="preserve">3.2.2 Permission Matrix</w:t>
      </w:r>
    </w:p>
    <w:p>
      <w:pPr>
        <w:pStyle w:val="FirstParagraph"/>
      </w:pPr>
      <w:r>
        <w:t xml:space="preserve">Each role is assigned permissions through a function × action matrix. The axes of this matrix are:</w:t>
      </w:r>
    </w:p>
    <w:p>
      <w:pPr>
        <w:pStyle w:val="Compact"/>
        <w:numPr>
          <w:ilvl w:val="0"/>
          <w:numId w:val="1003"/>
        </w:numPr>
      </w:pPr>
      <w:r>
        <w:rPr>
          <w:b/>
          <w:bCs/>
        </w:rPr>
        <w:t xml:space="preserve">Function</w:t>
      </w:r>
      <w:r>
        <w:t xml:space="preserve"> </w:t>
      </w:r>
      <w:r>
        <w:t xml:space="preserve">— a named feature or operation within a module (e.g.,</w:t>
      </w:r>
      <w:r>
        <w:t xml:space="preserve"> </w:t>
      </w:r>
      <w:r>
        <w:rPr>
          <w:rStyle w:val="VerbatimChar"/>
        </w:rPr>
        <w:t xml:space="preserve">invoice.create</w:t>
      </w:r>
      <w:r>
        <w:t xml:space="preserve">,</w:t>
      </w:r>
      <w:r>
        <w:t xml:space="preserve"> </w:t>
      </w:r>
      <w:r>
        <w:rPr>
          <w:rStyle w:val="VerbatimChar"/>
        </w:rPr>
        <w:t xml:space="preserve">payroll.approve</w:t>
      </w:r>
      <w:r>
        <w:t xml:space="preserve">,</w:t>
      </w:r>
      <w:r>
        <w:t xml:space="preserve"> </w:t>
      </w:r>
      <w:r>
        <w:rPr>
          <w:rStyle w:val="VerbatimChar"/>
        </w:rPr>
        <w:t xml:space="preserve">stocktransfer.edit</w:t>
      </w:r>
      <w:r>
        <w:t xml:space="preserve">).</w:t>
      </w:r>
    </w:p>
    <w:p>
      <w:pPr>
        <w:pStyle w:val="Compact"/>
        <w:numPr>
          <w:ilvl w:val="0"/>
          <w:numId w:val="1003"/>
        </w:numPr>
      </w:pPr>
      <w:r>
        <w:rPr>
          <w:b/>
          <w:bCs/>
        </w:rPr>
        <w:t xml:space="preserve">Action</w:t>
      </w:r>
      <w:r>
        <w:t xml:space="preserve"> </w:t>
      </w:r>
      <w:r>
        <w:t xml:space="preserve">— one of five standard action verbs:</w:t>
      </w:r>
      <w:r>
        <w:t xml:space="preserve"> </w:t>
      </w:r>
      <w:r>
        <w:rPr>
          <w:rStyle w:val="VerbatimChar"/>
        </w:rPr>
        <w:t xml:space="preserve">view</w:t>
      </w:r>
      <w:r>
        <w:t xml:space="preserve">,</w:t>
      </w:r>
      <w:r>
        <w:t xml:space="preserve"> </w:t>
      </w:r>
      <w:r>
        <w:rPr>
          <w:rStyle w:val="VerbatimChar"/>
        </w:rPr>
        <w:t xml:space="preserve">create</w:t>
      </w:r>
      <w:r>
        <w:t xml:space="preserve">,</w:t>
      </w:r>
      <w:r>
        <w:t xml:space="preserve"> </w:t>
      </w:r>
      <w:r>
        <w:rPr>
          <w:rStyle w:val="VerbatimChar"/>
        </w:rPr>
        <w:t xml:space="preserve">edit</w:t>
      </w:r>
      <w:r>
        <w:t xml:space="preserve">,</w:t>
      </w:r>
      <w:r>
        <w:t xml:space="preserve"> </w:t>
      </w:r>
      <w:r>
        <w:rPr>
          <w:rStyle w:val="VerbatimChar"/>
        </w:rPr>
        <w:t xml:space="preserve">approve</w:t>
      </w:r>
      <w:r>
        <w:t xml:space="preserve">,</w:t>
      </w:r>
      <w:r>
        <w:t xml:space="preserve"> </w:t>
      </w:r>
      <w:r>
        <w:rPr>
          <w:rStyle w:val="VerbatimChar"/>
        </w:rPr>
        <w:t xml:space="preserve">delete</w:t>
      </w:r>
      <w:r>
        <w:t xml:space="preserve">.</w:t>
      </w:r>
    </w:p>
    <w:p>
      <w:pPr>
        <w:pStyle w:val="FirstParagraph"/>
      </w:pPr>
      <w:r>
        <w:t xml:space="preserve">A permission entry is a boolean grant for a specific function-action pair. No implicit inheritance exists between action levels — granting</w:t>
      </w:r>
      <w:r>
        <w:t xml:space="preserve"> </w:t>
      </w:r>
      <w:r>
        <w:rPr>
          <w:rStyle w:val="VerbatimChar"/>
        </w:rPr>
        <w:t xml:space="preserve">edit</w:t>
      </w:r>
      <w:r>
        <w:t xml:space="preserve"> </w:t>
      </w:r>
      <w:r>
        <w:t xml:space="preserve">does not imply</w:t>
      </w:r>
      <w:r>
        <w:t xml:space="preserve"> </w:t>
      </w:r>
      <w:r>
        <w:rPr>
          <w:rStyle w:val="VerbatimChar"/>
        </w:rPr>
        <w:t xml:space="preserve">view</w:t>
      </w:r>
      <w:r>
        <w:t xml:space="preserve"> </w:t>
      </w:r>
      <w:r>
        <w:t xml:space="preserve">unless</w:t>
      </w:r>
      <w:r>
        <w:t xml:space="preserve"> </w:t>
      </w:r>
      <w:r>
        <w:rPr>
          <w:rStyle w:val="VerbatimChar"/>
        </w:rPr>
        <w:t xml:space="preserve">view</w:t>
      </w:r>
      <w:r>
        <w:t xml:space="preserve"> </w:t>
      </w:r>
      <w:r>
        <w:t xml:space="preserve">is also explicitly granted.</w:t>
      </w:r>
    </w:p>
    <w:bookmarkEnd w:id="37"/>
    <w:bookmarkStart w:id="38" w:name="X5747b35fea19ab6b45f7634355ef4a054d89405"/>
    <w:p>
      <w:pPr>
        <w:pStyle w:val="Heading3"/>
      </w:pPr>
      <w:r>
        <w:t xml:space="preserve">3.2.3 Branch Restrictions</w:t>
      </w:r>
    </w:p>
    <w:p>
      <w:pPr>
        <w:pStyle w:val="FirstParagraph"/>
      </w:pPr>
      <w:r>
        <w:t xml:space="preserve">Each user account may be restricted to one or more branches. When branch restrictions are active for a user, the system shall:</w:t>
      </w:r>
    </w:p>
    <w:p>
      <w:pPr>
        <w:pStyle w:val="Compact"/>
        <w:numPr>
          <w:ilvl w:val="0"/>
          <w:numId w:val="1004"/>
        </w:numPr>
      </w:pPr>
      <w:r>
        <w:t xml:space="preserve">Return only records belonging to the user's permitted branches in all list and report views.</w:t>
      </w:r>
    </w:p>
    <w:p>
      <w:pPr>
        <w:pStyle w:val="Compact"/>
        <w:numPr>
          <w:ilvl w:val="0"/>
          <w:numId w:val="1004"/>
        </w:numPr>
      </w:pPr>
      <w:r>
        <w:t xml:space="preserve">Reject any attempt to create or modify records for a branch outside the user's permitted set with HTTP 403.</w:t>
      </w:r>
    </w:p>
    <w:p>
      <w:pPr>
        <w:pStyle w:val="Compact"/>
        <w:numPr>
          <w:ilvl w:val="0"/>
          <w:numId w:val="1004"/>
        </w:numPr>
      </w:pPr>
      <w:r>
        <w:t xml:space="preserve">Apply branch restrictions after tenant isolation — a branch restriction check shall never bypass the</w:t>
      </w:r>
      <w:r>
        <w:t xml:space="preserve"> </w:t>
      </w:r>
      <w:r>
        <w:rPr>
          <w:rStyle w:val="VerbatimChar"/>
        </w:rPr>
        <w:t xml:space="preserve">tenant_id</w:t>
      </w:r>
      <w:r>
        <w:t xml:space="preserve"> </w:t>
      </w:r>
      <w:r>
        <w:t xml:space="preserve">filter.</w:t>
      </w:r>
    </w:p>
    <w:bookmarkEnd w:id="38"/>
    <w:bookmarkStart w:id="39" w:name="X3c5cfe5c387b14b6e9adffebd6d03682b6f9900"/>
    <w:p>
      <w:pPr>
        <w:pStyle w:val="Heading3"/>
      </w:pPr>
      <w:r>
        <w:t xml:space="preserve">3.2.4 Approval Limits</w:t>
      </w:r>
    </w:p>
    <w:p>
      <w:pPr>
        <w:pStyle w:val="FirstParagraph"/>
      </w:pPr>
      <w:r>
        <w:t xml:space="preserve">Each user may be assigned monetary approval limits per transaction type (e.g., purchase order approval, payment voucher approval, expense claim approval). Approval limit configuration is stored in the</w:t>
      </w:r>
      <w:r>
        <w:t xml:space="preserve"> </w:t>
      </w:r>
      <w:r>
        <w:rPr>
          <w:rStyle w:val="VerbatimChar"/>
        </w:rPr>
        <w:t xml:space="preserve">user_approval_limits</w:t>
      </w:r>
      <w:r>
        <w:t xml:space="preserve"> </w:t>
      </w:r>
      <w:r>
        <w:t xml:space="preserve">table, keyed by</w:t>
      </w:r>
      <w:r>
        <w:t xml:space="preserve"> </w:t>
      </w:r>
      <w:r>
        <w:rPr>
          <w:rStyle w:val="VerbatimChar"/>
        </w:rPr>
        <w:t xml:space="preserve">tenant_id</w:t>
      </w:r>
      <w:r>
        <w:t xml:space="preserve">,</w:t>
      </w:r>
      <w:r>
        <w:t xml:space="preserve"> </w:t>
      </w:r>
      <w:r>
        <w:rPr>
          <w:rStyle w:val="VerbatimChar"/>
        </w:rPr>
        <w:t xml:space="preserve">user_id</w:t>
      </w:r>
      <w:r>
        <w:t xml:space="preserve">, and</w:t>
      </w:r>
      <w:r>
        <w:t xml:space="preserve"> </w:t>
      </w:r>
      <w:r>
        <w:rPr>
          <w:rStyle w:val="VerbatimChar"/>
        </w:rPr>
        <w:t xml:space="preserve">transaction_type</w:t>
      </w:r>
      <w:r>
        <w:t xml:space="preserve">. The system shall reject any approval action where the transaction amount exceeds the approving user's configured limit for that transaction type.</w:t>
      </w:r>
    </w:p>
    <w:bookmarkEnd w:id="39"/>
    <w:bookmarkEnd w:id="40"/>
    <w:bookmarkStart w:id="41" w:name="X93be924f9398f214f8ef89e738d63d40deef8e4"/>
    <w:p>
      <w:pPr>
        <w:pStyle w:val="Heading2"/>
      </w:pPr>
      <w:r>
        <w:t xml:space="preserve">3.3 Module Gating</w:t>
      </w:r>
    </w:p>
    <w:p>
      <w:pPr>
        <w:pStyle w:val="FirstParagraph"/>
      </w:pPr>
      <w:r>
        <w:t xml:space="preserve">A user shall not access any function within a module that the authenticated tenant has not activated, regardless of the permissions granted to the user's role. Module gating is enforced at the middleware layer before any role permission check is evaluated.</w:t>
      </w:r>
    </w:p>
    <w:p>
      <w:pPr>
        <w:pStyle w:val="BodyText"/>
      </w:pPr>
      <w:r>
        <w:t xml:space="preserve">The enforcement sequence for every request is:</w:t>
      </w:r>
    </w:p>
    <w:p>
      <w:pPr>
        <w:pStyle w:val="Compact"/>
        <w:numPr>
          <w:ilvl w:val="0"/>
          <w:numId w:val="1005"/>
        </w:numPr>
      </w:pPr>
      <w:r>
        <w:t xml:space="preserve">Authenticate the session or token (resolve</w:t>
      </w:r>
      <w:r>
        <w:t xml:space="preserve"> </w:t>
      </w:r>
      <w:r>
        <w:rPr>
          <w:rStyle w:val="VerbatimChar"/>
        </w:rPr>
        <w:t xml:space="preserve">tenant_id</w:t>
      </w:r>
      <w:r>
        <w:t xml:space="preserve"> </w:t>
      </w:r>
      <w:r>
        <w:t xml:space="preserve">and</w:t>
      </w:r>
      <w:r>
        <w:t xml:space="preserve"> </w:t>
      </w:r>
      <w:r>
        <w:rPr>
          <w:rStyle w:val="VerbatimChar"/>
        </w:rPr>
        <w:t xml:space="preserve">user_id</w:t>
      </w:r>
      <w:r>
        <w:t xml:space="preserve">).</w:t>
      </w:r>
    </w:p>
    <w:p>
      <w:pPr>
        <w:pStyle w:val="Compact"/>
        <w:numPr>
          <w:ilvl w:val="0"/>
          <w:numId w:val="1005"/>
        </w:numPr>
      </w:pPr>
      <w:r>
        <w:t xml:space="preserve">Check whether the requested module is active for the authenticated tenant (</w:t>
      </w:r>
      <w:r>
        <w:rPr>
          <w:rStyle w:val="VerbatimChar"/>
        </w:rPr>
        <w:t xml:space="preserve">module_subscriptions</w:t>
      </w:r>
      <w:r>
        <w:t xml:space="preserve"> </w:t>
      </w:r>
      <w:r>
        <w:t xml:space="preserve">table). If inactive, return HTTP 404.</w:t>
      </w:r>
    </w:p>
    <w:p>
      <w:pPr>
        <w:pStyle w:val="Compact"/>
        <w:numPr>
          <w:ilvl w:val="0"/>
          <w:numId w:val="1005"/>
        </w:numPr>
      </w:pPr>
      <w:r>
        <w:t xml:space="preserve">Check whether the user's role includes the required function-action permission. If not, return HTTP 403.</w:t>
      </w:r>
    </w:p>
    <w:p>
      <w:pPr>
        <w:pStyle w:val="Compact"/>
        <w:numPr>
          <w:ilvl w:val="0"/>
          <w:numId w:val="1005"/>
        </w:numPr>
      </w:pPr>
      <w:r>
        <w:t xml:space="preserve">Check branch restrictions. If the target record's branch is outside the user's permitted set, return HTTP 403.</w:t>
      </w:r>
    </w:p>
    <w:p>
      <w:pPr>
        <w:pStyle w:val="Compact"/>
        <w:numPr>
          <w:ilvl w:val="0"/>
          <w:numId w:val="1005"/>
        </w:numPr>
      </w:pPr>
      <w:r>
        <w:t xml:space="preserve">Execute the requested operation.</w:t>
      </w:r>
    </w:p>
    <w:p>
      <w:pPr>
        <w:pStyle w:val="FirstParagraph"/>
      </w:pPr>
      <w:r>
        <w:t xml:space="preserve">The</w:t>
      </w:r>
      <w:r>
        <w:t xml:space="preserve"> </w:t>
      </w:r>
      <w:r>
        <w:rPr>
          <w:rStyle w:val="VerbatimChar"/>
        </w:rPr>
        <w:t xml:space="preserve">modules</w:t>
      </w:r>
      <w:r>
        <w:t xml:space="preserve"> </w:t>
      </w:r>
      <w:r>
        <w:t xml:space="preserve">claim in the JWT access token carries the list of activated module identifiers at login time. Mobile clients shall use this claim to suppress navigation to inactive modules at the UI layer. The server shall re-validate module activation on every request and shall not rely solely on the claim value.</w:t>
      </w:r>
    </w:p>
    <w:bookmarkEnd w:id="41"/>
    <w:bookmarkStart w:id="42" w:name="Xb6d0a8d51dbddbd4cee5183dd831d1038354dc2"/>
    <w:p>
      <w:pPr>
        <w:pStyle w:val="Heading2"/>
      </w:pPr>
      <w:r>
        <w:t xml:space="preserve">3.4 Separation of Duties</w:t>
      </w:r>
    </w:p>
    <w:p>
      <w:pPr>
        <w:pStyle w:val="FirstParagraph"/>
      </w:pPr>
      <w:r>
        <w:t xml:space="preserve">The system shall support the following separation of duties controls, which tenant administrators may enforce through role configuration:</w:t>
      </w:r>
    </w:p>
    <w:p>
      <w:pPr>
        <w:pStyle w:val="Compact"/>
        <w:numPr>
          <w:ilvl w:val="0"/>
          <w:numId w:val="1006"/>
        </w:numPr>
      </w:pPr>
      <w:r>
        <w:t xml:space="preserve">A user who creates a transaction shall not be permitted to approve the same transaction.</w:t>
      </w:r>
    </w:p>
    <w:p>
      <w:pPr>
        <w:pStyle w:val="Compact"/>
        <w:numPr>
          <w:ilvl w:val="0"/>
          <w:numId w:val="1006"/>
        </w:numPr>
      </w:pPr>
      <w:r>
        <w:t xml:space="preserve">A user who approves a payment shall not be the same user who created the associated purchase order, unless the tenant has explicitly disabled this control.</w:t>
      </w:r>
    </w:p>
    <w:p>
      <w:pPr>
        <w:pStyle w:val="FirstParagraph"/>
      </w:pPr>
      <w:r>
        <w:t xml:space="preserve">Separation of duties violations shall be detected and rejected at the approval action layer, not at the UI layer only.</w:t>
      </w:r>
    </w:p>
    <w:bookmarkEnd w:id="42"/>
    <w:bookmarkStart w:id="43" w:name="Xa5cdac5270b098fa1cad503923d24be38310a87"/>
    <w:p>
      <w:pPr>
        <w:pStyle w:val="Heading2"/>
      </w:pPr>
      <w:r>
        <w:t xml:space="preserve">3.5 Platform-Scoped Super Admin Roles</w:t>
      </w:r>
    </w:p>
    <w:p>
      <w:pPr>
        <w:pStyle w:val="FirstParagraph"/>
      </w:pPr>
      <w:r>
        <w:t xml:space="preserve">The Super Admin Panel operates under a separate role set defined by the Chwezi platform team. Super admin roles are not visible to, configurable by, or affected by any tenant. Super admin authentication uses a dedicated session (</w:t>
      </w:r>
      <w:r>
        <w:rPr>
          <w:rStyle w:val="VerbatimChar"/>
        </w:rPr>
        <w:t xml:space="preserve">KRAAL_CODE_SUPERADMIN_SESSION</w:t>
      </w:r>
      <w:r>
        <w:t xml:space="preserve">) stored separately from tenant workspace sessions.</w:t>
      </w:r>
    </w:p>
    <w:bookmarkEnd w:id="43"/>
    <w:bookmarkStart w:id="44" w:name="X3e3c8b79d21b3c174b0abe85772324359d47cee"/>
    <w:p>
      <w:pPr>
        <w:pStyle w:val="Heading2"/>
      </w:pPr>
      <w:r>
        <w:t xml:space="preserve">3.6 Super Administrator Impersonation</w:t>
      </w:r>
    </w:p>
    <w:p>
      <w:pPr>
        <w:pStyle w:val="FirstParagraph"/>
      </w:pPr>
      <w:r>
        <w:t xml:space="preserve">Super administrators may impersonate a tenant user to investigate support issues. The impersonation mechanism shall enforce all of the following controls:</w:t>
      </w:r>
    </w:p>
    <w:p>
      <w:pPr>
        <w:pStyle w:val="Compact"/>
        <w:numPr>
          <w:ilvl w:val="0"/>
          <w:numId w:val="1007"/>
        </w:numPr>
      </w:pPr>
      <w:r>
        <w:t xml:space="preserve">Impersonation is initiated only from the Super Admin Panel and requires the super admin's active authenticated session.</w:t>
      </w:r>
    </w:p>
    <w:p>
      <w:pPr>
        <w:pStyle w:val="Compact"/>
        <w:numPr>
          <w:ilvl w:val="0"/>
          <w:numId w:val="1007"/>
        </w:numPr>
      </w:pPr>
      <w:r>
        <w:t xml:space="preserve">The system shall create a distinct, time-limited impersonation session. The impersonation session expires after 60 minutes or upon explicit termination by the super admin.</w:t>
      </w:r>
    </w:p>
    <w:p>
      <w:pPr>
        <w:pStyle w:val="Compact"/>
        <w:numPr>
          <w:ilvl w:val="0"/>
          <w:numId w:val="1007"/>
        </w:numPr>
      </w:pPr>
      <w:r>
        <w:t xml:space="preserve">Every action performed during an impersonation session shall be logged in the</w:t>
      </w:r>
      <w:r>
        <w:t xml:space="preserve"> </w:t>
      </w:r>
      <w:r>
        <w:rPr>
          <w:rStyle w:val="VerbatimChar"/>
        </w:rPr>
        <w:t xml:space="preserve">audit_log</w:t>
      </w:r>
      <w:r>
        <w:t xml:space="preserve"> </w:t>
      </w:r>
      <w:r>
        <w:t xml:space="preserve">table under the impersonated tenant's data, with both the</w:t>
      </w:r>
      <w:r>
        <w:t xml:space="preserve"> </w:t>
      </w:r>
      <w:r>
        <w:rPr>
          <w:rStyle w:val="VerbatimChar"/>
        </w:rPr>
        <w:t xml:space="preserve">user_id</w:t>
      </w:r>
      <w:r>
        <w:t xml:space="preserve"> </w:t>
      </w:r>
      <w:r>
        <w:t xml:space="preserve">of the impersonated user and a boolean flag</w:t>
      </w:r>
      <w:r>
        <w:t xml:space="preserve"> </w:t>
      </w:r>
      <w:r>
        <w:rPr>
          <w:rStyle w:val="VerbatimChar"/>
        </w:rPr>
        <w:t xml:space="preserve">super_admin_origin = TRUE</w:t>
      </w:r>
      <w:r>
        <w:t xml:space="preserve">.</w:t>
      </w:r>
    </w:p>
    <w:p>
      <w:pPr>
        <w:pStyle w:val="Compact"/>
        <w:numPr>
          <w:ilvl w:val="0"/>
          <w:numId w:val="1007"/>
        </w:numPr>
      </w:pPr>
      <w:r>
        <w:t xml:space="preserve">The impersonated tenant shall be able to view all actions performed on their data, including those performed via impersonation, through the standard audit log interface.</w:t>
      </w:r>
    </w:p>
    <w:p>
      <w:pPr>
        <w:pStyle w:val="Compact"/>
        <w:numPr>
          <w:ilvl w:val="0"/>
          <w:numId w:val="1007"/>
        </w:numPr>
      </w:pPr>
      <w:r>
        <w:t xml:space="preserve">Super admin impersonation sessions shall not be used to export bulk tenant data. Any attempt to call a data export endpoint during an impersonation session shall be logged and shall require a secondary confirmation step.</w:t>
      </w:r>
    </w:p>
    <w:bookmarkEnd w:id="44"/>
    <w:bookmarkEnd w:id="45"/>
    <w:bookmarkStart w:id="55" w:name="tenant-data-isolation-controls"/>
    <w:p>
      <w:pPr>
        <w:pStyle w:val="Heading1"/>
      </w:pPr>
      <w:r>
        <w:t xml:space="preserve">Tenant Data Isolation Controls</w:t>
      </w:r>
    </w:p>
    <w:bookmarkStart w:id="46" w:name="X1eeddb7685b7e444aeaa0b2f3b06b0e9ee310f0"/>
    <w:p>
      <w:pPr>
        <w:pStyle w:val="Heading2"/>
      </w:pPr>
      <w:r>
        <w:t xml:space="preserve">4.1 Isolation Model</w:t>
      </w:r>
    </w:p>
    <w:p>
      <w:pPr>
        <w:pStyle w:val="FirstParagraph"/>
      </w:pPr>
      <w:r>
        <w:t xml:space="preserve">Kraal Code uses row-level tenant isolation implemented via a</w:t>
      </w:r>
      <w:r>
        <w:t xml:space="preserve"> </w:t>
      </w:r>
      <w:r>
        <w:rPr>
          <w:rStyle w:val="VerbatimChar"/>
        </w:rPr>
        <w:t xml:space="preserve">tenant_id</w:t>
      </w:r>
      <w:r>
        <w:t xml:space="preserve"> </w:t>
      </w:r>
      <w:r>
        <w:t xml:space="preserve">foreign key column on every operational table. This model places all tenants in a shared database schema. The security guarantee provided by this model depends entirely on the correctness of</w:t>
      </w:r>
      <w:r>
        <w:t xml:space="preserve"> </w:t>
      </w:r>
      <w:r>
        <w:rPr>
          <w:rStyle w:val="VerbatimChar"/>
        </w:rPr>
        <w:t xml:space="preserve">tenant_id</w:t>
      </w:r>
      <w:r>
        <w:t xml:space="preserve"> </w:t>
      </w:r>
      <w:r>
        <w:t xml:space="preserve">filtering in every query. This section specifies the controls that enforce that guarantee.</w:t>
      </w:r>
    </w:p>
    <w:p>
      <w:pPr>
        <w:pStyle w:val="BodyText"/>
      </w:pPr>
      <w:r>
        <w:rPr>
          <w:b/>
          <w:bCs/>
        </w:rPr>
        <w:t xml:space="preserve">NFR-SEC-001</w:t>
      </w:r>
      <w:r>
        <w:t xml:space="preserve"> </w:t>
      </w:r>
      <w:r>
        <w:t xml:space="preserve">(sourced from</w:t>
      </w:r>
      <w:r>
        <w:t xml:space="preserve"> </w:t>
      </w:r>
      <w:r>
        <w:rPr>
          <w:rStyle w:val="VerbatimChar"/>
        </w:rPr>
        <w:t xml:space="preserve">_context/domain.md</w:t>
      </w:r>
      <w:r>
        <w:t xml:space="preserve">) states:</w:t>
      </w:r>
      <w:r>
        <w:t xml:space="preserve"> </w:t>
      </w:r>
      <w:r>
        <w:rPr>
          <w:i/>
          <w:iCs/>
        </w:rPr>
        <w:t xml:space="preserve">The system shall ensure that no query, API response, or report returns data belonging to a tenant other than the authenticated tenant. Violation of this requirement is a Critical severity defect.</w:t>
      </w:r>
    </w:p>
    <w:bookmarkEnd w:id="46"/>
    <w:bookmarkStart w:id="50" w:name="X4af5b07563aac24a61bcbf6111a9d72aae02790"/>
    <w:p>
      <w:pPr>
        <w:pStyle w:val="Heading2"/>
      </w:pPr>
      <w:r>
        <w:t xml:space="preserve">4.2 Tenant Identity Resolution</w:t>
      </w:r>
    </w:p>
    <w:bookmarkStart w:id="47" w:name="X9d77e5046626a4bda51a6422ee3cb93b8563e20"/>
    <w:p>
      <w:pPr>
        <w:pStyle w:val="Heading3"/>
      </w:pPr>
      <w:r>
        <w:t xml:space="preserve">4.2.1 Source of Truth</w:t>
      </w:r>
    </w:p>
    <w:p>
      <w:pPr>
        <w:pStyle w:val="FirstParagraph"/>
      </w:pPr>
      <w:r>
        <w:t xml:space="preserve">The</w:t>
      </w:r>
      <w:r>
        <w:t xml:space="preserve"> </w:t>
      </w:r>
      <w:r>
        <w:rPr>
          <w:rStyle w:val="VerbatimChar"/>
        </w:rPr>
        <w:t xml:space="preserve">tenant_id</w:t>
      </w:r>
      <w:r>
        <w:t xml:space="preserve"> </w:t>
      </w:r>
      <w:r>
        <w:t xml:space="preserve">value used by any service method shall be sourced exclusively from</w:t>
      </w:r>
      <w:r>
        <w:t xml:space="preserve"> </w:t>
      </w:r>
      <w:r>
        <w:rPr>
          <w:rStyle w:val="VerbatimChar"/>
        </w:rPr>
        <w:t xml:space="preserve">TenantContext::getTenantId()</w:t>
      </w:r>
      <w:r>
        <w:t xml:space="preserve">. This method reads</w:t>
      </w:r>
      <w:r>
        <w:t xml:space="preserve"> </w:t>
      </w:r>
      <w:r>
        <w:rPr>
          <w:rStyle w:val="VerbatimChar"/>
        </w:rPr>
        <w:t xml:space="preserve">tenant_id</w:t>
      </w:r>
      <w:r>
        <w:t xml:space="preserve"> </w:t>
      </w:r>
      <w:r>
        <w:t xml:space="preserve">from the current server-side session (web) or from the verified</w:t>
      </w:r>
      <w:r>
        <w:t xml:space="preserve"> </w:t>
      </w:r>
      <w:r>
        <w:rPr>
          <w:rStyle w:val="VerbatimChar"/>
        </w:rPr>
        <w:t xml:space="preserve">tid</w:t>
      </w:r>
      <w:r>
        <w:t xml:space="preserve"> </w:t>
      </w:r>
      <w:r>
        <w:t xml:space="preserve">claim of the validated JWT (mobile).</w:t>
      </w:r>
    </w:p>
    <w:p>
      <w:pPr>
        <w:pStyle w:val="BodyText"/>
      </w:pPr>
      <w:r>
        <w:t xml:space="preserve">The system shall never read</w:t>
      </w:r>
      <w:r>
        <w:t xml:space="preserve"> </w:t>
      </w:r>
      <w:r>
        <w:rPr>
          <w:rStyle w:val="VerbatimChar"/>
        </w:rPr>
        <w:t xml:space="preserve">tenant_id</w:t>
      </w:r>
      <w:r>
        <w:t xml:space="preserve"> </w:t>
      </w:r>
      <w:r>
        <w:t xml:space="preserve">from:</w:t>
      </w:r>
    </w:p>
    <w:p>
      <w:pPr>
        <w:pStyle w:val="Compact"/>
        <w:numPr>
          <w:ilvl w:val="0"/>
          <w:numId w:val="1008"/>
        </w:numPr>
      </w:pPr>
      <w:r>
        <w:t xml:space="preserve">URI path segments (e.g.,</w:t>
      </w:r>
      <w:r>
        <w:t xml:space="preserve"> </w:t>
      </w:r>
      <w:r>
        <w:rPr>
          <w:rStyle w:val="VerbatimChar"/>
        </w:rPr>
        <w:t xml:space="preserve">/api/tenant/42/invoices</w:t>
      </w:r>
      <w:r>
        <w:t xml:space="preserve">).</w:t>
      </w:r>
    </w:p>
    <w:p>
      <w:pPr>
        <w:pStyle w:val="Compact"/>
        <w:numPr>
          <w:ilvl w:val="0"/>
          <w:numId w:val="1008"/>
        </w:numPr>
      </w:pPr>
      <w:r>
        <w:t xml:space="preserve">Query parameters (e.g.,</w:t>
      </w:r>
      <w:r>
        <w:t xml:space="preserve"> </w:t>
      </w:r>
      <w:r>
        <w:rPr>
          <w:rStyle w:val="VerbatimChar"/>
        </w:rPr>
        <w:t xml:space="preserve">?tenant_id=42</w:t>
      </w:r>
      <w:r>
        <w:t xml:space="preserve">).</w:t>
      </w:r>
    </w:p>
    <w:p>
      <w:pPr>
        <w:pStyle w:val="Compact"/>
        <w:numPr>
          <w:ilvl w:val="0"/>
          <w:numId w:val="1008"/>
        </w:numPr>
      </w:pPr>
      <w:r>
        <w:t xml:space="preserve">POST or PUT request body fields.</w:t>
      </w:r>
    </w:p>
    <w:p>
      <w:pPr>
        <w:pStyle w:val="Compact"/>
        <w:numPr>
          <w:ilvl w:val="0"/>
          <w:numId w:val="1008"/>
        </w:numPr>
      </w:pPr>
      <w:r>
        <w:t xml:space="preserve">HTTP headers supplied by the client.</w:t>
      </w:r>
    </w:p>
    <w:p>
      <w:pPr>
        <w:pStyle w:val="Compact"/>
        <w:numPr>
          <w:ilvl w:val="0"/>
          <w:numId w:val="1008"/>
        </w:numPr>
      </w:pPr>
      <w:r>
        <w:t xml:space="preserve">Cookie values other than the session identifier that points to server-side storage.</w:t>
      </w:r>
    </w:p>
    <w:bookmarkEnd w:id="47"/>
    <w:bookmarkStart w:id="48" w:name="Xf24b9171c1612ecca75b54fc2b0dd0651f0e5c5"/>
    <w:p>
      <w:pPr>
        <w:pStyle w:val="Heading3"/>
      </w:pPr>
      <w:r>
        <w:t xml:space="preserve">4.2.2 Service Layer Enforcement</w:t>
      </w:r>
    </w:p>
    <w:p>
      <w:pPr>
        <w:pStyle w:val="FirstParagraph"/>
      </w:pPr>
      <w:r>
        <w:t xml:space="preserve">Every service class method that performs a database read or write shall receive</w:t>
      </w:r>
      <w:r>
        <w:t xml:space="preserve"> </w:t>
      </w:r>
      <w:r>
        <w:rPr>
          <w:rStyle w:val="VerbatimChar"/>
        </w:rPr>
        <w:t xml:space="preserve">$tenantId</w:t>
      </w:r>
      <w:r>
        <w:t xml:space="preserve"> </w:t>
      </w:r>
      <w:r>
        <w:t xml:space="preserve">as its first parameter, sourced from</w:t>
      </w:r>
      <w:r>
        <w:t xml:space="preserve"> </w:t>
      </w:r>
      <w:r>
        <w:rPr>
          <w:rStyle w:val="VerbatimChar"/>
        </w:rPr>
        <w:t xml:space="preserve">TenantContext::getTenantId()</w:t>
      </w:r>
      <w:r>
        <w:t xml:space="preserve"> </w:t>
      </w:r>
      <w:r>
        <w:t xml:space="preserve">at the controller layer. The</w:t>
      </w:r>
      <w:r>
        <w:t xml:space="preserve"> </w:t>
      </w:r>
      <w:r>
        <w:rPr>
          <w:rStyle w:val="VerbatimChar"/>
        </w:rPr>
        <w:t xml:space="preserve">$tenantId</w:t>
      </w:r>
      <w:r>
        <w:t xml:space="preserve"> </w:t>
      </w:r>
      <w:r>
        <w:t xml:space="preserve">parameter shall appear as the first condition in the WHERE clause of every SQL query within that method. No service method shall accept a</w:t>
      </w:r>
      <w:r>
        <w:t xml:space="preserve"> </w:t>
      </w:r>
      <w:r>
        <w:rPr>
          <w:rStyle w:val="VerbatimChar"/>
        </w:rPr>
        <w:t xml:space="preserve">$tenantId</w:t>
      </w:r>
      <w:r>
        <w:t xml:space="preserve"> </w:t>
      </w:r>
      <w:r>
        <w:t xml:space="preserve">parameter supplied by the caller's request input.</w:t>
      </w:r>
    </w:p>
    <w:p>
      <w:pPr>
        <w:pStyle w:val="BodyText"/>
      </w:pPr>
      <w:r>
        <w:t xml:space="preserve">Example of the required pattern:</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getInvoices(</w:t>
      </w:r>
      <w:r>
        <w:rPr>
          <w:rStyle w:val="DataTypeTok"/>
        </w:rPr>
        <w:t xml:space="preserve">int</w:t>
      </w:r>
      <w:r>
        <w:rPr>
          <w:rStyle w:val="NormalTok"/>
        </w:rPr>
        <w:t xml:space="preserve"> </w:t>
      </w:r>
      <w:r>
        <w:rPr>
          <w:rStyle w:val="VariableTok"/>
        </w:rPr>
        <w:t xml:space="preserve">$tenantId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$filters</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VariableTok"/>
        </w:rPr>
        <w:t xml:space="preserve">$sql</w:t>
      </w:r>
      <w:r>
        <w:rPr>
          <w:rStyle w:val="NormalTok"/>
        </w:rPr>
        <w:t xml:space="preserve"> </w:t>
      </w:r>
      <w:r>
        <w:rPr>
          <w:rStyle w:val="OperatorTok"/>
        </w:rPr>
        <w:t xml:space="preserve">=</w:t>
      </w:r>
      <w:r>
        <w:rPr>
          <w:rStyle w:val="NormalTok"/>
        </w:rPr>
        <w:t xml:space="preserve"> </w:t>
      </w:r>
      <w:r>
        <w:rPr>
          <w:rStyle w:val="StringTok"/>
        </w:rPr>
        <w:t xml:space="preserve">'SELECT * FROM invoices WHERE tenant_id = ? AND ...'</w:t>
      </w:r>
      <w:r>
        <w:rPr>
          <w:rStyle w:val="OtherTok"/>
        </w:rPr>
        <w:t xml:space="preserve">;</w:t>
      </w:r>
      <w:r>
        <w:br/>
      </w:r>
      <w:r>
        <w:rPr>
          <w:rStyle w:val="NormalTok"/>
        </w:rPr>
        <w:t xml:space="preserve">    </w:t>
      </w:r>
      <w:r>
        <w:rPr>
          <w:rStyle w:val="CommentTok"/>
        </w:rPr>
        <w:t xml:space="preserve">// $tenantId resolved by TenantContext, not from $request</w:t>
      </w:r>
      <w:r>
        <w:br/>
      </w:r>
      <w:r>
        <w:rPr>
          <w:rStyle w:val="NormalTok"/>
        </w:rPr>
        <w:t xml:space="preserve">}</w:t>
      </w:r>
    </w:p>
    <w:bookmarkEnd w:id="48"/>
    <w:bookmarkStart w:id="49" w:name="X0f76894319bbffd821278a3ac7a74d8a96dcd98"/>
    <w:p>
      <w:pPr>
        <w:pStyle w:val="Heading3"/>
      </w:pPr>
      <w:r>
        <w:t xml:space="preserve">4.2.3 Query Construction</w:t>
      </w:r>
    </w:p>
    <w:p>
      <w:pPr>
        <w:pStyle w:val="FirstParagraph"/>
      </w:pPr>
      <w:r>
        <w:t xml:space="preserve">All database queries shall use PHP Data Objects (PDO) prepared statements. The</w:t>
      </w:r>
      <w:r>
        <w:t xml:space="preserve"> </w:t>
      </w:r>
      <w:r>
        <w:rPr>
          <w:rStyle w:val="VerbatimChar"/>
        </w:rPr>
        <w:t xml:space="preserve">tenant_id</w:t>
      </w:r>
      <w:r>
        <w:t xml:space="preserve"> </w:t>
      </w:r>
      <w:r>
        <w:t xml:space="preserve">binding shall be the first bound parameter in all multi-tenant queries. No query shall construct the</w:t>
      </w:r>
      <w:r>
        <w:t xml:space="preserve"> </w:t>
      </w:r>
      <w:r>
        <w:rPr>
          <w:rStyle w:val="VerbatimChar"/>
        </w:rPr>
        <w:t xml:space="preserve">tenant_id</w:t>
      </w:r>
      <w:r>
        <w:t xml:space="preserve"> </w:t>
      </w:r>
      <w:r>
        <w:t xml:space="preserve">filter by string concatenation.</w:t>
      </w:r>
    </w:p>
    <w:bookmarkEnd w:id="49"/>
    <w:bookmarkEnd w:id="50"/>
    <w:bookmarkStart w:id="51" w:name="X55fceee370b22676d65151da8eae4ca23267a21"/>
    <w:p>
      <w:pPr>
        <w:pStyle w:val="Heading2"/>
      </w:pPr>
      <w:r>
        <w:t xml:space="preserve">4.3 Cross-Tenant Access Response</w:t>
      </w:r>
    </w:p>
    <w:p>
      <w:pPr>
        <w:pStyle w:val="FirstParagraph"/>
      </w:pPr>
      <w:r>
        <w:t xml:space="preserve">When a request resolves to a resource that exists in the database but belongs to a different tenant than the authenticated tenant, the system shall return HTTP 404. The system shall not return HTTP 403 in this scenario. Returning HTTP 403 would confirm the existence of the resource to the requesting tenant, enabling tenant enumeration. HTTP 404 prevents an attacker from distinguishing between "resource does not exist" and "resource exists but belongs to another tenant."</w:t>
      </w:r>
    </w:p>
    <w:bookmarkEnd w:id="51"/>
    <w:bookmarkStart w:id="52" w:name="X124ae079be54bf1ffd8e9406995451436c273d6"/>
    <w:p>
      <w:pPr>
        <w:pStyle w:val="Heading2"/>
      </w:pPr>
      <w:r>
        <w:t xml:space="preserve">4.4 Stored Procedures and Views</w:t>
      </w:r>
    </w:p>
    <w:p>
      <w:pPr>
        <w:pStyle w:val="FirstParagraph"/>
      </w:pPr>
      <w:r>
        <w:t xml:space="preserve">All stored procedures and SQL views that access multi-tenant tables shall include</w:t>
      </w:r>
      <w:r>
        <w:t xml:space="preserve"> </w:t>
      </w:r>
      <w:r>
        <w:rPr>
          <w:rStyle w:val="VerbatimChar"/>
        </w:rPr>
        <w:t xml:space="preserve">tenant_id</w:t>
      </w:r>
      <w:r>
        <w:t xml:space="preserve"> </w:t>
      </w:r>
      <w:r>
        <w:t xml:space="preserve">as a parameter or filter condition. No stored procedure shall return a result set that spans multiple tenants. Views used for reporting shall be parameterised or filtered by</w:t>
      </w:r>
      <w:r>
        <w:t xml:space="preserve"> </w:t>
      </w:r>
      <w:r>
        <w:rPr>
          <w:rStyle w:val="VerbatimChar"/>
        </w:rPr>
        <w:t xml:space="preserve">tenant_id</w:t>
      </w:r>
      <w:r>
        <w:t xml:space="preserve"> </w:t>
      </w:r>
      <w:r>
        <w:t xml:space="preserve">at query time; no view shall pre-aggregate data across tenant boundaries.</w:t>
      </w:r>
    </w:p>
    <w:bookmarkEnd w:id="52"/>
    <w:bookmarkStart w:id="53" w:name="X051b7f69f99f7c8acf4ecafcca3910c603f12c0"/>
    <w:p>
      <w:pPr>
        <w:pStyle w:val="Heading2"/>
      </w:pPr>
      <w:r>
        <w:t xml:space="preserve">4.5 Background Jobs and Scheduled Tasks</w:t>
      </w:r>
    </w:p>
    <w:p>
      <w:pPr>
        <w:pStyle w:val="FirstParagraph"/>
      </w:pPr>
      <w:r>
        <w:t xml:space="preserve">Batch processing jobs (e.g., period-end GL postings, payroll runs, depreciation calculations) shall be scoped to a single</w:t>
      </w:r>
      <w:r>
        <w:t xml:space="preserve"> </w:t>
      </w:r>
      <w:r>
        <w:rPr>
          <w:rStyle w:val="VerbatimChar"/>
        </w:rPr>
        <w:t xml:space="preserve">tenant_id</w:t>
      </w:r>
      <w:r>
        <w:t xml:space="preserve"> </w:t>
      </w:r>
      <w:r>
        <w:t xml:space="preserve">per execution. No background job shall process records from multiple tenants in a single database transaction. Job dispatch shall include</w:t>
      </w:r>
      <w:r>
        <w:t xml:space="preserve"> </w:t>
      </w:r>
      <w:r>
        <w:rPr>
          <w:rStyle w:val="VerbatimChar"/>
        </w:rPr>
        <w:t xml:space="preserve">$tenantId</w:t>
      </w:r>
      <w:r>
        <w:t xml:space="preserve"> </w:t>
      </w:r>
      <w:r>
        <w:t xml:space="preserve">as an explicit, system-resolved parameter — never inferred from the job queue payload supplied by an external caller.</w:t>
      </w:r>
    </w:p>
    <w:bookmarkEnd w:id="53"/>
    <w:bookmarkStart w:id="54" w:name="X1caadda60d8816dc1367534a37863f61983dbad"/>
    <w:p>
      <w:pPr>
        <w:pStyle w:val="Heading2"/>
      </w:pPr>
      <w:r>
        <w:t xml:space="preserve">4.6 Independent Security Review Requirement</w:t>
      </w:r>
    </w:p>
    <w:p>
      <w:pPr>
        <w:pStyle w:val="FirstParagraph"/>
      </w:pPr>
      <w:r>
        <w:rPr>
          <w:i/>
          <w:iCs/>
        </w:rPr>
        <w:t xml:space="preserve">Pre-production control (Roadmap item GAP-004 — independent isolation review).</w:t>
      </w:r>
      <w:r>
        <w:t xml:space="preserve"> </w:t>
      </w:r>
      <w:r>
        <w:t xml:space="preserve">An independent second-developer security review of the</w:t>
      </w:r>
      <w:r>
        <w:t xml:space="preserve"> </w:t>
      </w:r>
      <w:r>
        <w:rPr>
          <w:rStyle w:val="VerbatimChar"/>
        </w:rPr>
        <w:t xml:space="preserve">tenant_id</w:t>
      </w:r>
      <w:r>
        <w:t xml:space="preserve"> </w:t>
      </w:r>
      <w:r>
        <w:t xml:space="preserve">enforcement implementation is a mandatory gate before any tenant is onboarded to production, with formal written sign-off. The review verifies that every service method, stored procedure, view, and background job satisfies the controls in this section. Enforcement exists in code today through</w:t>
      </w:r>
      <w:r>
        <w:t xml:space="preserve"> </w:t>
      </w:r>
      <w:r>
        <w:rPr>
          <w:rStyle w:val="VerbatimChar"/>
        </w:rPr>
        <w:t xml:space="preserve">TenantContext</w:t>
      </w:r>
      <w:r>
        <w:t xml:space="preserve"> </w:t>
      </w:r>
      <w:r>
        <w:t xml:space="preserve">(tenant resolved from the authenticated session, never from a client-supplied value) and the</w:t>
      </w:r>
      <w:r>
        <w:t xml:space="preserve"> </w:t>
      </w:r>
      <w:r>
        <w:rPr>
          <w:rStyle w:val="VerbatimChar"/>
        </w:rPr>
        <w:t xml:space="preserve">EnsureTenantActive</w:t>
      </w:r>
      <w:r>
        <w:t xml:space="preserve">/</w:t>
      </w:r>
      <w:r>
        <w:rPr>
          <w:rStyle w:val="VerbatimChar"/>
        </w:rPr>
        <w:t xml:space="preserve">EnsureTenantSelected</w:t>
      </w:r>
      <w:r>
        <w:t xml:space="preserve"> </w:t>
      </w:r>
      <w:r>
        <w:t xml:space="preserve">middleware; the independent review attests that enforcement. This gate is tracked in the risk register and the control-evidence matrix.</w:t>
      </w:r>
    </w:p>
    <w:p>
      <w:pPr>
        <w:pStyle w:val="BodyText"/>
      </w:pPr>
      <w:r>
        <w:t xml:space="preserve">The review artefact shall be stored in</w:t>
      </w:r>
      <w:r>
        <w:t xml:space="preserve"> </w:t>
      </w:r>
      <w:r>
        <w:rPr>
          <w:rStyle w:val="VerbatimChar"/>
        </w:rPr>
        <w:t xml:space="preserve">09-governance-compliance/02-audit-report/</w:t>
      </w:r>
      <w:r>
        <w:t xml:space="preserve"> </w:t>
      </w:r>
      <w:r>
        <w:t xml:space="preserve">and referenced in the pre-launch compliance checklist (Section 10).</w:t>
      </w:r>
    </w:p>
    <w:bookmarkEnd w:id="54"/>
    <w:bookmarkEnd w:id="55"/>
    <w:bookmarkStart w:id="66" w:name="audit-log-security-requirements"/>
    <w:p>
      <w:pPr>
        <w:pStyle w:val="Heading1"/>
      </w:pPr>
      <w:r>
        <w:t xml:space="preserve">Audit Log Security Requirements</w:t>
      </w:r>
    </w:p>
    <w:bookmarkStart w:id="56" w:name="X181a6510d45a95f33ca5c1830b1a409f48e8ce5"/>
    <w:p>
      <w:pPr>
        <w:pStyle w:val="Heading2"/>
      </w:pPr>
      <w:r>
        <w:t xml:space="preserve">5.1 Purpose</w:t>
      </w:r>
    </w:p>
    <w:p>
      <w:pPr>
        <w:pStyle w:val="FirstParagraph"/>
      </w:pPr>
      <w:r>
        <w:t xml:space="preserve">The audit log is the authoritative record of all state-changing activity within Kraal Code. It serves three functions: regulatory compliance (Uganda Companies Act 7-year retention requirement), security forensics (breach investigation, privilege abuse detection), and tenant accountability (tenant administrators reviewing activity on their own data). The audit log is a security control, not a reporting convenience.</w:t>
      </w:r>
    </w:p>
    <w:p>
      <w:pPr>
        <w:pStyle w:val="BodyText"/>
      </w:pPr>
      <w:r>
        <w:rPr>
          <w:b/>
          <w:bCs/>
        </w:rPr>
        <w:t xml:space="preserve">NFR-SEC-002</w:t>
      </w:r>
      <w:r>
        <w:t xml:space="preserve"> </w:t>
      </w:r>
      <w:r>
        <w:t xml:space="preserve">(sourced from</w:t>
      </w:r>
      <w:r>
        <w:t xml:space="preserve"> </w:t>
      </w:r>
      <w:r>
        <w:rPr>
          <w:rStyle w:val="VerbatimChar"/>
        </w:rPr>
        <w:t xml:space="preserve">_context/domain.md</w:t>
      </w:r>
      <w:r>
        <w:t xml:space="preserve">) states:</w:t>
      </w:r>
      <w:r>
        <w:t xml:space="preserve"> </w:t>
      </w:r>
      <w:r>
        <w:rPr>
          <w:i/>
          <w:iCs/>
        </w:rPr>
        <w:t xml:space="preserve">The system shall ensure that no audit log record can be updated or deleted by any user, including super administrators. The audit log table shall be INSERT-only.</w:t>
      </w:r>
    </w:p>
    <w:bookmarkEnd w:id="56"/>
    <w:bookmarkStart w:id="61" w:name="Xa3adfad27954127bd0f96af2937cc2266b9724d"/>
    <w:p>
      <w:pPr>
        <w:pStyle w:val="Heading2"/>
      </w:pPr>
      <w:r>
        <w:t xml:space="preserve">5.2 Immutability Enforcement</w:t>
      </w:r>
    </w:p>
    <w:bookmarkStart w:id="57" w:name="Xfe06cc1e3b6e6f0abc077479153acb799564168"/>
    <w:p>
      <w:pPr>
        <w:pStyle w:val="Heading3"/>
      </w:pPr>
      <w:r>
        <w:t xml:space="preserve">5.2.1 Database Privilege Control</w:t>
      </w:r>
    </w:p>
    <w:p>
      <w:pPr>
        <w:pStyle w:val="FirstParagraph"/>
      </w:pPr>
      <w:r>
        <w:t xml:space="preserve">The application database user shall hold INSERT privilege only on the</w:t>
      </w:r>
      <w:r>
        <w:t xml:space="preserve"> </w:t>
      </w:r>
      <w:r>
        <w:rPr>
          <w:rStyle w:val="VerbatimChar"/>
        </w:rPr>
        <w:t xml:space="preserve">audit_log</w:t>
      </w:r>
      <w:r>
        <w:t xml:space="preserve"> </w:t>
      </w:r>
      <w:r>
        <w:t xml:space="preserve">table. UPDATE and DELETE privileges on</w:t>
      </w:r>
      <w:r>
        <w:t xml:space="preserve"> </w:t>
      </w:r>
      <w:r>
        <w:rPr>
          <w:rStyle w:val="VerbatimChar"/>
        </w:rPr>
        <w:t xml:space="preserve">audit_log</w:t>
      </w:r>
      <w:r>
        <w:t xml:space="preserve"> </w:t>
      </w:r>
      <w:r>
        <w:t xml:space="preserve">shall not be granted to the application database user, the super admin database user, or any application-layer role. This restriction shall be enforced by the database server's privilege system, not solely by application logic.</w:t>
      </w:r>
    </w:p>
    <w:bookmarkEnd w:id="57"/>
    <w:bookmarkStart w:id="58" w:name="Xb30bc58bea88bdbacf8b9832e70f7723ba19ce3"/>
    <w:p>
      <w:pPr>
        <w:pStyle w:val="Heading3"/>
      </w:pPr>
      <w:r>
        <w:t xml:space="preserve">5.2.2 No Soft Delete</w:t>
      </w:r>
    </w:p>
    <w:p>
      <w:pPr>
        <w:pStyle w:val="FirstParagraph"/>
      </w:pPr>
      <w:r>
        <w:t xml:space="preserve">The</w:t>
      </w:r>
      <w:r>
        <w:t xml:space="preserve"> </w:t>
      </w:r>
      <w:r>
        <w:rPr>
          <w:rStyle w:val="VerbatimChar"/>
        </w:rPr>
        <w:t xml:space="preserve">audit_log</w:t>
      </w:r>
      <w:r>
        <w:t xml:space="preserve"> </w:t>
      </w:r>
      <w:r>
        <w:t xml:space="preserve">table shall not contain a</w:t>
      </w:r>
      <w:r>
        <w:t xml:space="preserve"> </w:t>
      </w:r>
      <w:r>
        <w:rPr>
          <w:rStyle w:val="VerbatimChar"/>
        </w:rPr>
        <w:t xml:space="preserve">deleted_at</w:t>
      </w:r>
      <w:r>
        <w:t xml:space="preserve"> </w:t>
      </w:r>
      <w:r>
        <w:t xml:space="preserve">column, an</w:t>
      </w:r>
      <w:r>
        <w:t xml:space="preserve"> </w:t>
      </w:r>
      <w:r>
        <w:rPr>
          <w:rStyle w:val="VerbatimChar"/>
        </w:rPr>
        <w:t xml:space="preserve">is_deleted</w:t>
      </w:r>
      <w:r>
        <w:t xml:space="preserve"> </w:t>
      </w:r>
      <w:r>
        <w:t xml:space="preserve">flag, or any mechanism that marks records as inactive. Every row written to</w:t>
      </w:r>
      <w:r>
        <w:t xml:space="preserve"> </w:t>
      </w:r>
      <w:r>
        <w:rPr>
          <w:rStyle w:val="VerbatimChar"/>
        </w:rPr>
        <w:t xml:space="preserve">audit_log</w:t>
      </w:r>
      <w:r>
        <w:t xml:space="preserve"> </w:t>
      </w:r>
      <w:r>
        <w:t xml:space="preserve">remains permanently readable.</w:t>
      </w:r>
    </w:p>
    <w:bookmarkEnd w:id="58"/>
    <w:bookmarkStart w:id="59" w:name="Xb3ad0f898fb2be7151724e17908b5b2c0066595"/>
    <w:p>
      <w:pPr>
        <w:pStyle w:val="Heading3"/>
      </w:pPr>
      <w:r>
        <w:t xml:space="preserve">5.2.3 No Bulk Export and Delete Workflow</w:t>
      </w:r>
    </w:p>
    <w:p>
      <w:pPr>
        <w:pStyle w:val="FirstParagraph"/>
      </w:pPr>
      <w:r>
        <w:t xml:space="preserve">The system shall not provide any interface — administrative, API-based, or scripted — that exports audit log data and then deletes the source records. Archival of audit log data shall duplicate records to an archive store; it shall not remove records from the live</w:t>
      </w:r>
      <w:r>
        <w:t xml:space="preserve"> </w:t>
      </w:r>
      <w:r>
        <w:rPr>
          <w:rStyle w:val="VerbatimChar"/>
        </w:rPr>
        <w:t xml:space="preserve">audit_log</w:t>
      </w:r>
      <w:r>
        <w:t xml:space="preserve"> </w:t>
      </w:r>
      <w:r>
        <w:t xml:space="preserve">table within the 7-year retention window.</w:t>
      </w:r>
    </w:p>
    <w:bookmarkEnd w:id="59"/>
    <w:bookmarkStart w:id="60" w:name="X8ed0a79798787a4fdb3a2d23e14fbe66331ec05"/>
    <w:p>
      <w:pPr>
        <w:pStyle w:val="Heading3"/>
      </w:pPr>
      <w:r>
        <w:t xml:space="preserve">5.2.4 Verification</w:t>
      </w:r>
    </w:p>
    <w:p>
      <w:pPr>
        <w:pStyle w:val="FirstParagraph"/>
      </w:pPr>
      <w:r>
        <w:t xml:space="preserve">Audit log immutability shall be verified by penetration test before production launch. The penetration test shall attempt UPDATE and DELETE operations on</w:t>
      </w:r>
      <w:r>
        <w:t xml:space="preserve"> </w:t>
      </w:r>
      <w:r>
        <w:rPr>
          <w:rStyle w:val="VerbatimChar"/>
        </w:rPr>
        <w:t xml:space="preserve">audit_log</w:t>
      </w:r>
      <w:r>
        <w:t xml:space="preserve"> </w:t>
      </w:r>
      <w:r>
        <w:t xml:space="preserve">from the application database user and from a simulated super admin user, and shall confirm both are rejected at the database level. The test result shall be documented in</w:t>
      </w:r>
      <w:r>
        <w:t xml:space="preserve"> </w:t>
      </w:r>
      <w:r>
        <w:rPr>
          <w:rStyle w:val="VerbatimChar"/>
        </w:rPr>
        <w:t xml:space="preserve">09-governance-compliance/02-audit-report/</w:t>
      </w:r>
      <w:r>
        <w:t xml:space="preserve">.</w:t>
      </w:r>
    </w:p>
    <w:bookmarkEnd w:id="60"/>
    <w:bookmarkEnd w:id="61"/>
    <w:bookmarkStart w:id="62" w:name="Xe87c1af15d6c554b3291dd020b8c28d67d9d13f"/>
    <w:p>
      <w:pPr>
        <w:pStyle w:val="Heading2"/>
      </w:pPr>
      <w:r>
        <w:t xml:space="preserve">5.3 Events Captured</w:t>
      </w:r>
    </w:p>
    <w:p>
      <w:pPr>
        <w:pStyle w:val="FirstParagraph"/>
      </w:pPr>
      <w:r>
        <w:t xml:space="preserve">The system shall write an audit record for every occurrence of the following event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 Type</w:t>
            </w:r>
          </w:p>
        </w:tc>
        <w:tc>
          <w:tcPr/>
          <w:p>
            <w:pPr>
              <w:pStyle w:val="Compact"/>
            </w:pPr>
            <w:r>
              <w:t xml:space="preserve">Fields Logged</w:t>
            </w:r>
          </w:p>
        </w:tc>
      </w:tr>
      <w:tr>
        <w:tc>
          <w:tcPr/>
          <w:p>
            <w:pPr>
              <w:pStyle w:val="Compact"/>
            </w:pPr>
            <w:r>
              <w:t xml:space="preserve">Record created</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 = CREATE</w:t>
            </w:r>
            <w:r>
              <w:t xml:space="preserve">,</w:t>
            </w:r>
            <w:r>
              <w:t xml:space="preserve"> </w:t>
            </w:r>
            <w:r>
              <w:rPr>
                <w:rStyle w:val="VerbatimChar"/>
              </w:rPr>
              <w:t xml:space="preserve">record_id</w:t>
            </w:r>
            <w:r>
              <w:t xml:space="preserve">, new values (JSON), IP address, timestamp</w:t>
            </w:r>
          </w:p>
        </w:tc>
      </w:tr>
      <w:tr>
        <w:tc>
          <w:tcPr/>
          <w:p>
            <w:pPr>
              <w:pStyle w:val="Compact"/>
            </w:pPr>
            <w:r>
              <w:t xml:space="preserve">Record updated</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 = UPDATE</w:t>
            </w:r>
            <w:r>
              <w:t xml:space="preserve">,</w:t>
            </w:r>
            <w:r>
              <w:t xml:space="preserve"> </w:t>
            </w:r>
            <w:r>
              <w:rPr>
                <w:rStyle w:val="VerbatimChar"/>
              </w:rPr>
              <w:t xml:space="preserve">record_id</w:t>
            </w:r>
            <w:r>
              <w:t xml:space="preserve">, old values (JSON), new values (JSON), IP address, timestamp</w:t>
            </w:r>
          </w:p>
        </w:tc>
      </w:tr>
      <w:tr>
        <w:tc>
          <w:tcPr/>
          <w:p>
            <w:pPr>
              <w:pStyle w:val="Compact"/>
            </w:pPr>
            <w:r>
              <w:t xml:space="preserve">Record deleted</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 = DELETE</w:t>
            </w:r>
            <w:r>
              <w:t xml:space="preserve">,</w:t>
            </w:r>
            <w:r>
              <w:t xml:space="preserve"> </w:t>
            </w:r>
            <w:r>
              <w:rPr>
                <w:rStyle w:val="VerbatimChar"/>
              </w:rPr>
              <w:t xml:space="preserve">record_id</w:t>
            </w:r>
            <w:r>
              <w:t xml:space="preserve">, old values (JSON), IP address, timestamp</w:t>
            </w:r>
          </w:p>
        </w:tc>
      </w:tr>
      <w:tr>
        <w:tc>
          <w:tcPr/>
          <w:p>
            <w:pPr>
              <w:pStyle w:val="Compact"/>
            </w:pPr>
            <w:r>
              <w:t xml:space="preserve">Approval action</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 = APPROVE</w:t>
            </w:r>
            <w:r>
              <w:t xml:space="preserve"> </w:t>
            </w:r>
            <w:r>
              <w:t xml:space="preserve">or</w:t>
            </w:r>
            <w:r>
              <w:t xml:space="preserve"> </w:t>
            </w:r>
            <w:r>
              <w:rPr>
                <w:rStyle w:val="VerbatimChar"/>
              </w:rPr>
              <w:t xml:space="preserve">REJECT</w:t>
            </w:r>
            <w:r>
              <w:t xml:space="preserve">,</w:t>
            </w:r>
            <w:r>
              <w:t xml:space="preserve"> </w:t>
            </w:r>
            <w:r>
              <w:rPr>
                <w:rStyle w:val="VerbatimChar"/>
              </w:rPr>
              <w:t xml:space="preserve">record_id</w:t>
            </w:r>
            <w:r>
              <w:t xml:space="preserve">, approval level, comment, IP address, timestamp</w:t>
            </w:r>
          </w:p>
        </w:tc>
      </w:tr>
      <w:tr>
        <w:tc>
          <w:tcPr/>
          <w:p>
            <w:pPr>
              <w:pStyle w:val="Compact"/>
            </w:pPr>
            <w:r>
              <w:t xml:space="preserve">Login</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action = LOGIN</w:t>
            </w:r>
            <w:r>
              <w:t xml:space="preserve">, authentication method (web session / JWT mobile), IP address, timestamp</w:t>
            </w:r>
          </w:p>
        </w:tc>
      </w:tr>
      <w:tr>
        <w:tc>
          <w:tcPr/>
          <w:p>
            <w:pPr>
              <w:pStyle w:val="Compact"/>
            </w:pPr>
            <w:r>
              <w:t xml:space="preserve">Logout</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action = LOGOUT</w:t>
            </w:r>
            <w:r>
              <w:t xml:space="preserve">, IP address, timestamp</w:t>
            </w:r>
          </w:p>
        </w:tc>
      </w:tr>
      <w:tr>
        <w:tc>
          <w:tcPr/>
          <w:p>
            <w:pPr>
              <w:pStyle w:val="Compact"/>
            </w:pPr>
            <w:r>
              <w:t xml:space="preserve">Login failure</w:t>
            </w:r>
          </w:p>
        </w:tc>
        <w:tc>
          <w:tcPr/>
          <w:p>
            <w:pPr>
              <w:pStyle w:val="Compact"/>
            </w:pPr>
            <w:r>
              <w:rPr>
                <w:rStyle w:val="VerbatimChar"/>
              </w:rPr>
              <w:t xml:space="preserve">tenant_id</w:t>
            </w:r>
            <w:r>
              <w:t xml:space="preserve">, supplied username (no password),</w:t>
            </w:r>
            <w:r>
              <w:t xml:space="preserve"> </w:t>
            </w:r>
            <w:r>
              <w:rPr>
                <w:rStyle w:val="VerbatimChar"/>
              </w:rPr>
              <w:t xml:space="preserve">action = LOGIN_FAILED</w:t>
            </w:r>
            <w:r>
              <w:t xml:space="preserve">, failure reason code, IP address, timestamp</w:t>
            </w:r>
          </w:p>
        </w:tc>
      </w:tr>
      <w:tr>
        <w:tc>
          <w:tcPr/>
          <w:p>
            <w:pPr>
              <w:pStyle w:val="Compact"/>
            </w:pPr>
            <w:r>
              <w:t xml:space="preserve">Super admin impersonation start</w:t>
            </w:r>
          </w:p>
        </w:tc>
        <w:tc>
          <w:tcPr/>
          <w:p>
            <w:pPr>
              <w:pStyle w:val="Compact"/>
            </w:pPr>
            <w:r>
              <w:rPr>
                <w:rStyle w:val="VerbatimChar"/>
              </w:rPr>
              <w:t xml:space="preserve">tenant_id</w:t>
            </w:r>
            <w:r>
              <w:t xml:space="preserve">,</w:t>
            </w:r>
            <w:r>
              <w:t xml:space="preserve"> </w:t>
            </w:r>
            <w:r>
              <w:rPr>
                <w:rStyle w:val="VerbatimChar"/>
              </w:rPr>
              <w:t xml:space="preserve">super_admin_user_id</w:t>
            </w:r>
            <w:r>
              <w:t xml:space="preserve">,</w:t>
            </w:r>
            <w:r>
              <w:t xml:space="preserve"> </w:t>
            </w:r>
            <w:r>
              <w:rPr>
                <w:rStyle w:val="VerbatimChar"/>
              </w:rPr>
              <w:t xml:space="preserve">action = IMPERSONATE_START</w:t>
            </w:r>
            <w:r>
              <w:t xml:space="preserve">,</w:t>
            </w:r>
            <w:r>
              <w:t xml:space="preserve"> </w:t>
            </w:r>
            <w:r>
              <w:rPr>
                <w:rStyle w:val="VerbatimChar"/>
              </w:rPr>
              <w:t xml:space="preserve">super_admin_origin = TRUE</w:t>
            </w:r>
            <w:r>
              <w:t xml:space="preserve">, IP address, timestamp</w:t>
            </w:r>
          </w:p>
        </w:tc>
      </w:tr>
      <w:tr>
        <w:tc>
          <w:tcPr/>
          <w:p>
            <w:pPr>
              <w:pStyle w:val="Compact"/>
            </w:pPr>
            <w:r>
              <w:t xml:space="preserve">Super admin impersonation end</w:t>
            </w:r>
          </w:p>
        </w:tc>
        <w:tc>
          <w:tcPr/>
          <w:p>
            <w:pPr>
              <w:pStyle w:val="Compact"/>
            </w:pPr>
            <w:r>
              <w:rPr>
                <w:rStyle w:val="VerbatimChar"/>
              </w:rPr>
              <w:t xml:space="preserve">tenant_id</w:t>
            </w:r>
            <w:r>
              <w:t xml:space="preserve">,</w:t>
            </w:r>
            <w:r>
              <w:t xml:space="preserve"> </w:t>
            </w:r>
            <w:r>
              <w:rPr>
                <w:rStyle w:val="VerbatimChar"/>
              </w:rPr>
              <w:t xml:space="preserve">super_admin_user_id</w:t>
            </w:r>
            <w:r>
              <w:t xml:space="preserve">,</w:t>
            </w:r>
            <w:r>
              <w:t xml:space="preserve"> </w:t>
            </w:r>
            <w:r>
              <w:rPr>
                <w:rStyle w:val="VerbatimChar"/>
              </w:rPr>
              <w:t xml:space="preserve">action = IMPERSONATE_END</w:t>
            </w:r>
            <w:r>
              <w:t xml:space="preserve">, session duration, IP address, timestamp</w:t>
            </w:r>
          </w:p>
        </w:tc>
      </w:tr>
      <w:tr>
        <w:tc>
          <w:tcPr/>
          <w:p>
            <w:pPr>
              <w:pStyle w:val="Compact"/>
            </w:pPr>
            <w:r>
              <w:t xml:space="preserve">Role change</w:t>
            </w:r>
          </w:p>
        </w:tc>
        <w:tc>
          <w:tcPr/>
          <w:p>
            <w:pPr>
              <w:pStyle w:val="Compact"/>
            </w:pPr>
            <w:r>
              <w:rPr>
                <w:rStyle w:val="VerbatimChar"/>
              </w:rPr>
              <w:t xml:space="preserve">tenant_id</w:t>
            </w:r>
            <w:r>
              <w:t xml:space="preserve">,</w:t>
            </w:r>
            <w:r>
              <w:t xml:space="preserve"> </w:t>
            </w:r>
            <w:r>
              <w:rPr>
                <w:rStyle w:val="VerbatimChar"/>
              </w:rPr>
              <w:t xml:space="preserve">admin_user_id</w:t>
            </w:r>
            <w:r>
              <w:t xml:space="preserve">,</w:t>
            </w:r>
            <w:r>
              <w:t xml:space="preserve"> </w:t>
            </w:r>
            <w:r>
              <w:rPr>
                <w:rStyle w:val="VerbatimChar"/>
              </w:rPr>
              <w:t xml:space="preserve">affected_user_id</w:t>
            </w:r>
            <w:r>
              <w:t xml:space="preserve">,</w:t>
            </w:r>
            <w:r>
              <w:t xml:space="preserve"> </w:t>
            </w:r>
            <w:r>
              <w:rPr>
                <w:rStyle w:val="VerbatimChar"/>
              </w:rPr>
              <w:t xml:space="preserve">action = ROLE_CHANGE</w:t>
            </w:r>
            <w:r>
              <w:t xml:space="preserve">, old role, new role, IP address, timestamp</w:t>
            </w:r>
          </w:p>
        </w:tc>
      </w:tr>
      <w:tr>
        <w:tc>
          <w:tcPr/>
          <w:p>
            <w:pPr>
              <w:pStyle w:val="Compact"/>
            </w:pPr>
            <w:r>
              <w:t xml:space="preserve">Account enable/disable</w:t>
            </w:r>
          </w:p>
        </w:tc>
        <w:tc>
          <w:tcPr/>
          <w:p>
            <w:pPr>
              <w:pStyle w:val="Compact"/>
            </w:pPr>
            <w:r>
              <w:rPr>
                <w:rStyle w:val="VerbatimChar"/>
              </w:rPr>
              <w:t xml:space="preserve">tenant_id</w:t>
            </w:r>
            <w:r>
              <w:t xml:space="preserve">,</w:t>
            </w:r>
            <w:r>
              <w:t xml:space="preserve"> </w:t>
            </w:r>
            <w:r>
              <w:rPr>
                <w:rStyle w:val="VerbatimChar"/>
              </w:rPr>
              <w:t xml:space="preserve">admin_user_id</w:t>
            </w:r>
            <w:r>
              <w:t xml:space="preserve">,</w:t>
            </w:r>
            <w:r>
              <w:t xml:space="preserve"> </w:t>
            </w:r>
            <w:r>
              <w:rPr>
                <w:rStyle w:val="VerbatimChar"/>
              </w:rPr>
              <w:t xml:space="preserve">affected_user_id</w:t>
            </w:r>
            <w:r>
              <w:t xml:space="preserve">,</w:t>
            </w:r>
            <w:r>
              <w:t xml:space="preserve"> </w:t>
            </w:r>
            <w:r>
              <w:rPr>
                <w:rStyle w:val="VerbatimChar"/>
              </w:rPr>
              <w:t xml:space="preserve">action = ACCOUNT_STATUS_CHANGE</w:t>
            </w:r>
            <w:r>
              <w:t xml:space="preserve">, old status, new status, IP address, timestamp</w:t>
            </w:r>
          </w:p>
        </w:tc>
      </w:tr>
      <w:tr>
        <w:tc>
          <w:tcPr/>
          <w:p>
            <w:pPr>
              <w:pStyle w:val="Compact"/>
            </w:pPr>
            <w:r>
              <w:t xml:space="preserve">Refresh token reuse detected</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action = REFRESH_TOKEN_REUSE_DETECTED</w:t>
            </w:r>
            <w:r>
              <w:t xml:space="preserve">, IP address, timestamp</w:t>
            </w:r>
          </w:p>
        </w:tc>
      </w:tr>
    </w:tbl>
    <w:bookmarkEnd w:id="62"/>
    <w:bookmarkStart w:id="63" w:name="X284e0ece7648162c5a3095892fec7c2f8eb83e0"/>
    <w:p>
      <w:pPr>
        <w:pStyle w:val="Heading2"/>
      </w:pPr>
      <w:r>
        <w:t xml:space="preserve">5.4 Sensitive Data in Audit Records</w:t>
      </w:r>
    </w:p>
    <w:p>
      <w:pPr>
        <w:pStyle w:val="FirstParagraph"/>
      </w:pPr>
      <w:r>
        <w:t xml:space="preserve">The system shall not write plaintext passwords, full bank account numbers, or biometric data to the audit log. For sensitive fields subject to encryption at rest (see Section 6), the audit log shall record a masked representation (e.g., the last 4 digits of a bank account number, not the full value). Old and new value JSON blobs shall exclude fields designated as audit-masked in the schema definition.</w:t>
      </w:r>
    </w:p>
    <w:bookmarkEnd w:id="63"/>
    <w:bookmarkStart w:id="64" w:name="X773ba88c9fdd3c541c66140913b4a6d9896adcd"/>
    <w:p>
      <w:pPr>
        <w:pStyle w:val="Heading2"/>
      </w:pPr>
      <w:r>
        <w:t xml:space="preserve">5.5 External Auditor Access</w:t>
      </w:r>
    </w:p>
    <w:p>
      <w:pPr>
        <w:pStyle w:val="FirstParagraph"/>
      </w:pPr>
      <w:r>
        <w:t xml:space="preserve">The system shall provide a named database role</w:t>
      </w:r>
      <w:r>
        <w:t xml:space="preserve"> </w:t>
      </w:r>
      <w:r>
        <w:rPr>
          <w:rStyle w:val="VerbatimChar"/>
        </w:rPr>
        <w:t xml:space="preserve">external_auditor_ro</w:t>
      </w:r>
      <w:r>
        <w:t xml:space="preserve"> </w:t>
      </w:r>
      <w:r>
        <w:t xml:space="preserve">with the following access profile:</w:t>
      </w:r>
    </w:p>
    <w:p>
      <w:pPr>
        <w:pStyle w:val="Compact"/>
        <w:numPr>
          <w:ilvl w:val="0"/>
          <w:numId w:val="1009"/>
        </w:numPr>
      </w:pPr>
      <w:r>
        <w:t xml:space="preserve">SELECT on</w:t>
      </w:r>
      <w:r>
        <w:t xml:space="preserve"> </w:t>
      </w:r>
      <w:r>
        <w:rPr>
          <w:rStyle w:val="VerbatimChar"/>
        </w:rPr>
        <w:t xml:space="preserve">audit_log</w:t>
      </w:r>
      <w:r>
        <w:t xml:space="preserve">.</w:t>
      </w:r>
    </w:p>
    <w:p>
      <w:pPr>
        <w:pStyle w:val="Compact"/>
        <w:numPr>
          <w:ilvl w:val="0"/>
          <w:numId w:val="1009"/>
        </w:numPr>
      </w:pPr>
      <w:r>
        <w:t xml:space="preserve">Access to the audit log search and export interface in the Tenant Workspace.</w:t>
      </w:r>
    </w:p>
    <w:p>
      <w:pPr>
        <w:pStyle w:val="Compact"/>
        <w:numPr>
          <w:ilvl w:val="0"/>
          <w:numId w:val="1009"/>
        </w:numPr>
      </w:pPr>
      <w:r>
        <w:t xml:space="preserve">No INSERT, UPDATE, or DELETE permission on any table.</w:t>
      </w:r>
    </w:p>
    <w:p>
      <w:pPr>
        <w:pStyle w:val="Compact"/>
        <w:numPr>
          <w:ilvl w:val="0"/>
          <w:numId w:val="1009"/>
        </w:numPr>
      </w:pPr>
      <w:r>
        <w:t xml:space="preserve">No access to operational data tables (invoices, payroll records, inventory transactions, etc.) except through aggregate reporting views explicitly scoped for audit purposes.</w:t>
      </w:r>
    </w:p>
    <w:p>
      <w:pPr>
        <w:pStyle w:val="FirstParagraph"/>
      </w:pPr>
      <w:r>
        <w:t xml:space="preserve">Assignment of the</w:t>
      </w:r>
      <w:r>
        <w:t xml:space="preserve"> </w:t>
      </w:r>
      <w:r>
        <w:rPr>
          <w:rStyle w:val="VerbatimChar"/>
        </w:rPr>
        <w:t xml:space="preserve">external_auditor_ro</w:t>
      </w:r>
      <w:r>
        <w:t xml:space="preserve"> </w:t>
      </w:r>
      <w:r>
        <w:t xml:space="preserve">role to a user account is an administrative action logged in the audit log.</w:t>
      </w:r>
    </w:p>
    <w:bookmarkEnd w:id="64"/>
    <w:bookmarkStart w:id="65" w:name="Xc80f77fef448b6b8ba24e9af983b4c8e332620e"/>
    <w:p>
      <w:pPr>
        <w:pStyle w:val="Heading2"/>
      </w:pPr>
      <w:r>
        <w:t xml:space="preserve">5.6 Retention Policy</w:t>
      </w:r>
    </w:p>
    <w:p>
      <w:pPr>
        <w:pStyle w:val="FirstParagraph"/>
      </w:pPr>
      <w:r>
        <w:t xml:space="preserve">The system shall retain all audit log records for a minimum of 7 years from the date of the recorded event, consistent with the Uganda Companies Act retention requirement. The minimum compliant retention period is 5 years; the 7-year default provides a 2-year buffer for regulatory changes. Tenant offboarding shall not result in deletion of audit log records within the retention window. Section 6.6 specifies the data deletion procedure for tenant offboarding and its interaction with audit retention obligations.</w:t>
      </w:r>
    </w:p>
    <w:bookmarkEnd w:id="65"/>
    <w:bookmarkEnd w:id="66"/>
    <w:bookmarkStart w:id="77" w:name="data-protection-and-privacy"/>
    <w:p>
      <w:pPr>
        <w:pStyle w:val="Heading1"/>
      </w:pPr>
      <w:r>
        <w:t xml:space="preserve">Data Protection and Privacy</w:t>
      </w:r>
    </w:p>
    <w:bookmarkStart w:id="67" w:name="X09182e2968ee2aa8bb1a3976c647ad1f1d5477e"/>
    <w:p>
      <w:pPr>
        <w:pStyle w:val="Heading2"/>
      </w:pPr>
      <w:r>
        <w:t xml:space="preserve">6.1 Governing Legislation</w:t>
      </w:r>
    </w:p>
    <w:p>
      <w:pPr>
        <w:pStyle w:val="FirstParagraph"/>
      </w:pPr>
      <w:r>
        <w:t xml:space="preserve">Kraal Code processes personal data on behalf of its tenants. The primary governing legislation is the Uganda Data Protection and Privacy Act 2019 (PDPA). Kraal Code operates as a</w:t>
      </w:r>
      <w:r>
        <w:t xml:space="preserve"> </w:t>
      </w:r>
      <w:r>
        <w:rPr>
          <w:i/>
          <w:iCs/>
        </w:rPr>
        <w:t xml:space="preserve">data processor</w:t>
      </w:r>
      <w:r>
        <w:t xml:space="preserve"> </w:t>
      </w:r>
      <w:r>
        <w:t xml:space="preserve">for each tenant, who is the</w:t>
      </w:r>
      <w:r>
        <w:t xml:space="preserve"> </w:t>
      </w:r>
      <w:r>
        <w:rPr>
          <w:i/>
          <w:iCs/>
        </w:rPr>
        <w:t xml:space="preserve">data controller</w:t>
      </w:r>
      <w:r>
        <w:t xml:space="preserve"> </w:t>
      </w:r>
      <w:r>
        <w:t xml:space="preserve">for their employees, customers, and suppliers. The obligations of both parties shall be documented in the Tenant Service Agreement.</w:t>
      </w:r>
    </w:p>
    <w:p>
      <w:pPr>
        <w:pStyle w:val="BodyText"/>
      </w:pPr>
      <w:r>
        <w:rPr>
          <w:i/>
          <w:iCs/>
        </w:rPr>
        <w:t xml:space="preserve">Interim compliance position (Roadmap item GAP-007 — independent legal review).</w:t>
      </w:r>
      <w:r>
        <w:t xml:space="preserve"> </w:t>
      </w:r>
      <w:r>
        <w:t xml:space="preserve">Until an external Ugandan data-protection legal review is completed and signed off, this section operates the minimum compliance baseline in Section 6.2: configurable per-category retention, subject-access export within 72 hours, a maintained sub-processor register, and explicit consent capture for sensitive HR data. Requirements annotated</w:t>
      </w:r>
      <w:r>
        <w:t xml:space="preserve"> </w:t>
      </w:r>
      <w:r>
        <w:rPr>
          <w:rStyle w:val="VerbatimChar"/>
        </w:rPr>
        <w:t xml:space="preserve">[PENDING GAP-007]</w:t>
      </w:r>
      <w:r>
        <w:t xml:space="preserve"> </w:t>
      </w:r>
      <w:r>
        <w:t xml:space="preserve">are baselined at this minimum and will be tightened, not relaxed, once the legal review confirms statutory retention limits, access-request scope, sub-processor terms, and consent rules. The legal review is a pre-production gate tracked in the risk register.</w:t>
      </w:r>
    </w:p>
    <w:bookmarkEnd w:id="67"/>
    <w:bookmarkStart w:id="72" w:name="X36f911a1f7335e708c248cc478be74944966f45"/>
    <w:p>
      <w:pPr>
        <w:pStyle w:val="Heading2"/>
      </w:pPr>
      <w:r>
        <w:t xml:space="preserve">6.2 Known PDPA Obligations</w:t>
      </w:r>
    </w:p>
    <w:p>
      <w:pPr>
        <w:pStyle w:val="FirstParagraph"/>
      </w:pPr>
      <w:r>
        <w:t xml:space="preserve">The following obligations are known at the time of writing. They represent a minimum compliance baseline and shall be superseded by the findings of the GAP-007 legal review.</w:t>
      </w:r>
    </w:p>
    <w:bookmarkStart w:id="68" w:name="Xfe777c4bf6daf39f5b58ad1e7c67f3488285442"/>
    <w:p>
      <w:pPr>
        <w:pStyle w:val="Heading3"/>
      </w:pPr>
      <w:r>
        <w:t xml:space="preserve">6.2.1 Data Retention Limits</w:t>
      </w:r>
      <w:r>
        <w:t xml:space="preserve"> </w:t>
      </w:r>
      <w:r>
        <w:rPr>
          <w:rStyle w:val="VerbatimChar"/>
        </w:rPr>
        <w:t xml:space="preserve">[PENDING GAP-007]</w:t>
      </w:r>
    </w:p>
    <w:p>
      <w:pPr>
        <w:pStyle w:val="FirstParagraph"/>
      </w:pPr>
      <w:r>
        <w:t xml:space="preserve">The system shall support configurable data retention periods per data category. Default retention periods shall be defined in consultation with legal counsel following the GAP-007 review. The system shall provide a tenant-accessible data retention policy configuration screen in the Tenant Workspace settings module.</w:t>
      </w:r>
    </w:p>
    <w:bookmarkEnd w:id="68"/>
    <w:bookmarkStart w:id="69" w:name="X6ae59eaec5643b203005b5376aa2c08103cbb09"/>
    <w:p>
      <w:pPr>
        <w:pStyle w:val="Heading3"/>
      </w:pPr>
      <w:r>
        <w:t xml:space="preserve">6.2.2 Employee Right of Access</w:t>
      </w:r>
    </w:p>
    <w:p>
      <w:pPr>
        <w:pStyle w:val="FirstParagraph"/>
      </w:pPr>
      <w:r>
        <w:t xml:space="preserve">The system shall provide a mechanism for a tenant administrator to generate a structured export of all personal data held for a named employee, in response to a subject access request. The export shall include: employee profile data, payroll history, leave records, and any HR documents linked to the employee. The export shall be producible within 72 hours of request. The exact data scope and format shall be confirmed after the GAP-007 legal review.</w:t>
      </w:r>
    </w:p>
    <w:bookmarkEnd w:id="69"/>
    <w:bookmarkStart w:id="70" w:name="X603650c703fdc1c7877f0dbe5fba56b8a190dd9"/>
    <w:p>
      <w:pPr>
        <w:pStyle w:val="Heading3"/>
      </w:pPr>
      <w:r>
        <w:t xml:space="preserve">6.2.3 Sub-Processor Obligations</w:t>
      </w:r>
    </w:p>
    <w:p>
      <w:pPr>
        <w:pStyle w:val="FirstParagraph"/>
      </w:pPr>
      <w:r>
        <w:t xml:space="preserve">Chwezi Core Systems, as data processor, shall maintain a register of sub-processors (cloud infrastructure provider, email service provider, third-party API integrations). The register shall be made available to tenants upon request. Changes to sub-processors that materially affect data processing shall be notified to tenants ≥ 30 days in advance.</w:t>
      </w:r>
    </w:p>
    <w:bookmarkEnd w:id="70"/>
    <w:bookmarkStart w:id="71" w:name="X2e5944d592c9c9076263b53cafd068f8deb3274"/>
    <w:p>
      <w:pPr>
        <w:pStyle w:val="Heading3"/>
      </w:pPr>
      <w:r>
        <w:t xml:space="preserve">6.2.4 Consent for Sensitive HR Data</w:t>
      </w:r>
    </w:p>
    <w:p>
      <w:pPr>
        <w:pStyle w:val="FirstParagraph"/>
      </w:pPr>
      <w:r>
        <w:t xml:space="preserve">The system shall record explicit consent from employees before capturing medical data (e.g., disability status, medical leave diagnoses) or detailed financial data beyond standard payroll fields. Consent records shall be stored in the</w:t>
      </w:r>
      <w:r>
        <w:t xml:space="preserve"> </w:t>
      </w:r>
      <w:r>
        <w:rPr>
          <w:rStyle w:val="VerbatimChar"/>
        </w:rPr>
        <w:t xml:space="preserve">employee_consents</w:t>
      </w:r>
      <w:r>
        <w:t xml:space="preserve"> </w:t>
      </w:r>
      <w:r>
        <w:t xml:space="preserve">table with timestamp, consent type, and employee identifier.</w:t>
      </w:r>
      <w:r>
        <w:t xml:space="preserve"> </w:t>
      </w:r>
      <w:r>
        <w:rPr>
          <w:rStyle w:val="VerbatimChar"/>
        </w:rPr>
        <w:t xml:space="preserve">[PENDING GAP-007]</w:t>
      </w:r>
    </w:p>
    <w:bookmarkEnd w:id="71"/>
    <w:bookmarkEnd w:id="72"/>
    <w:bookmarkStart w:id="73" w:name="Xad67a2db3958809d1fa10200ffda5e7559cb02a"/>
    <w:p>
      <w:pPr>
        <w:pStyle w:val="Heading2"/>
      </w:pPr>
      <w:r>
        <w:t xml:space="preserve">6.3 Sensitive Field Encryption at Rest</w:t>
      </w:r>
    </w:p>
    <w:p>
      <w:pPr>
        <w:pStyle w:val="FirstParagraph"/>
      </w:pPr>
      <w:r>
        <w:t xml:space="preserve">The following field categories shall be encrypted at rest using Advanced Encryption Standard (AES) with a 256-bit key (AES-256). Encryption shall be applied at the application layer before values are written to the database, using the</w:t>
      </w:r>
      <w:r>
        <w:t xml:space="preserve"> </w:t>
      </w:r>
      <w:r>
        <w:rPr>
          <w:rStyle w:val="VerbatimChar"/>
        </w:rPr>
        <w:t xml:space="preserve">encryption_key</w:t>
      </w:r>
      <w:r>
        <w:t xml:space="preserve"> </w:t>
      </w:r>
      <w:r>
        <w:t xml:space="preserve">environment variable loaded via</w:t>
      </w:r>
      <w:r>
        <w:t xml:space="preserve"> </w:t>
      </w:r>
      <w:r>
        <w:rPr>
          <w:rStyle w:val="VerbatimChar"/>
        </w:rPr>
        <w:t xml:space="preserve">vlucas/phpdotenv</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 Category</w:t>
            </w:r>
          </w:p>
        </w:tc>
        <w:tc>
          <w:tcPr/>
          <w:p>
            <w:pPr>
              <w:pStyle w:val="Compact"/>
            </w:pPr>
            <w:r>
              <w:t xml:space="preserve">Examples</w:t>
            </w:r>
          </w:p>
        </w:tc>
        <w:tc>
          <w:tcPr/>
          <w:p>
            <w:pPr>
              <w:pStyle w:val="Compact"/>
            </w:pPr>
            <w:r>
              <w:t xml:space="preserve">Encryption Required</w:t>
            </w:r>
          </w:p>
        </w:tc>
      </w:tr>
      <w:tr>
        <w:tc>
          <w:tcPr/>
          <w:p>
            <w:pPr>
              <w:pStyle w:val="Compact"/>
            </w:pPr>
            <w:r>
              <w:t xml:space="preserve">Salary and compensation data</w:t>
            </w:r>
          </w:p>
        </w:tc>
        <w:tc>
          <w:tcPr/>
          <w:p>
            <w:pPr>
              <w:pStyle w:val="Compact"/>
            </w:pPr>
            <w:r>
              <w:t xml:space="preserve">Basic salary, gross pay, net pay, allowances</w:t>
            </w:r>
          </w:p>
        </w:tc>
        <w:tc>
          <w:tcPr/>
          <w:p>
            <w:pPr>
              <w:pStyle w:val="Compact"/>
            </w:pPr>
            <w:r>
              <w:t xml:space="preserve">AES-256</w:t>
            </w:r>
          </w:p>
        </w:tc>
      </w:tr>
      <w:tr>
        <w:tc>
          <w:tcPr/>
          <w:p>
            <w:pPr>
              <w:pStyle w:val="Compact"/>
            </w:pPr>
            <w:r>
              <w:t xml:space="preserve">Biometric identifiers</w:t>
            </w:r>
          </w:p>
        </w:tc>
        <w:tc>
          <w:tcPr/>
          <w:p>
            <w:pPr>
              <w:pStyle w:val="Compact"/>
            </w:pPr>
            <w:r>
              <w:t xml:space="preserve">Fingerprint hash, face recognition token</w:t>
            </w:r>
          </w:p>
        </w:tc>
        <w:tc>
          <w:tcPr/>
          <w:p>
            <w:pPr>
              <w:pStyle w:val="Compact"/>
            </w:pPr>
            <w:r>
              <w:t xml:space="preserve">AES-256</w:t>
            </w:r>
          </w:p>
        </w:tc>
      </w:tr>
      <w:tr>
        <w:tc>
          <w:tcPr/>
          <w:p>
            <w:pPr>
              <w:pStyle w:val="Compact"/>
            </w:pPr>
            <w:r>
              <w:t xml:space="preserve">National Identification Number (NIN)</w:t>
            </w:r>
          </w:p>
        </w:tc>
        <w:tc>
          <w:tcPr/>
          <w:p>
            <w:pPr>
              <w:pStyle w:val="Compact"/>
            </w:pPr>
            <w:r>
              <w:t xml:space="preserve">Uganda NIN, passport number</w:t>
            </w:r>
          </w:p>
        </w:tc>
        <w:tc>
          <w:tcPr/>
          <w:p>
            <w:pPr>
              <w:pStyle w:val="Compact"/>
            </w:pPr>
            <w:r>
              <w:t xml:space="preserve">AES-256</w:t>
            </w:r>
          </w:p>
        </w:tc>
      </w:tr>
      <w:tr>
        <w:tc>
          <w:tcPr/>
          <w:p>
            <w:pPr>
              <w:pStyle w:val="Compact"/>
            </w:pPr>
            <w:r>
              <w:t xml:space="preserve">Bank account numbers</w:t>
            </w:r>
          </w:p>
        </w:tc>
        <w:tc>
          <w:tcPr/>
          <w:p>
            <w:pPr>
              <w:pStyle w:val="Compact"/>
            </w:pPr>
            <w:r>
              <w:t xml:space="preserve">Employee bank account, supplier bank account</w:t>
            </w:r>
          </w:p>
        </w:tc>
        <w:tc>
          <w:tcPr/>
          <w:p>
            <w:pPr>
              <w:pStyle w:val="Compact"/>
            </w:pPr>
            <w:r>
              <w:t xml:space="preserve">AES-256</w:t>
            </w:r>
          </w:p>
        </w:tc>
      </w:tr>
      <w:tr>
        <w:tc>
          <w:tcPr/>
          <w:p>
            <w:pPr>
              <w:pStyle w:val="Compact"/>
            </w:pPr>
            <w:r>
              <w:t xml:space="preserve">Tax Identification Number (TIN)</w:t>
            </w:r>
          </w:p>
        </w:tc>
        <w:tc>
          <w:tcPr/>
          <w:p>
            <w:pPr>
              <w:pStyle w:val="Compact"/>
            </w:pPr>
            <w:r>
              <w:t xml:space="preserve">Uganda TIN</w:t>
            </w:r>
          </w:p>
        </w:tc>
        <w:tc>
          <w:tcPr/>
          <w:p>
            <w:pPr>
              <w:pStyle w:val="Compact"/>
            </w:pPr>
            <w:r>
              <w:t xml:space="preserve">AES-256</w:t>
            </w:r>
          </w:p>
        </w:tc>
      </w:tr>
      <w:tr>
        <w:tc>
          <w:tcPr/>
          <w:p>
            <w:pPr>
              <w:pStyle w:val="Compact"/>
            </w:pPr>
            <w:r>
              <w:t xml:space="preserve">Password hashes</w:t>
            </w:r>
          </w:p>
        </w:tc>
        <w:tc>
          <w:tcPr/>
          <w:p>
            <w:pPr>
              <w:pStyle w:val="Compact"/>
            </w:pPr>
            <w:r>
              <w:t xml:space="preserve">Already hashed; not additionally encrypted</w:t>
            </w:r>
          </w:p>
        </w:tc>
        <w:tc>
          <w:tcPr/>
          <w:p>
            <w:pPr>
              <w:pStyle w:val="Compact"/>
            </w:pPr>
            <w:r>
              <w:t xml:space="preserve">Bcrypt (minimum cost 12)</w:t>
            </w:r>
          </w:p>
        </w:tc>
      </w:tr>
    </w:tbl>
    <w:p>
      <w:pPr>
        <w:pStyle w:val="BodyText"/>
      </w:pPr>
      <w:r>
        <w:t xml:space="preserve">The encryption key shall be rotated on a schedule defined by the deployment operations team. A key rotation procedure shall be documented in the deployment runbook (</w:t>
      </w:r>
      <w:r>
        <w:rPr>
          <w:rStyle w:val="VerbatimChar"/>
        </w:rPr>
        <w:t xml:space="preserve">08-end-user-documentation/02-installation-guide/</w:t>
      </w:r>
      <w:r>
        <w:t xml:space="preserve">).</w:t>
      </w:r>
    </w:p>
    <w:p>
      <w:pPr>
        <w:pStyle w:val="BodyText"/>
      </w:pPr>
      <w:r>
        <w:t xml:space="preserve">Encrypted fields shall not be searchable by their plaintext value through standard SQL queries. Where search on an encrypted field is required (e.g., look up employee by NIN), the system shall use a deterministic blind index stored in a separate indexed column. The blind index shall be derived using HMAC-SHA256 with a separate secret key (</w:t>
      </w:r>
      <w:r>
        <w:rPr>
          <w:rStyle w:val="VerbatimChar"/>
        </w:rPr>
        <w:t xml:space="preserve">blind_index_key</w:t>
      </w:r>
      <w:r>
        <w:t xml:space="preserve"> </w:t>
      </w:r>
      <w:r>
        <w:t xml:space="preserve">environment variable).</w:t>
      </w:r>
    </w:p>
    <w:bookmarkEnd w:id="73"/>
    <w:bookmarkStart w:id="74" w:name="Xf84e64921a678648aff3d7a311a11cb121ebb69"/>
    <w:p>
      <w:pPr>
        <w:pStyle w:val="Heading2"/>
      </w:pPr>
      <w:r>
        <w:t xml:space="preserve">6.4 Data Residency</w:t>
      </w:r>
    </w:p>
    <w:p>
      <w:pPr>
        <w:pStyle w:val="FirstParagraph"/>
      </w:pPr>
      <w:r>
        <w:rPr>
          <w:i/>
          <w:iCs/>
        </w:rPr>
        <w:t xml:space="preserve">Interim residency position (Roadmap item GAP-007 — legal determination).</w:t>
      </w:r>
      <w:r>
        <w:t xml:space="preserve"> </w:t>
      </w:r>
      <w:r>
        <w:t xml:space="preserve">Pending a formal legal determination, the platform defaults to hosting tenant production data in a data centre region whose provider offers a Data Processing Agreement consistent with the Uganda Data Protection and Privacy Act 2019, with the confirmed region and its legal basis recorded in the deployment runbook before any production tenant is onboarded. A change to a non-conforming region is blocked until the legal determination is documented.</w:t>
      </w:r>
    </w:p>
    <w:p>
      <w:pPr>
        <w:pStyle w:val="BodyText"/>
      </w:pPr>
      <w:r>
        <w:t xml:space="preserve">The deployment runbook shall document the production hosting environment, the data centre region, and the legal basis for the chosen residency position.</w:t>
      </w:r>
    </w:p>
    <w:bookmarkEnd w:id="74"/>
    <w:bookmarkStart w:id="75" w:name="X59a8e0d0ec54a76fad3d02f7f1ed4c9e5a0ee42"/>
    <w:p>
      <w:pPr>
        <w:pStyle w:val="Heading2"/>
      </w:pPr>
      <w:r>
        <w:t xml:space="preserve">6.5 Data Minimisation</w:t>
      </w:r>
    </w:p>
    <w:p>
      <w:pPr>
        <w:pStyle w:val="FirstParagraph"/>
      </w:pPr>
      <w:r>
        <w:t xml:space="preserve">The system shall not collect personal data fields beyond those required for the activated modules. Module deactivation shall not expose personal data collected for that module to users of other modules. Fields marked as personally identifiable in the schema shall be excluded from bulk export operations unless the user holds an explicit data export permission within their role.</w:t>
      </w:r>
    </w:p>
    <w:bookmarkEnd w:id="75"/>
    <w:bookmarkStart w:id="76" w:name="X352e05cbd341a7e877074cb6c994b165ba55a16"/>
    <w:p>
      <w:pPr>
        <w:pStyle w:val="Heading2"/>
      </w:pPr>
      <w:r>
        <w:t xml:space="preserve">6.6 Tenant Offboarding and Data Deletion</w:t>
      </w:r>
    </w:p>
    <w:p>
      <w:pPr>
        <w:pStyle w:val="FirstParagraph"/>
      </w:pPr>
      <w:r>
        <w:t xml:space="preserve">When a tenant's subscription is terminated, the following data lifecycle procedure shall apply:</w:t>
      </w:r>
    </w:p>
    <w:p>
      <w:pPr>
        <w:pStyle w:val="Compact"/>
        <w:numPr>
          <w:ilvl w:val="0"/>
          <w:numId w:val="1010"/>
        </w:numPr>
      </w:pPr>
      <w:r>
        <w:t xml:space="preserve">The tenant's operational data (invoices, inventory, HR records, etc.) shall be archived to an encrypted, tenant-specific export within 30 days of termination.</w:t>
      </w:r>
    </w:p>
    <w:p>
      <w:pPr>
        <w:pStyle w:val="Compact"/>
        <w:numPr>
          <w:ilvl w:val="0"/>
          <w:numId w:val="1010"/>
        </w:numPr>
      </w:pPr>
      <w:r>
        <w:t xml:space="preserve">The encrypted archive shall be retained for 90 days after export generation and then purged, unless a longer retention period is required by a legal hold.</w:t>
      </w:r>
    </w:p>
    <w:p>
      <w:pPr>
        <w:pStyle w:val="Compact"/>
        <w:numPr>
          <w:ilvl w:val="0"/>
          <w:numId w:val="1010"/>
        </w:numPr>
      </w:pPr>
      <w:r>
        <w:t xml:space="preserve">Audit log records within the 7-year retention window shall not be purged at offboarding. They shall be retained in cold storage in a format accessible to Chwezi Core Systems for legal and compliance purposes.</w:t>
      </w:r>
    </w:p>
    <w:p>
      <w:pPr>
        <w:pStyle w:val="Compact"/>
        <w:numPr>
          <w:ilvl w:val="0"/>
          <w:numId w:val="1010"/>
        </w:numPr>
      </w:pPr>
      <w:r>
        <w:t xml:space="preserve">The tenant's user accounts, configuration data, and module subscriptions shall be deactivated immediately upon termination.</w:t>
      </w:r>
    </w:p>
    <w:p>
      <w:pPr>
        <w:pStyle w:val="Compact"/>
        <w:numPr>
          <w:ilvl w:val="0"/>
          <w:numId w:val="1010"/>
        </w:numPr>
      </w:pPr>
      <w:r>
        <w:t xml:space="preserve">The tenant</w:t>
      </w:r>
      <w:r>
        <w:t xml:space="preserve"> </w:t>
      </w:r>
      <w:r>
        <w:rPr>
          <w:rStyle w:val="VerbatimChar"/>
        </w:rPr>
        <w:t xml:space="preserve">tenant_id</w:t>
      </w:r>
      <w:r>
        <w:t xml:space="preserve"> </w:t>
      </w:r>
      <w:r>
        <w:t xml:space="preserve">shall be flagged as</w:t>
      </w:r>
      <w:r>
        <w:t xml:space="preserve"> </w:t>
      </w:r>
      <w:r>
        <w:rPr>
          <w:rStyle w:val="VerbatimChar"/>
        </w:rPr>
        <w:t xml:space="preserve">OFFBOARDED</w:t>
      </w:r>
      <w:r>
        <w:t xml:space="preserve"> </w:t>
      </w:r>
      <w:r>
        <w:t xml:space="preserve">in the</w:t>
      </w:r>
      <w:r>
        <w:t xml:space="preserve"> </w:t>
      </w:r>
      <w:r>
        <w:rPr>
          <w:rStyle w:val="VerbatimChar"/>
        </w:rPr>
        <w:t xml:space="preserve">tenants</w:t>
      </w:r>
      <w:r>
        <w:t xml:space="preserve"> </w:t>
      </w:r>
      <w:r>
        <w:t xml:space="preserve">table and shall not be reused.</w:t>
      </w:r>
    </w:p>
    <w:p>
      <w:pPr>
        <w:pStyle w:val="FirstParagraph"/>
      </w:pPr>
      <w:r>
        <w:t xml:space="preserve">The exact purge timeline and legal hold procedure shall be finalised after the GAP-007 legal review.</w:t>
      </w:r>
    </w:p>
    <w:bookmarkEnd w:id="76"/>
    <w:bookmarkEnd w:id="77"/>
    <w:bookmarkStart w:id="92" w:name="transport-and-network-security"/>
    <w:p>
      <w:pPr>
        <w:pStyle w:val="Heading1"/>
      </w:pPr>
      <w:r>
        <w:t xml:space="preserve">Transport and Network Security</w:t>
      </w:r>
    </w:p>
    <w:bookmarkStart w:id="81" w:name="Xeb057bfef9def91436d4699b554579c7faacaff"/>
    <w:p>
      <w:pPr>
        <w:pStyle w:val="Heading2"/>
      </w:pPr>
      <w:r>
        <w:t xml:space="preserve">7.1 Transport Layer Security</w:t>
      </w:r>
    </w:p>
    <w:bookmarkStart w:id="78" w:name="X19756f43cd8c1c153e1df48bd69822e65905de7"/>
    <w:p>
      <w:pPr>
        <w:pStyle w:val="Heading3"/>
      </w:pPr>
      <w:r>
        <w:t xml:space="preserve">7.1.1 Required Protocol Version</w:t>
      </w:r>
    </w:p>
    <w:p>
      <w:pPr>
        <w:pStyle w:val="FirstParagraph"/>
      </w:pPr>
      <w:r>
        <w:t xml:space="preserve">The system shall require Transport Layer Security (TLS) version 1.3 for all connections between clients and the platform. Where TLS 1.3 is not available on the client or intermediate infrastructure, TLS 1.2 is the minimum acceptable version. TLS 1.1 and all earlier versions shall be disabled at the web server configuration level. SSL 3.0 shall be disabled.</w:t>
      </w:r>
    </w:p>
    <w:bookmarkEnd w:id="78"/>
    <w:bookmarkStart w:id="79" w:name="X110547e22931ffe35634ce03a64bce8e5bc05e8"/>
    <w:p>
      <w:pPr>
        <w:pStyle w:val="Heading3"/>
      </w:pPr>
      <w:r>
        <w:t xml:space="preserve">7.1.2 Cipher Suite Restriction</w:t>
      </w:r>
    </w:p>
    <w:p>
      <w:pPr>
        <w:pStyle w:val="FirstParagraph"/>
      </w:pPr>
      <w:r>
        <w:t xml:space="preserve">The server shall be configured to support only cipher suites that provide forward secrecy. RC4, 3DES, and MD5-based cipher suites shall be disabled. The permitted cipher suite list shall be maintained in the Apache SSL configuration and shall be reviewed at each major deployment update.</w:t>
      </w:r>
    </w:p>
    <w:bookmarkEnd w:id="79"/>
    <w:bookmarkStart w:id="80" w:name="X5e9ba4da7d86e9e4e9889bd2393bfee1e75942d"/>
    <w:p>
      <w:pPr>
        <w:pStyle w:val="Heading3"/>
      </w:pPr>
      <w:r>
        <w:t xml:space="preserve">7.1.3 HTTP Strict Transport Security</w:t>
      </w:r>
    </w:p>
    <w:p>
      <w:pPr>
        <w:pStyle w:val="FirstParagraph"/>
      </w:pPr>
      <w:r>
        <w:t xml:space="preserve">The system shall include an</w:t>
      </w:r>
      <w:r>
        <w:t xml:space="preserve"> </w:t>
      </w:r>
      <w:r>
        <w:rPr>
          <w:rStyle w:val="VerbatimChar"/>
        </w:rPr>
        <w:t xml:space="preserve">HTTP Strict-Transport-Security</w:t>
      </w:r>
      <w:r>
        <w:t xml:space="preserve"> </w:t>
      </w:r>
      <w:r>
        <w:t xml:space="preserve">(HSTS) header on all responses from HTTPS endpoints. The header value shall be:</w:t>
      </w:r>
    </w:p>
    <w:p>
      <w:pPr>
        <w:pStyle w:val="SourceCode"/>
      </w:pPr>
      <w:r>
        <w:rPr>
          <w:rStyle w:val="VerbatimChar"/>
        </w:rPr>
        <w:t xml:space="preserve">Strict-Transport-Security: max-age=31536000; includeSubDomains</w:t>
      </w:r>
    </w:p>
    <w:p>
      <w:pPr>
        <w:pStyle w:val="FirstParagraph"/>
      </w:pPr>
      <w:r>
        <w:t xml:space="preserve">This instructs all compliant browsers to refuse non-HTTPS connections to the domain for 365 days. HSTS preloading is recommended but is subject to confirmation during production domain setup.</w:t>
      </w:r>
    </w:p>
    <w:bookmarkEnd w:id="80"/>
    <w:bookmarkEnd w:id="81"/>
    <w:bookmarkStart w:id="83" w:name="Xd08c80f67d4325860922da58615222d426d7303"/>
    <w:p>
      <w:pPr>
        <w:pStyle w:val="Heading2"/>
      </w:pPr>
      <w:r>
        <w:t xml:space="preserve">7.2 Mandatory HTTP Security Headers</w:t>
      </w:r>
    </w:p>
    <w:p>
      <w:pPr>
        <w:pStyle w:val="FirstParagraph"/>
      </w:pPr>
      <w:r>
        <w:t xml:space="preserve">Every response from the system — web pages, web API, mobile API, Super Admin Panel — shall include the following security headers: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Header</w:t>
            </w:r>
          </w:p>
        </w:tc>
        <w:tc>
          <w:tcPr/>
          <w:p>
            <w:pPr>
              <w:pStyle w:val="Compact"/>
            </w:pPr>
            <w:r>
              <w:t xml:space="preserve">Required Value</w:t>
            </w:r>
          </w:p>
        </w:tc>
        <w:tc>
          <w:tcPr/>
          <w:p>
            <w:pPr>
              <w:pStyle w:val="Compact"/>
            </w:pPr>
            <w:r>
              <w:t xml:space="preserve">Purpose</w:t>
            </w:r>
          </w:p>
        </w:tc>
      </w:tr>
      <w:tr>
        <w:tc>
          <w:tcPr/>
          <w:p>
            <w:pPr>
              <w:pStyle w:val="Compact"/>
            </w:pPr>
            <w:r>
              <w:rPr>
                <w:rStyle w:val="VerbatimChar"/>
              </w:rPr>
              <w:t xml:space="preserve">X-Content-Type-Options</w:t>
            </w:r>
          </w:p>
        </w:tc>
        <w:tc>
          <w:tcPr/>
          <w:p>
            <w:pPr>
              <w:pStyle w:val="Compact"/>
            </w:pPr>
            <w:r>
              <w:rPr>
                <w:rStyle w:val="VerbatimChar"/>
              </w:rPr>
              <w:t xml:space="preserve">nosniff</w:t>
            </w:r>
          </w:p>
        </w:tc>
        <w:tc>
          <w:tcPr/>
          <w:p>
            <w:pPr>
              <w:pStyle w:val="Compact"/>
            </w:pPr>
            <w:r>
              <w:t xml:space="preserve">Prevents MIME-type sniffing by browsers</w:t>
            </w:r>
          </w:p>
        </w:tc>
      </w:tr>
      <w:tr>
        <w:tc>
          <w:tcPr/>
          <w:p>
            <w:pPr>
              <w:pStyle w:val="Compact"/>
            </w:pPr>
            <w:r>
              <w:rPr>
                <w:rStyle w:val="VerbatimChar"/>
              </w:rPr>
              <w:t xml:space="preserve">X-Frame-Options</w:t>
            </w:r>
          </w:p>
        </w:tc>
        <w:tc>
          <w:tcPr/>
          <w:p>
            <w:pPr>
              <w:pStyle w:val="Compact"/>
            </w:pPr>
            <w:r>
              <w:rPr>
                <w:rStyle w:val="VerbatimChar"/>
              </w:rPr>
              <w:t xml:space="preserve">DENY</w:t>
            </w:r>
          </w:p>
        </w:tc>
        <w:tc>
          <w:tcPr/>
          <w:p>
            <w:pPr>
              <w:pStyle w:val="Compact"/>
            </w:pPr>
            <w:r>
              <w:t xml:space="preserve">Prevents clickjacking via iframe embedding</w:t>
            </w:r>
          </w:p>
        </w:tc>
      </w:tr>
      <w:tr>
        <w:tc>
          <w:tcPr/>
          <w:p>
            <w:pPr>
              <w:pStyle w:val="Compact"/>
            </w:pPr>
            <w:r>
              <w:rPr>
                <w:rStyle w:val="VerbatimChar"/>
              </w:rPr>
              <w:t xml:space="preserve">Content-Security-Policy</w:t>
            </w:r>
          </w:p>
        </w:tc>
        <w:tc>
          <w:tcPr/>
          <w:p>
            <w:pPr>
              <w:pStyle w:val="Compact"/>
            </w:pPr>
            <w:r>
              <w:t xml:space="preserve">See Section 7.2.1</w:t>
            </w:r>
          </w:p>
        </w:tc>
        <w:tc>
          <w:tcPr/>
          <w:p>
            <w:pPr>
              <w:pStyle w:val="Compact"/>
            </w:pPr>
            <w:r>
              <w:t xml:space="preserve">Restricts sources of executable content</w:t>
            </w:r>
          </w:p>
        </w:tc>
      </w:tr>
      <w:tr>
        <w:tc>
          <w:tcPr/>
          <w:p>
            <w:pPr>
              <w:pStyle w:val="Compact"/>
            </w:pPr>
            <w:r>
              <w:rPr>
                <w:rStyle w:val="VerbatimChar"/>
              </w:rPr>
              <w:t xml:space="preserve">Referrer-Policy</w:t>
            </w:r>
          </w:p>
        </w:tc>
        <w:tc>
          <w:tcPr/>
          <w:p>
            <w:pPr>
              <w:pStyle w:val="Compact"/>
            </w:pPr>
            <w:r>
              <w:rPr>
                <w:rStyle w:val="VerbatimChar"/>
              </w:rPr>
              <w:t xml:space="preserve">strict-origin-when-cross-origin</w:t>
            </w:r>
          </w:p>
        </w:tc>
        <w:tc>
          <w:tcPr/>
          <w:p>
            <w:pPr>
              <w:pStyle w:val="Compact"/>
            </w:pPr>
            <w:r>
              <w:t xml:space="preserve">Limits referrer header leakage</w:t>
            </w:r>
          </w:p>
        </w:tc>
      </w:tr>
      <w:tr>
        <w:tc>
          <w:tcPr/>
          <w:p>
            <w:pPr>
              <w:pStyle w:val="Compact"/>
            </w:pPr>
            <w:r>
              <w:rPr>
                <w:rStyle w:val="VerbatimChar"/>
              </w:rPr>
              <w:t xml:space="preserve">Permissions-Policy</w:t>
            </w:r>
          </w:p>
        </w:tc>
        <w:tc>
          <w:tcPr/>
          <w:p>
            <w:pPr>
              <w:pStyle w:val="Compact"/>
            </w:pPr>
            <w:r>
              <w:rPr>
                <w:rStyle w:val="VerbatimChar"/>
              </w:rPr>
              <w:t xml:space="preserve">camera=(), microphone=(), geolocation=()</w:t>
            </w:r>
          </w:p>
        </w:tc>
        <w:tc>
          <w:tcPr/>
          <w:p>
            <w:pPr>
              <w:pStyle w:val="Compact"/>
            </w:pPr>
            <w:r>
              <w:t xml:space="preserve">Restricts browser feature access</w:t>
            </w:r>
          </w:p>
        </w:tc>
      </w:tr>
    </w:tbl>
    <w:bookmarkStart w:id="82" w:name="X16be8156772658169376e369d24d37ee490f0ae"/>
    <w:p>
      <w:pPr>
        <w:pStyle w:val="Heading3"/>
      </w:pPr>
      <w:r>
        <w:t xml:space="preserve">7.2.1 Content Security Policy Definition</w:t>
      </w:r>
    </w:p>
    <w:p>
      <w:pPr>
        <w:pStyle w:val="FirstParagraph"/>
      </w:pPr>
      <w:r>
        <w:t xml:space="preserve">The Content Security Policy (CSP) for the Tenant Workspace and Super Admin Panel shall restrict resource loading as follows:</w:t>
      </w:r>
    </w:p>
    <w:p>
      <w:pPr>
        <w:pStyle w:val="SourceCode"/>
      </w:pPr>
      <w:r>
        <w:rPr>
          <w:rStyle w:val="VerbatimChar"/>
        </w:rPr>
        <w:t xml:space="preserve">Content-Security-Policy:</w:t>
      </w:r>
      <w:r>
        <w:br/>
      </w:r>
      <w:r>
        <w:rPr>
          <w:rStyle w:val="VerbatimChar"/>
        </w:rPr>
        <w:t xml:space="preserve">  default-src 'self';</w:t>
      </w:r>
      <w:r>
        <w:br/>
      </w:r>
      <w:r>
        <w:rPr>
          <w:rStyle w:val="VerbatimChar"/>
        </w:rPr>
        <w:t xml:space="preserve">  script-src 'self' 'nonce-{request-nonce}';</w:t>
      </w:r>
      <w:r>
        <w:br/>
      </w:r>
      <w:r>
        <w:rPr>
          <w:rStyle w:val="VerbatimChar"/>
        </w:rPr>
        <w:t xml:space="preserve">  style-src 'self' 'unsafe-inline';</w:t>
      </w:r>
      <w:r>
        <w:br/>
      </w:r>
      <w:r>
        <w:rPr>
          <w:rStyle w:val="VerbatimChar"/>
        </w:rPr>
        <w:t xml:space="preserve">  img-src 'self' data:;</w:t>
      </w:r>
      <w:r>
        <w:br/>
      </w:r>
      <w:r>
        <w:rPr>
          <w:rStyle w:val="VerbatimChar"/>
        </w:rPr>
        <w:t xml:space="preserve">  font-src 'self';</w:t>
      </w:r>
      <w:r>
        <w:br/>
      </w:r>
      <w:r>
        <w:rPr>
          <w:rStyle w:val="VerbatimChar"/>
        </w:rPr>
        <w:t xml:space="preserve">  connect-src 'self';</w:t>
      </w:r>
      <w:r>
        <w:br/>
      </w:r>
      <w:r>
        <w:rPr>
          <w:rStyle w:val="VerbatimChar"/>
        </w:rPr>
        <w:t xml:space="preserve">  frame-ancestors 'none';</w:t>
      </w:r>
      <w:r>
        <w:br/>
      </w:r>
      <w:r>
        <w:rPr>
          <w:rStyle w:val="VerbatimChar"/>
        </w:rPr>
        <w:t xml:space="preserve">  form-action 'self';</w:t>
      </w:r>
      <w:r>
        <w:br/>
      </w:r>
      <w:r>
        <w:rPr>
          <w:rStyle w:val="VerbatimChar"/>
        </w:rPr>
        <w:t xml:space="preserve">  base-uri 'self';</w:t>
      </w:r>
      <w:r>
        <w:br/>
      </w:r>
      <w:r>
        <w:rPr>
          <w:rStyle w:val="VerbatimChar"/>
        </w:rPr>
        <w:t xml:space="preserve">  object-src 'none'</w:t>
      </w:r>
    </w:p>
    <w:p>
      <w:pPr>
        <w:pStyle w:val="FirstParagraph"/>
      </w:pPr>
      <w:r>
        <w:t xml:space="preserve">The</w:t>
      </w:r>
      <w:r>
        <w:t xml:space="preserve"> </w:t>
      </w:r>
      <w:r>
        <w:rPr>
          <w:rStyle w:val="VerbatimChar"/>
        </w:rPr>
        <w:t xml:space="preserve">{request-nonce}</w:t>
      </w:r>
      <w:r>
        <w:t xml:space="preserve"> </w:t>
      </w:r>
      <w:r>
        <w:t xml:space="preserve">value shall be a cryptographically random nonce generated per request and injected into the CSP header and the corresponding</w:t>
      </w:r>
      <w:r>
        <w:t xml:space="preserve"> </w:t>
      </w:r>
      <w:r>
        <w:rPr>
          <w:rStyle w:val="VerbatimChar"/>
        </w:rPr>
        <w:t xml:space="preserve">&lt;script&gt;</w:t>
      </w:r>
      <w:r>
        <w:t xml:space="preserve"> </w:t>
      </w:r>
      <w:r>
        <w:t xml:space="preserve">tags. TinyMCE rich text editor integration may require</w:t>
      </w:r>
      <w:r>
        <w:t xml:space="preserve"> </w:t>
      </w:r>
      <w:r>
        <w:rPr>
          <w:rStyle w:val="VerbatimChar"/>
        </w:rPr>
        <w:t xml:space="preserve">'unsafe-inline'</w:t>
      </w:r>
      <w:r>
        <w:t xml:space="preserve"> </w:t>
      </w:r>
      <w:r>
        <w:t xml:space="preserve">for style; this exception shall be scoped to the minimum required directive and documented in the deployment runbook.</w:t>
      </w:r>
    </w:p>
    <w:p>
      <w:pPr>
        <w:pStyle w:val="BodyText"/>
      </w:pPr>
      <w:r>
        <w:t xml:space="preserve">The CSP for the mobile API (</w:t>
      </w:r>
      <w:r>
        <w:rPr>
          <w:rStyle w:val="VerbatimChar"/>
        </w:rPr>
        <w:t xml:space="preserve">/public/api/mobile/v1/</w:t>
      </w:r>
      <w:r>
        <w:t xml:space="preserve">) shall include</w:t>
      </w:r>
      <w:r>
        <w:t xml:space="preserve"> </w:t>
      </w:r>
      <w:r>
        <w:rPr>
          <w:rStyle w:val="VerbatimChar"/>
        </w:rPr>
        <w:t xml:space="preserve">frame-ancestors 'none'</w:t>
      </w:r>
      <w:r>
        <w:t xml:space="preserve"> </w:t>
      </w:r>
      <w:r>
        <w:t xml:space="preserve">and</w:t>
      </w:r>
      <w:r>
        <w:t xml:space="preserve"> </w:t>
      </w:r>
      <w:r>
        <w:rPr>
          <w:rStyle w:val="VerbatimChar"/>
        </w:rPr>
        <w:t xml:space="preserve">default-src 'none'</w:t>
      </w:r>
      <w:r>
        <w:t xml:space="preserve">, as API responses are not rendered in a browser context.</w:t>
      </w:r>
    </w:p>
    <w:bookmarkEnd w:id="82"/>
    <w:bookmarkEnd w:id="83"/>
    <w:bookmarkStart w:id="87" w:name="Xeace0013a79bddb9deff2932df10ce2f173a10f"/>
    <w:p>
      <w:pPr>
        <w:pStyle w:val="Heading2"/>
      </w:pPr>
      <w:r>
        <w:t xml:space="preserve">7.3 Rate Limiting</w:t>
      </w:r>
    </w:p>
    <w:bookmarkStart w:id="84" w:name="Xf873aa288d47dfa360d435929ed8e85fcbd5a97"/>
    <w:p>
      <w:pPr>
        <w:pStyle w:val="Heading3"/>
      </w:pPr>
      <w:r>
        <w:t xml:space="preserve">7.3.1 Algorithm</w:t>
      </w:r>
    </w:p>
    <w:p>
      <w:pPr>
        <w:pStyle w:val="FirstParagraph"/>
      </w:pPr>
      <w:r>
        <w:t xml:space="preserve">The system shall implement rate limiting using the token bucket algorithm. Each token bucket is keyed on a combination of</w:t>
      </w:r>
      <w:r>
        <w:t xml:space="preserve"> </w:t>
      </w:r>
      <w:r>
        <w:rPr>
          <w:rStyle w:val="VerbatimChar"/>
        </w:rPr>
        <w:t xml:space="preserve">tenant_id</w:t>
      </w:r>
      <w:r>
        <w:t xml:space="preserve"> </w:t>
      </w:r>
      <w:r>
        <w:t xml:space="preserve">and</w:t>
      </w:r>
      <w:r>
        <w:t xml:space="preserve"> </w:t>
      </w:r>
      <w:r>
        <w:rPr>
          <w:rStyle w:val="VerbatimChar"/>
        </w:rPr>
        <w:t xml:space="preserve">user_id</w:t>
      </w:r>
      <w:r>
        <w:t xml:space="preserve"> </w:t>
      </w:r>
      <w:r>
        <w:t xml:space="preserve">for authenticated requests, and on IP address for unauthenticated requests (e.g., login endpoint).</w:t>
      </w:r>
    </w:p>
    <w:bookmarkEnd w:id="84"/>
    <w:bookmarkStart w:id="85" w:name="X997b3c22a665523ebef81a17078eb1a396397f5"/>
    <w:p>
      <w:pPr>
        <w:pStyle w:val="Heading3"/>
      </w:pPr>
      <w:r>
        <w:t xml:space="preserve">7.3.2 Configuration</w:t>
      </w:r>
    </w:p>
    <w:p>
      <w:pPr>
        <w:pStyle w:val="FirstParagraph"/>
      </w:pPr>
      <w:r>
        <w:t xml:space="preserve">Rate limit values shall be stored in the</w:t>
      </w:r>
      <w:r>
        <w:t xml:space="preserve"> </w:t>
      </w:r>
      <w:r>
        <w:rPr>
          <w:rStyle w:val="VerbatimChar"/>
        </w:rPr>
        <w:t xml:space="preserve">api_rate_limits</w:t>
      </w:r>
      <w:r>
        <w:t xml:space="preserve"> </w:t>
      </w:r>
      <w:r>
        <w:t xml:space="preserve">table, not hardcoded. The table shall support configuration at three levels of specificity:</w:t>
      </w:r>
    </w:p>
    <w:p>
      <w:pPr>
        <w:pStyle w:val="Compact"/>
        <w:numPr>
          <w:ilvl w:val="0"/>
          <w:numId w:val="1011"/>
        </w:numPr>
      </w:pPr>
      <w:r>
        <w:t xml:space="preserve">Platform default (applies to all tenants and users not covered by a more specific rule).</w:t>
      </w:r>
    </w:p>
    <w:p>
      <w:pPr>
        <w:pStyle w:val="Compact"/>
        <w:numPr>
          <w:ilvl w:val="0"/>
          <w:numId w:val="1011"/>
        </w:numPr>
      </w:pPr>
      <w:r>
        <w:t xml:space="preserve">Tenant override (applies to all users of a specific tenant).</w:t>
      </w:r>
    </w:p>
    <w:p>
      <w:pPr>
        <w:pStyle w:val="Compact"/>
        <w:numPr>
          <w:ilvl w:val="0"/>
          <w:numId w:val="1011"/>
        </w:numPr>
      </w:pPr>
      <w:r>
        <w:t xml:space="preserve">User override (applies to a specific user within a specific tenant).</w:t>
      </w:r>
    </w:p>
    <w:p>
      <w:pPr>
        <w:pStyle w:val="FirstParagraph"/>
      </w:pPr>
      <w:r>
        <w:t xml:space="preserve">The more specific rule takes precedence. Super administrators shall be able to adjust rate limit values through the Super Admin Panel without a code deployment.</w:t>
      </w:r>
    </w:p>
    <w:bookmarkEnd w:id="85"/>
    <w:bookmarkStart w:id="86" w:name="X6ec5f539a6ab001db41127c981e1f97f0319aa6"/>
    <w:p>
      <w:pPr>
        <w:pStyle w:val="Heading3"/>
      </w:pPr>
      <w:r>
        <w:t xml:space="preserve">7.3.3 Response on Limit Exceeded</w:t>
      </w:r>
    </w:p>
    <w:p>
      <w:pPr>
        <w:pStyle w:val="FirstParagraph"/>
      </w:pPr>
      <w:r>
        <w:t xml:space="preserve">When a request exceeds the applicable rate limit, the system shall:</w:t>
      </w:r>
    </w:p>
    <w:p>
      <w:pPr>
        <w:pStyle w:val="Compact"/>
        <w:numPr>
          <w:ilvl w:val="0"/>
          <w:numId w:val="1012"/>
        </w:numPr>
      </w:pPr>
      <w:r>
        <w:t xml:space="preserve">Return HTTP 429 with a</w:t>
      </w:r>
      <w:r>
        <w:t xml:space="preserve"> </w:t>
      </w:r>
      <w:r>
        <w:rPr>
          <w:rStyle w:val="VerbatimChar"/>
        </w:rPr>
        <w:t xml:space="preserve">Retry-After</w:t>
      </w:r>
      <w:r>
        <w:t xml:space="preserve"> </w:t>
      </w:r>
      <w:r>
        <w:t xml:space="preserve">header indicating the number of seconds until the next token is available.</w:t>
      </w:r>
    </w:p>
    <w:p>
      <w:pPr>
        <w:pStyle w:val="Compact"/>
        <w:numPr>
          <w:ilvl w:val="0"/>
          <w:numId w:val="1012"/>
        </w:numPr>
      </w:pPr>
      <w:r>
        <w:t xml:space="preserve">Log the rate-limit event in the application error log (not in the audit log, to avoid inflating the audit table with high-frequency automated events).</w:t>
      </w:r>
    </w:p>
    <w:p>
      <w:pPr>
        <w:pStyle w:val="Compact"/>
        <w:numPr>
          <w:ilvl w:val="0"/>
          <w:numId w:val="1012"/>
        </w:numPr>
      </w:pPr>
      <w:r>
        <w:t xml:space="preserve">Not reveal the internal bucket configuration to the client.</w:t>
      </w:r>
    </w:p>
    <w:bookmarkEnd w:id="86"/>
    <w:bookmarkEnd w:id="87"/>
    <w:bookmarkStart w:id="90" w:name="X3db7ef8a13e9ce0069c0eaa9d7f3e568e894677"/>
    <w:p>
      <w:pPr>
        <w:pStyle w:val="Heading2"/>
      </w:pPr>
      <w:r>
        <w:t xml:space="preserve">7.4 Cross-Origin Resource Sharing</w:t>
      </w:r>
    </w:p>
    <w:bookmarkStart w:id="88" w:name="Xee6059aabfdcefa1f77550c363e0a8a4af5cd46"/>
    <w:p>
      <w:pPr>
        <w:pStyle w:val="Heading3"/>
      </w:pPr>
      <w:r>
        <w:t xml:space="preserve">7.4.1 Mobile API Endpoints</w:t>
      </w:r>
    </w:p>
    <w:p>
      <w:pPr>
        <w:pStyle w:val="FirstParagraph"/>
      </w:pPr>
      <w:r>
        <w:t xml:space="preserve">Cross-Origin Resource Sharing (CORS) shall be enabled for mobile API endpoints at</w:t>
      </w:r>
      <w:r>
        <w:t xml:space="preserve"> </w:t>
      </w:r>
      <w:r>
        <w:rPr>
          <w:rStyle w:val="VerbatimChar"/>
        </w:rPr>
        <w:t xml:space="preserve">/public/api/mobile/v1/</w:t>
      </w:r>
      <w:r>
        <w:t xml:space="preserve">. The</w:t>
      </w:r>
      <w:r>
        <w:t xml:space="preserve"> </w:t>
      </w:r>
      <w:r>
        <w:rPr>
          <w:rStyle w:val="VerbatimChar"/>
        </w:rPr>
        <w:t xml:space="preserve">Access-Control-Allow-Origin</w:t>
      </w:r>
      <w:r>
        <w:t xml:space="preserve"> </w:t>
      </w:r>
      <w:r>
        <w:t xml:space="preserve">header shall allow all origins (</w:t>
      </w:r>
      <w:r>
        <w:rPr>
          <w:rStyle w:val="VerbatimChar"/>
        </w:rPr>
        <w:t xml:space="preserve">*</w:t>
      </w:r>
      <w:r>
        <w:t xml:space="preserve">) for these endpoints, as mobile applications do not operate within a browser origin context. Preflight OPTIONS requests shall be handled with the appropriate</w:t>
      </w:r>
      <w:r>
        <w:t xml:space="preserve"> </w:t>
      </w:r>
      <w:r>
        <w:rPr>
          <w:rStyle w:val="VerbatimChar"/>
        </w:rPr>
        <w:t xml:space="preserve">Access-Control-Allow-Methods</w:t>
      </w:r>
      <w:r>
        <w:t xml:space="preserve"> </w:t>
      </w:r>
      <w:r>
        <w:t xml:space="preserve">and</w:t>
      </w:r>
      <w:r>
        <w:t xml:space="preserve"> </w:t>
      </w:r>
      <w:r>
        <w:rPr>
          <w:rStyle w:val="VerbatimChar"/>
        </w:rPr>
        <w:t xml:space="preserve">Access-Control-Allow-Headers</w:t>
      </w:r>
      <w:r>
        <w:t xml:space="preserve"> </w:t>
      </w:r>
      <w:r>
        <w:t xml:space="preserve">responses.</w:t>
      </w:r>
    </w:p>
    <w:bookmarkEnd w:id="88"/>
    <w:bookmarkStart w:id="89" w:name="X5a877349575af2f52dada4e286d3e618c75074f"/>
    <w:p>
      <w:pPr>
        <w:pStyle w:val="Heading3"/>
      </w:pPr>
      <w:r>
        <w:t xml:space="preserve">7.4.2 Web API Endpoints</w:t>
      </w:r>
    </w:p>
    <w:p>
      <w:pPr>
        <w:pStyle w:val="FirstParagraph"/>
      </w:pPr>
      <w:r>
        <w:t xml:space="preserve">CORS shall be disabled for web API endpoints at</w:t>
      </w:r>
      <w:r>
        <w:t xml:space="preserve"> </w:t>
      </w:r>
      <w:r>
        <w:rPr>
          <w:rStyle w:val="VerbatimChar"/>
        </w:rPr>
        <w:t xml:space="preserve">/public/api/</w:t>
      </w:r>
      <w:r>
        <w:t xml:space="preserve"> </w:t>
      </w:r>
      <w:r>
        <w:t xml:space="preserve">and</w:t>
      </w:r>
      <w:r>
        <w:t xml:space="preserve"> </w:t>
      </w:r>
      <w:r>
        <w:rPr>
          <w:rStyle w:val="VerbatimChar"/>
        </w:rPr>
        <w:t xml:space="preserve">/public/superadmin/api/</w:t>
      </w:r>
      <w:r>
        <w:t xml:space="preserve">. These endpoints are consumed exclusively by the same-origin web application. The</w:t>
      </w:r>
      <w:r>
        <w:t xml:space="preserve"> </w:t>
      </w:r>
      <w:r>
        <w:rPr>
          <w:rStyle w:val="VerbatimChar"/>
        </w:rPr>
        <w:t xml:space="preserve">Access-Control-Allow-Origin</w:t>
      </w:r>
      <w:r>
        <w:t xml:space="preserve"> </w:t>
      </w:r>
      <w:r>
        <w:t xml:space="preserve">header shall not be set on responses from these paths. Requests carrying an</w:t>
      </w:r>
      <w:r>
        <w:t xml:space="preserve"> </w:t>
      </w:r>
      <w:r>
        <w:rPr>
          <w:rStyle w:val="VerbatimChar"/>
        </w:rPr>
        <w:t xml:space="preserve">Origin</w:t>
      </w:r>
      <w:r>
        <w:t xml:space="preserve"> </w:t>
      </w:r>
      <w:r>
        <w:t xml:space="preserve">header that does not match the server's own domain shall receive HTTP 403.</w:t>
      </w:r>
    </w:p>
    <w:bookmarkEnd w:id="89"/>
    <w:bookmarkEnd w:id="90"/>
    <w:bookmarkStart w:id="91" w:name="X4c324e19bb32c94e5e76efef1efcb6aa0079ca6"/>
    <w:p>
      <w:pPr>
        <w:pStyle w:val="Heading2"/>
      </w:pPr>
      <w:r>
        <w:t xml:space="preserve">7.5 Internal Network Security</w:t>
      </w:r>
    </w:p>
    <w:p>
      <w:pPr>
        <w:pStyle w:val="FirstParagraph"/>
      </w:pPr>
      <w:r>
        <w:t xml:space="preserve">The Super Admin Panel (</w:t>
      </w:r>
      <w:r>
        <w:rPr>
          <w:rStyle w:val="VerbatimChar"/>
        </w:rPr>
        <w:t xml:space="preserve">/public/superadmin/</w:t>
      </w:r>
      <w:r>
        <w:t xml:space="preserve">) should be restricted at the network level to known operator IP addresses or accessed through a VPN. This is a deployment recommendation, not an application-level control. The deployment runbook shall document the required Apache IP restriction configuration.</w:t>
      </w:r>
    </w:p>
    <w:bookmarkEnd w:id="91"/>
    <w:bookmarkEnd w:id="92"/>
    <w:bookmarkStart w:id="104" w:name="X8373a1d3e3b20d2a2dc6ff823779b4561dbdf85"/>
    <w:p>
      <w:pPr>
        <w:pStyle w:val="Heading1"/>
      </w:pPr>
      <w:r>
        <w:t xml:space="preserve">OWASP Top 10 (2021) Compliance Requirements</w:t>
      </w:r>
    </w:p>
    <w:bookmarkStart w:id="93" w:name="Xcf8d7f1d504f39f6de0d60cf01b2abe7ff56c6a"/>
    <w:p>
      <w:pPr>
        <w:pStyle w:val="Heading2"/>
      </w:pPr>
      <w:r>
        <w:t xml:space="preserve">8.1 Scope</w:t>
      </w:r>
    </w:p>
    <w:p>
      <w:pPr>
        <w:pStyle w:val="FirstParagraph"/>
      </w:pPr>
      <w:r>
        <w:t xml:space="preserve">This section maps each of the ten vulnerability categories defined in the Open Web Application Security Project (OWASP) Top 10 (2021 edition) to the specific controls implemented in Kraal Code. For each category, the system requirement is stated using "the system shall" language and is therefore verifiable.</w:t>
      </w:r>
    </w:p>
    <w:bookmarkEnd w:id="93"/>
    <w:bookmarkStart w:id="94" w:name="Xfcf3bd476d27833f866f8dc20bc0de5af2d8980"/>
    <w:p>
      <w:pPr>
        <w:pStyle w:val="Heading2"/>
      </w:pPr>
      <w:r>
        <w:t xml:space="preserve">8.2 A01 — Broken Access Control</w:t>
      </w:r>
    </w:p>
    <w:p>
      <w:pPr>
        <w:pStyle w:val="FirstParagraph"/>
      </w:pPr>
      <w:r>
        <w:t xml:space="preserve">Broken access control occurs when users can act outside their intended permissions — accessing another user's data, elevating privileges, or bypassing function restrictions.</w:t>
      </w:r>
    </w:p>
    <w:p>
      <w:pPr>
        <w:pStyle w:val="BodyText"/>
      </w:pPr>
      <w:r>
        <w:rPr>
          <w:b/>
          <w:bCs/>
        </w:rPr>
        <w:t xml:space="preserve">Controls implemented:</w:t>
      </w:r>
    </w:p>
    <w:p>
      <w:pPr>
        <w:pStyle w:val="Compact"/>
        <w:numPr>
          <w:ilvl w:val="0"/>
          <w:numId w:val="1013"/>
        </w:numPr>
      </w:pPr>
      <w:r>
        <w:t xml:space="preserve">RBAC enforcement at the middleware layer, as specified in Section 3. Every request resolves tenant identity, module activation, function permission, and branch restriction before executing.</w:t>
      </w:r>
    </w:p>
    <w:p>
      <w:pPr>
        <w:pStyle w:val="Compact"/>
        <w:numPr>
          <w:ilvl w:val="0"/>
          <w:numId w:val="1013"/>
        </w:numPr>
      </w:pPr>
      <w:r>
        <w:t xml:space="preserve">Tenant isolation at the data layer: all queries filter by</w:t>
      </w:r>
      <w:r>
        <w:t xml:space="preserve"> </w:t>
      </w:r>
      <w:r>
        <w:rPr>
          <w:rStyle w:val="VerbatimChar"/>
        </w:rPr>
        <w:t xml:space="preserve">tenant_id</w:t>
      </w:r>
      <w:r>
        <w:t xml:space="preserve"> </w:t>
      </w:r>
      <w:r>
        <w:t xml:space="preserve">sourced from</w:t>
      </w:r>
      <w:r>
        <w:t xml:space="preserve"> </w:t>
      </w:r>
      <w:r>
        <w:rPr>
          <w:rStyle w:val="VerbatimChar"/>
        </w:rPr>
        <w:t xml:space="preserve">TenantContext::getTenantId()</w:t>
      </w:r>
      <w:r>
        <w:t xml:space="preserve">, never from request input, as specified in Section 4.</w:t>
      </w:r>
    </w:p>
    <w:p>
      <w:pPr>
        <w:pStyle w:val="Compact"/>
        <w:numPr>
          <w:ilvl w:val="0"/>
          <w:numId w:val="1013"/>
        </w:numPr>
      </w:pPr>
      <w:r>
        <w:t xml:space="preserve">Cross-tenant access returns HTTP 404 to prevent tenant enumeration (Section 4.3).</w:t>
      </w:r>
    </w:p>
    <w:p>
      <w:pPr>
        <w:pStyle w:val="Compact"/>
        <w:numPr>
          <w:ilvl w:val="0"/>
          <w:numId w:val="1013"/>
        </w:numPr>
      </w:pPr>
      <w:r>
        <w:t xml:space="preserve">Super admin impersonation is session-scoped, time-limited, and fully audited (Section 3.6).</w:t>
      </w:r>
    </w:p>
    <w:p>
      <w:pPr>
        <w:pStyle w:val="FirstParagraph"/>
      </w:pPr>
      <w:r>
        <w:rPr>
          <w:b/>
          <w:bCs/>
        </w:rPr>
        <w:t xml:space="preserve">Measurable requirement:</w:t>
      </w:r>
      <w:r>
        <w:t xml:space="preserve"> </w:t>
      </w:r>
      <w:r>
        <w:t xml:space="preserve">The system shall reject 100% of requests where the authenticated</w:t>
      </w:r>
      <w:r>
        <w:t xml:space="preserve"> </w:t>
      </w:r>
      <w:r>
        <w:rPr>
          <w:rStyle w:val="VerbatimChar"/>
        </w:rPr>
        <w:t xml:space="preserve">tenant_id</w:t>
      </w:r>
      <w:r>
        <w:t xml:space="preserve"> </w:t>
      </w:r>
      <w:r>
        <w:t xml:space="preserve">does not match the</w:t>
      </w:r>
      <w:r>
        <w:t xml:space="preserve"> </w:t>
      </w:r>
      <w:r>
        <w:rPr>
          <w:rStyle w:val="VerbatimChar"/>
        </w:rPr>
        <w:t xml:space="preserve">tenant_id</w:t>
      </w:r>
      <w:r>
        <w:t xml:space="preserve"> </w:t>
      </w:r>
      <w:r>
        <w:t xml:space="preserve">of the requested resource, verified by penetration test.</w:t>
      </w:r>
    </w:p>
    <w:bookmarkEnd w:id="94"/>
    <w:bookmarkStart w:id="95" w:name="X86bc2bad0348a413d23e84ff3f759203ba1497b"/>
    <w:p>
      <w:pPr>
        <w:pStyle w:val="Heading2"/>
      </w:pPr>
      <w:r>
        <w:t xml:space="preserve">8.3 A02 — Cryptographic Failures</w:t>
      </w:r>
    </w:p>
    <w:p>
      <w:pPr>
        <w:pStyle w:val="FirstParagraph"/>
      </w:pPr>
      <w:r>
        <w:t xml:space="preserve">Cryptographic failures include transmitting sensitive data in plaintext, using weak algorithms, and storing passwords without sufficient hashing.</w:t>
      </w:r>
    </w:p>
    <w:p>
      <w:pPr>
        <w:pStyle w:val="BodyText"/>
      </w:pPr>
      <w:r>
        <w:rPr>
          <w:b/>
          <w:bCs/>
        </w:rPr>
        <w:t xml:space="preserve">Controls implemented:</w:t>
      </w:r>
    </w:p>
    <w:p>
      <w:pPr>
        <w:pStyle w:val="Compact"/>
        <w:numPr>
          <w:ilvl w:val="0"/>
          <w:numId w:val="1014"/>
        </w:numPr>
      </w:pPr>
      <w:r>
        <w:t xml:space="preserve">TLS 1.3 required for all connections in transit (Section 7.1). TLS 1.2 is the minimum fallback.</w:t>
      </w:r>
    </w:p>
    <w:p>
      <w:pPr>
        <w:pStyle w:val="Compact"/>
        <w:numPr>
          <w:ilvl w:val="0"/>
          <w:numId w:val="1014"/>
        </w:numPr>
      </w:pPr>
      <w:r>
        <w:t xml:space="preserve">AES-256 encryption at rest for all sensitive field categories: salary data, NIN, bank account numbers, biometric identifiers (Section 6.3).</w:t>
      </w:r>
    </w:p>
    <w:p>
      <w:pPr>
        <w:pStyle w:val="Compact"/>
        <w:numPr>
          <w:ilvl w:val="0"/>
          <w:numId w:val="1014"/>
        </w:numPr>
      </w:pPr>
      <w:r>
        <w:t xml:space="preserve">Passwords stored using Bcrypt with a minimum cost factor of 12. No plaintext passwords written to any storage, log, or API response.</w:t>
      </w:r>
    </w:p>
    <w:p>
      <w:pPr>
        <w:pStyle w:val="Compact"/>
        <w:numPr>
          <w:ilvl w:val="0"/>
          <w:numId w:val="1014"/>
        </w:numPr>
      </w:pPr>
      <w:r>
        <w:t xml:space="preserve">Sensitive field values excluded from audit log records; masked representations used where audit context requires them (Section 5.4).</w:t>
      </w:r>
    </w:p>
    <w:p>
      <w:pPr>
        <w:pStyle w:val="Compact"/>
        <w:numPr>
          <w:ilvl w:val="0"/>
          <w:numId w:val="1014"/>
        </w:numPr>
      </w:pPr>
      <w:r>
        <w:t xml:space="preserve">No sensitive data included in JWT claims beyond the minimum required for authorisation (</w:t>
      </w:r>
      <w:r>
        <w:rPr>
          <w:rStyle w:val="VerbatimChar"/>
        </w:rPr>
        <w:t xml:space="preserve">tid</w:t>
      </w:r>
      <w:r>
        <w:t xml:space="preserve">,</w:t>
      </w:r>
      <w:r>
        <w:t xml:space="preserve"> </w:t>
      </w:r>
      <w:r>
        <w:rPr>
          <w:rStyle w:val="VerbatimChar"/>
        </w:rPr>
        <w:t xml:space="preserve">uid</w:t>
      </w:r>
      <w:r>
        <w:t xml:space="preserve">,</w:t>
      </w:r>
      <w:r>
        <w:t xml:space="preserve"> </w:t>
      </w:r>
      <w:r>
        <w:rPr>
          <w:rStyle w:val="VerbatimChar"/>
        </w:rPr>
        <w:t xml:space="preserve">role</w:t>
      </w:r>
      <w:r>
        <w:t xml:space="preserve">,</w:t>
      </w:r>
      <w:r>
        <w:t xml:space="preserve"> </w:t>
      </w:r>
      <w:r>
        <w:rPr>
          <w:rStyle w:val="VerbatimChar"/>
        </w:rPr>
        <w:t xml:space="preserve">modules</w:t>
      </w:r>
      <w:r>
        <w:t xml:space="preserve">).</w:t>
      </w:r>
    </w:p>
    <w:p>
      <w:pPr>
        <w:pStyle w:val="FirstParagraph"/>
      </w:pPr>
      <w:r>
        <w:rPr>
          <w:b/>
          <w:bCs/>
        </w:rPr>
        <w:t xml:space="preserve">Measurable requirement:</w:t>
      </w:r>
      <w:r>
        <w:t xml:space="preserve"> </w:t>
      </w:r>
      <w:r>
        <w:t xml:space="preserve">A static analysis scan of the codebase shall produce 0 findings of plaintext password storage, hardcoded cryptographic keys, or use of MD5/SHA-1 for security-sensitive operations.</w:t>
      </w:r>
    </w:p>
    <w:bookmarkEnd w:id="95"/>
    <w:bookmarkStart w:id="96" w:name="Xf48f8d4f40da9c15043c6f6de09b80d25d72269"/>
    <w:p>
      <w:pPr>
        <w:pStyle w:val="Heading2"/>
      </w:pPr>
      <w:r>
        <w:t xml:space="preserve">8.4 A03 — Injection</w:t>
      </w:r>
    </w:p>
    <w:p>
      <w:pPr>
        <w:pStyle w:val="FirstParagraph"/>
      </w:pPr>
      <w:r>
        <w:t xml:space="preserve">Injection flaws occur when untrusted data is sent to an interpreter as part of a query or command.</w:t>
      </w:r>
    </w:p>
    <w:p>
      <w:pPr>
        <w:pStyle w:val="BodyText"/>
      </w:pPr>
      <w:r>
        <w:rPr>
          <w:b/>
          <w:bCs/>
        </w:rPr>
        <w:t xml:space="preserve">Controls implemented:</w:t>
      </w:r>
    </w:p>
    <w:p>
      <w:pPr>
        <w:pStyle w:val="Compact"/>
        <w:numPr>
          <w:ilvl w:val="0"/>
          <w:numId w:val="1015"/>
        </w:numPr>
      </w:pPr>
      <w:r>
        <w:t xml:space="preserve">All database queries shall use PDO prepared statements. String concatenation to form SQL queries is prohibited. PHPStan static analysis at level 8 shall flag any direct string interpolation into SQL.</w:t>
      </w:r>
    </w:p>
    <w:p>
      <w:pPr>
        <w:pStyle w:val="Compact"/>
        <w:numPr>
          <w:ilvl w:val="0"/>
          <w:numId w:val="1015"/>
        </w:numPr>
      </w:pPr>
      <w:r>
        <w:t xml:space="preserve">All output rendered in HTML templates shall pass through</w:t>
      </w:r>
      <w:r>
        <w:t xml:space="preserve"> </w:t>
      </w:r>
      <w:r>
        <w:rPr>
          <w:rStyle w:val="VerbatimChar"/>
        </w:rPr>
        <w:t xml:space="preserve">htmlspecialchars()</w:t>
      </w:r>
      <w:r>
        <w:t xml:space="preserve"> </w:t>
      </w:r>
      <w:r>
        <w:t xml:space="preserve">with</w:t>
      </w:r>
      <w:r>
        <w:t xml:space="preserve"> </w:t>
      </w:r>
      <w:r>
        <w:rPr>
          <w:rStyle w:val="VerbatimChar"/>
        </w:rPr>
        <w:t xml:space="preserve">ENT_QUOTES | ENT_HTML5</w:t>
      </w:r>
      <w:r>
        <w:t xml:space="preserve"> </w:t>
      </w:r>
      <w:r>
        <w:t xml:space="preserve">before rendering. This prevents cross-site scripting (XSS) injection.</w:t>
      </w:r>
    </w:p>
    <w:p>
      <w:pPr>
        <w:pStyle w:val="Compact"/>
        <w:numPr>
          <w:ilvl w:val="0"/>
          <w:numId w:val="1015"/>
        </w:numPr>
      </w:pPr>
      <w:r>
        <w:t xml:space="preserve">The</w:t>
      </w:r>
      <w:r>
        <w:t xml:space="preserve"> </w:t>
      </w:r>
      <w:r>
        <w:rPr>
          <w:rStyle w:val="VerbatimChar"/>
        </w:rPr>
        <w:t xml:space="preserve">respect/validation</w:t>
      </w:r>
      <w:r>
        <w:t xml:space="preserve"> </w:t>
      </w:r>
      <w:r>
        <w:t xml:space="preserve">library is used for all input validation before data reaches the service layer. Unexpected field types and lengths are rejected before query execution.</w:t>
      </w:r>
    </w:p>
    <w:p>
      <w:pPr>
        <w:pStyle w:val="Compact"/>
        <w:numPr>
          <w:ilvl w:val="0"/>
          <w:numId w:val="1015"/>
        </w:numPr>
      </w:pPr>
      <w:r>
        <w:t xml:space="preserve">Command execution functions (</w:t>
      </w:r>
      <w:r>
        <w:rPr>
          <w:rStyle w:val="VerbatimChar"/>
        </w:rPr>
        <w:t xml:space="preserve">exec</w:t>
      </w:r>
      <w:r>
        <w:t xml:space="preserve">,</w:t>
      </w:r>
      <w:r>
        <w:t xml:space="preserve"> </w:t>
      </w:r>
      <w:r>
        <w:rPr>
          <w:rStyle w:val="VerbatimChar"/>
        </w:rPr>
        <w:t xml:space="preserve">shell_exec</w:t>
      </w:r>
      <w:r>
        <w:t xml:space="preserve">,</w:t>
      </w:r>
      <w:r>
        <w:t xml:space="preserve"> </w:t>
      </w:r>
      <w:r>
        <w:rPr>
          <w:rStyle w:val="VerbatimChar"/>
        </w:rPr>
        <w:t xml:space="preserve">system</w:t>
      </w:r>
      <w:r>
        <w:t xml:space="preserve">,</w:t>
      </w:r>
      <w:r>
        <w:t xml:space="preserve"> </w:t>
      </w:r>
      <w:r>
        <w:rPr>
          <w:rStyle w:val="VerbatimChar"/>
        </w:rPr>
        <w:t xml:space="preserve">passthru</w:t>
      </w:r>
      <w:r>
        <w:t xml:space="preserve">) shall not be used in application code. If required for a specific operation, their use must be reviewed and approved, and all arguments must be escaped using</w:t>
      </w:r>
      <w:r>
        <w:t xml:space="preserve"> </w:t>
      </w:r>
      <w:r>
        <w:rPr>
          <w:rStyle w:val="VerbatimChar"/>
        </w:rPr>
        <w:t xml:space="preserve">escapeshellarg()</w:t>
      </w:r>
      <w:r>
        <w:t xml:space="preserve">.</w:t>
      </w:r>
    </w:p>
    <w:p>
      <w:pPr>
        <w:pStyle w:val="FirstParagraph"/>
      </w:pPr>
      <w:r>
        <w:rPr>
          <w:b/>
          <w:bCs/>
        </w:rPr>
        <w:t xml:space="preserve">Measurable requirement:</w:t>
      </w:r>
      <w:r>
        <w:t xml:space="preserve"> </w:t>
      </w:r>
      <w:r>
        <w:t xml:space="preserve">PHPStan at level 8 shall produce 0 injection-related findings on the production codebase. A penetration test shall confirm 0 exploitable SQL injection or XSS vulnerabilities.</w:t>
      </w:r>
    </w:p>
    <w:bookmarkEnd w:id="96"/>
    <w:bookmarkStart w:id="97" w:name="X6a13d267ee91b5d700d7f1ca0c3ea1fbb80a1f7"/>
    <w:p>
      <w:pPr>
        <w:pStyle w:val="Heading2"/>
      </w:pPr>
      <w:r>
        <w:t xml:space="preserve">8.5 A04 — Insecure Design</w:t>
      </w:r>
    </w:p>
    <w:p>
      <w:pPr>
        <w:pStyle w:val="FirstParagraph"/>
      </w:pPr>
      <w:r>
        <w:t xml:space="preserve">Insecure design occurs when security controls are not built into the architecture from the beginning.</w:t>
      </w:r>
    </w:p>
    <w:p>
      <w:pPr>
        <w:pStyle w:val="BodyText"/>
      </w:pPr>
      <w:r>
        <w:rPr>
          <w:b/>
          <w:bCs/>
        </w:rPr>
        <w:t xml:space="preserve">Controls implemented:</w:t>
      </w:r>
    </w:p>
    <w:p>
      <w:pPr>
        <w:pStyle w:val="Compact"/>
        <w:numPr>
          <w:ilvl w:val="0"/>
          <w:numId w:val="1016"/>
        </w:numPr>
      </w:pPr>
      <w:r>
        <w:t xml:space="preserve">Middleware stack enforces authentication, CSRF validation, module gating, RBAC, and branch restrictions in a defined, immutable sequence on every request (Section 3.3).</w:t>
      </w:r>
    </w:p>
    <w:p>
      <w:pPr>
        <w:pStyle w:val="Compact"/>
        <w:numPr>
          <w:ilvl w:val="0"/>
          <w:numId w:val="1016"/>
        </w:numPr>
      </w:pPr>
      <w:r>
        <w:t xml:space="preserve">Approval workflows with separation of duties controls prevent the same user from creating and approving the same transaction (Section 3.4).</w:t>
      </w:r>
    </w:p>
    <w:p>
      <w:pPr>
        <w:pStyle w:val="Compact"/>
        <w:numPr>
          <w:ilvl w:val="0"/>
          <w:numId w:val="1016"/>
        </w:numPr>
      </w:pPr>
      <w:r>
        <w:t xml:space="preserve">Module gating prevents access to features the tenant has not purchased, reducing the attack surface to the tenant's subscribed feature set.</w:t>
      </w:r>
    </w:p>
    <w:p>
      <w:pPr>
        <w:pStyle w:val="Compact"/>
        <w:numPr>
          <w:ilvl w:val="0"/>
          <w:numId w:val="1016"/>
        </w:numPr>
      </w:pPr>
      <w:r>
        <w:t xml:space="preserve">Zero-trust tenant boundary design:</w:t>
      </w:r>
      <w:r>
        <w:t xml:space="preserve"> </w:t>
      </w:r>
      <w:r>
        <w:rPr>
          <w:rStyle w:val="VerbatimChar"/>
        </w:rPr>
        <w:t xml:space="preserve">tenant_id</w:t>
      </w:r>
      <w:r>
        <w:t xml:space="preserve"> </w:t>
      </w:r>
      <w:r>
        <w:t xml:space="preserve">is never trusted from caller input (Section 4.2).</w:t>
      </w:r>
    </w:p>
    <w:p>
      <w:pPr>
        <w:pStyle w:val="Compact"/>
        <w:numPr>
          <w:ilvl w:val="0"/>
          <w:numId w:val="1016"/>
        </w:numPr>
      </w:pPr>
      <w:r>
        <w:t xml:space="preserve">All new security controls require a code review by a second developer before merge to the main branch.</w:t>
      </w:r>
    </w:p>
    <w:p>
      <w:pPr>
        <w:pStyle w:val="FirstParagraph"/>
      </w:pPr>
      <w:r>
        <w:rPr>
          <w:b/>
          <w:bCs/>
        </w:rPr>
        <w:t xml:space="preserve">Measurable requirement:</w:t>
      </w:r>
      <w:r>
        <w:t xml:space="preserve"> </w:t>
      </w:r>
      <w:r>
        <w:t xml:space="preserve">The security design review checklist (referenced in Section 10) shall be completed and signed off before any module is released to production.</w:t>
      </w:r>
    </w:p>
    <w:bookmarkEnd w:id="97"/>
    <w:bookmarkStart w:id="98" w:name="X692e6c04251b8c2f5400dcf71ea57139a1af663"/>
    <w:p>
      <w:pPr>
        <w:pStyle w:val="Heading2"/>
      </w:pPr>
      <w:r>
        <w:t xml:space="preserve">8.6 A05 — Security Misconfiguration</w:t>
      </w:r>
    </w:p>
    <w:p>
      <w:pPr>
        <w:pStyle w:val="FirstParagraph"/>
      </w:pPr>
      <w:r>
        <w:t xml:space="preserve">Security misconfiguration includes leaving default credentials in place, enabling debug output in production, and overly permissive file permissions.</w:t>
      </w:r>
    </w:p>
    <w:p>
      <w:pPr>
        <w:pStyle w:val="BodyText"/>
      </w:pPr>
      <w:r>
        <w:rPr>
          <w:b/>
          <w:bCs/>
        </w:rPr>
        <w:t xml:space="preserve">Controls implemented:</w:t>
      </w:r>
    </w:p>
    <w:p>
      <w:pPr>
        <w:pStyle w:val="Compact"/>
        <w:numPr>
          <w:ilvl w:val="0"/>
          <w:numId w:val="1017"/>
        </w:numPr>
      </w:pPr>
      <w:r>
        <w:t xml:space="preserve">PHP</w:t>
      </w:r>
      <w:r>
        <w:t xml:space="preserve"> </w:t>
      </w:r>
      <w:r>
        <w:rPr>
          <w:rStyle w:val="VerbatimChar"/>
        </w:rPr>
        <w:t xml:space="preserve">display_errors</w:t>
      </w:r>
      <w:r>
        <w:t xml:space="preserve"> </w:t>
      </w:r>
      <w:r>
        <w:t xml:space="preserve">and</w:t>
      </w:r>
      <w:r>
        <w:t xml:space="preserve"> </w:t>
      </w:r>
      <w:r>
        <w:rPr>
          <w:rStyle w:val="VerbatimChar"/>
        </w:rPr>
        <w:t xml:space="preserve">display_startup_errors</w:t>
      </w:r>
      <w:r>
        <w:t xml:space="preserve"> </w:t>
      </w:r>
      <w:r>
        <w:t xml:space="preserve">shall be set to</w:t>
      </w:r>
      <w:r>
        <w:t xml:space="preserve"> </w:t>
      </w:r>
      <w:r>
        <w:rPr>
          <w:rStyle w:val="VerbatimChar"/>
        </w:rPr>
        <w:t xml:space="preserve">Off</w:t>
      </w:r>
      <w:r>
        <w:t xml:space="preserve"> </w:t>
      </w:r>
      <w:r>
        <w:t xml:space="preserve">in the production</w:t>
      </w:r>
      <w:r>
        <w:t xml:space="preserve"> </w:t>
      </w:r>
      <w:r>
        <w:rPr>
          <w:rStyle w:val="VerbatimChar"/>
        </w:rPr>
        <w:t xml:space="preserve">php.ini</w:t>
      </w:r>
      <w:r>
        <w:t xml:space="preserve">. Errors shall be written to a server-side log only.</w:t>
      </w:r>
    </w:p>
    <w:p>
      <w:pPr>
        <w:pStyle w:val="Compact"/>
        <w:numPr>
          <w:ilvl w:val="0"/>
          <w:numId w:val="1017"/>
        </w:numPr>
      </w:pPr>
      <w:r>
        <w:t xml:space="preserve">PHP</w:t>
      </w:r>
      <w:r>
        <w:t xml:space="preserve"> </w:t>
      </w:r>
      <w:r>
        <w:rPr>
          <w:rStyle w:val="VerbatimChar"/>
        </w:rPr>
        <w:t xml:space="preserve">expose_php</w:t>
      </w:r>
      <w:r>
        <w:t xml:space="preserve"> </w:t>
      </w:r>
      <w:r>
        <w:t xml:space="preserve">shall be set to</w:t>
      </w:r>
      <w:r>
        <w:t xml:space="preserve"> </w:t>
      </w:r>
      <w:r>
        <w:rPr>
          <w:rStyle w:val="VerbatimChar"/>
        </w:rPr>
        <w:t xml:space="preserve">Off</w:t>
      </w:r>
      <w:r>
        <w:t xml:space="preserve"> </w:t>
      </w:r>
      <w:r>
        <w:t xml:space="preserve">to suppress the</w:t>
      </w:r>
      <w:r>
        <w:t xml:space="preserve"> </w:t>
      </w:r>
      <w:r>
        <w:rPr>
          <w:rStyle w:val="VerbatimChar"/>
        </w:rPr>
        <w:t xml:space="preserve">X-Powered-By: PHP/x.x.x</w:t>
      </w:r>
      <w:r>
        <w:t xml:space="preserve"> </w:t>
      </w:r>
      <w:r>
        <w:t xml:space="preserve">response header.</w:t>
      </w:r>
    </w:p>
    <w:p>
      <w:pPr>
        <w:pStyle w:val="Compact"/>
        <w:numPr>
          <w:ilvl w:val="0"/>
          <w:numId w:val="1017"/>
        </w:numPr>
      </w:pPr>
      <w:r>
        <w:t xml:space="preserve">Apache directory listing shall be disabled. The</w:t>
      </w:r>
      <w:r>
        <w:t xml:space="preserve"> </w:t>
      </w:r>
      <w:r>
        <w:rPr>
          <w:rStyle w:val="VerbatimChar"/>
        </w:rPr>
        <w:t xml:space="preserve">Options -Indexes</w:t>
      </w:r>
      <w:r>
        <w:t xml:space="preserve"> </w:t>
      </w:r>
      <w:r>
        <w:t xml:space="preserve">directive shall be set for all document root directories.</w:t>
      </w:r>
    </w:p>
    <w:p>
      <w:pPr>
        <w:pStyle w:val="Compact"/>
        <w:numPr>
          <w:ilvl w:val="0"/>
          <w:numId w:val="1017"/>
        </w:numPr>
      </w:pPr>
      <w:r>
        <w:t xml:space="preserve">The</w:t>
      </w:r>
      <w:r>
        <w:t xml:space="preserve"> </w:t>
      </w:r>
      <w:r>
        <w:rPr>
          <w:rStyle w:val="VerbatimChar"/>
        </w:rPr>
        <w:t xml:space="preserve">.env</w:t>
      </w:r>
      <w:r>
        <w:t xml:space="preserve"> </w:t>
      </w:r>
      <w:r>
        <w:t xml:space="preserve">file containing environment variables shall not be accessible via HTTP. An Apache</w:t>
      </w:r>
      <w:r>
        <w:t xml:space="preserve"> </w:t>
      </w:r>
      <w:r>
        <w:rPr>
          <w:rStyle w:val="VerbatimChar"/>
        </w:rPr>
        <w:t xml:space="preserve">&lt;Files .env&gt; Deny from all &lt;/Files&gt;</w:t>
      </w:r>
      <w:r>
        <w:t xml:space="preserve"> </w:t>
      </w:r>
      <w:r>
        <w:t xml:space="preserve">directive shall be enforced.</w:t>
      </w:r>
    </w:p>
    <w:p>
      <w:pPr>
        <w:pStyle w:val="Compact"/>
        <w:numPr>
          <w:ilvl w:val="0"/>
          <w:numId w:val="1017"/>
        </w:numPr>
      </w:pPr>
      <w:r>
        <w:t xml:space="preserve">File permissions for the application codebase shall be set to 644 for files and 755 for directories. The</w:t>
      </w:r>
      <w:r>
        <w:t xml:space="preserve"> </w:t>
      </w:r>
      <w:r>
        <w:rPr>
          <w:rStyle w:val="VerbatimChar"/>
        </w:rPr>
        <w:t xml:space="preserve">.env</w:t>
      </w:r>
      <w:r>
        <w:t xml:space="preserve"> </w:t>
      </w:r>
      <w:r>
        <w:t xml:space="preserve">file shall be 600.</w:t>
      </w:r>
    </w:p>
    <w:p>
      <w:pPr>
        <w:pStyle w:val="Compact"/>
        <w:numPr>
          <w:ilvl w:val="0"/>
          <w:numId w:val="1017"/>
        </w:numPr>
      </w:pPr>
      <w:r>
        <w:t xml:space="preserve">A security hardening checklist shall be completed and signed off as part of every production deployment. The checklist shall be maintained in the deployment guide (</w:t>
      </w:r>
      <w:r>
        <w:rPr>
          <w:rStyle w:val="VerbatimChar"/>
        </w:rPr>
        <w:t xml:space="preserve">08-end-user-documentation/02-installation-guide/</w:t>
      </w:r>
      <w:r>
        <w:t xml:space="preserve">).</w:t>
      </w:r>
    </w:p>
    <w:p>
      <w:pPr>
        <w:pStyle w:val="FirstParagraph"/>
      </w:pPr>
      <w:r>
        <w:rPr>
          <w:b/>
          <w:bCs/>
        </w:rPr>
        <w:t xml:space="preserve">Measurable requirement:</w:t>
      </w:r>
      <w:r>
        <w:t xml:space="preserve"> </w:t>
      </w:r>
      <w:r>
        <w:t xml:space="preserve">The deployment hardening checklist shall produce 0 open items at launch. An automated configuration scan shall confirm PHP error display is disabled and directory listing is disabled.</w:t>
      </w:r>
    </w:p>
    <w:bookmarkEnd w:id="98"/>
    <w:bookmarkStart w:id="99" w:name="X6a4b6c3dcfea924875a88cf0140df843e5988db"/>
    <w:p>
      <w:pPr>
        <w:pStyle w:val="Heading2"/>
      </w:pPr>
      <w:r>
        <w:t xml:space="preserve">8.7 A06 — Vulnerable and Outdated Components</w:t>
      </w:r>
    </w:p>
    <w:p>
      <w:pPr>
        <w:pStyle w:val="FirstParagraph"/>
      </w:pPr>
      <w:r>
        <w:t xml:space="preserve">Vulnerable components are third-party libraries with known security vulnerabilities.</w:t>
      </w:r>
    </w:p>
    <w:p>
      <w:pPr>
        <w:pStyle w:val="BodyText"/>
      </w:pPr>
      <w:r>
        <w:rPr>
          <w:b/>
          <w:bCs/>
        </w:rPr>
        <w:t xml:space="preserve">Controls implemented:</w:t>
      </w:r>
    </w:p>
    <w:p>
      <w:pPr>
        <w:pStyle w:val="Compact"/>
        <w:numPr>
          <w:ilvl w:val="0"/>
          <w:numId w:val="1018"/>
        </w:numPr>
      </w:pPr>
      <w:r>
        <w:t xml:space="preserve">All PHP dependencies are managed by Composer. The</w:t>
      </w:r>
      <w:r>
        <w:t xml:space="preserve"> </w:t>
      </w:r>
      <w:r>
        <w:rPr>
          <w:rStyle w:val="VerbatimChar"/>
        </w:rPr>
        <w:t xml:space="preserve">composer.lock</w:t>
      </w:r>
      <w:r>
        <w:t xml:space="preserve"> </w:t>
      </w:r>
      <w:r>
        <w:t xml:space="preserve">file is committed to version control to pin exact dependency versions.</w:t>
      </w:r>
    </w:p>
    <w:p>
      <w:pPr>
        <w:pStyle w:val="Compact"/>
        <w:numPr>
          <w:ilvl w:val="0"/>
          <w:numId w:val="1018"/>
        </w:numPr>
      </w:pPr>
      <w:r>
        <w:rPr>
          <w:rStyle w:val="VerbatimChar"/>
        </w:rPr>
        <w:t xml:space="preserve">composer audit</w:t>
      </w:r>
      <w:r>
        <w:t xml:space="preserve"> </w:t>
      </w:r>
      <w:r>
        <w:t xml:space="preserve">shall be run as part of the CI/CD pipeline on every build. A build with known high-severity vulnerabilities in direct dependencies shall not be deployed to production.</w:t>
      </w:r>
    </w:p>
    <w:p>
      <w:pPr>
        <w:pStyle w:val="Compact"/>
        <w:numPr>
          <w:ilvl w:val="0"/>
          <w:numId w:val="1018"/>
        </w:numPr>
      </w:pPr>
      <w:r>
        <w:t xml:space="preserve">Composer dependencies shall be reviewed and updated on a monthly schedule. Security patches for direct dependencies shall be applied within 7 days of public disclosure.</w:t>
      </w:r>
    </w:p>
    <w:p>
      <w:pPr>
        <w:pStyle w:val="Compact"/>
        <w:numPr>
          <w:ilvl w:val="0"/>
          <w:numId w:val="1018"/>
        </w:numPr>
      </w:pPr>
      <w:r>
        <w:t xml:space="preserve">Frontend JavaScript libraries (jQuery, Bootstrap, DataTables, etc.) shall be updated on a quarterly schedule or within 14 days of a high-severity CVE disclosure.</w:t>
      </w:r>
    </w:p>
    <w:p>
      <w:pPr>
        <w:pStyle w:val="FirstParagraph"/>
      </w:pPr>
      <w:r>
        <w:rPr>
          <w:b/>
          <w:bCs/>
        </w:rPr>
        <w:t xml:space="preserve">Measurable requirement:</w:t>
      </w:r>
      <w:r>
        <w:t xml:space="preserve"> </w:t>
      </w:r>
      <w:r>
        <w:rPr>
          <w:rStyle w:val="VerbatimChar"/>
        </w:rPr>
        <w:t xml:space="preserve">composer audit</w:t>
      </w:r>
      <w:r>
        <w:t xml:space="preserve"> </w:t>
      </w:r>
      <w:r>
        <w:t xml:space="preserve">shall report 0 high or critical severity advisories for direct dependencies at any production deployment.</w:t>
      </w:r>
    </w:p>
    <w:bookmarkEnd w:id="99"/>
    <w:bookmarkStart w:id="100" w:name="X73a660b238092dddf5766f97a6667cb29a6eac6"/>
    <w:p>
      <w:pPr>
        <w:pStyle w:val="Heading2"/>
      </w:pPr>
      <w:r>
        <w:t xml:space="preserve">8.8 A07 — Identification and Authentication Failures</w:t>
      </w:r>
    </w:p>
    <w:p>
      <w:pPr>
        <w:pStyle w:val="FirstParagraph"/>
      </w:pPr>
      <w:r>
        <w:t xml:space="preserve">Authentication failures include weak passwords, missing multi-factor authentication, and inadequate session management.</w:t>
      </w:r>
    </w:p>
    <w:p>
      <w:pPr>
        <w:pStyle w:val="BodyText"/>
      </w:pPr>
      <w:r>
        <w:rPr>
          <w:b/>
          <w:bCs/>
        </w:rPr>
        <w:t xml:space="preserve">Controls implemented:</w:t>
      </w:r>
    </w:p>
    <w:p>
      <w:pPr>
        <w:pStyle w:val="Compact"/>
        <w:numPr>
          <w:ilvl w:val="0"/>
          <w:numId w:val="1019"/>
        </w:numPr>
      </w:pPr>
      <w:r>
        <w:t xml:space="preserve">Password policy compliant with NIST SP 800-63B: minimum 12 characters, no complexity rules (character class requirements), breach-checked against known compromised password lists at registration, no forced periodic rotation.</w:t>
      </w:r>
    </w:p>
    <w:p>
      <w:pPr>
        <w:pStyle w:val="Compact"/>
        <w:numPr>
          <w:ilvl w:val="0"/>
          <w:numId w:val="1019"/>
        </w:numPr>
      </w:pPr>
      <w:r>
        <w:t xml:space="preserve">Two-factor authentication (2FA) via time-based one-time password (TOTP) is available for all user accounts. Tenant administrators may make 2FA mandatory for their users.</w:t>
      </w:r>
    </w:p>
    <w:p>
      <w:pPr>
        <w:pStyle w:val="Compact"/>
        <w:numPr>
          <w:ilvl w:val="0"/>
          <w:numId w:val="1019"/>
        </w:numPr>
      </w:pPr>
      <w:r>
        <w:t xml:space="preserve">Session tokens are cryptographically random, server-side, and bound to</w:t>
      </w:r>
      <w:r>
        <w:t xml:space="preserve"> </w:t>
      </w:r>
      <w:r>
        <w:rPr>
          <w:rStyle w:val="VerbatimChar"/>
        </w:rPr>
        <w:t xml:space="preserve">tenant_id</w:t>
      </w:r>
      <w:r>
        <w:t xml:space="preserve"> </w:t>
      </w:r>
      <w:r>
        <w:t xml:space="preserve">and</w:t>
      </w:r>
      <w:r>
        <w:t xml:space="preserve"> </w:t>
      </w:r>
      <w:r>
        <w:rPr>
          <w:rStyle w:val="VerbatimChar"/>
        </w:rPr>
        <w:t xml:space="preserve">user_id</w:t>
      </w:r>
      <w:r>
        <w:t xml:space="preserve"> </w:t>
      </w:r>
      <w:r>
        <w:t xml:space="preserve">(Section 2.2).</w:t>
      </w:r>
    </w:p>
    <w:p>
      <w:pPr>
        <w:pStyle w:val="Compact"/>
        <w:numPr>
          <w:ilvl w:val="0"/>
          <w:numId w:val="1019"/>
        </w:numPr>
      </w:pPr>
      <w:r>
        <w:t xml:space="preserve">Login attempt throttling: after 5 consecutive failed login attempts for an account, the system shall enforce a 15-minute lockout for that account. Lockout events are logged in the audit log.</w:t>
      </w:r>
    </w:p>
    <w:p>
      <w:pPr>
        <w:pStyle w:val="Compact"/>
        <w:numPr>
          <w:ilvl w:val="0"/>
          <w:numId w:val="1019"/>
        </w:numPr>
      </w:pPr>
      <w:r>
        <w:t xml:space="preserve">Active sessions are invalidated within 5 seconds of account deactivation (NFR-SEC-003).</w:t>
      </w:r>
    </w:p>
    <w:p>
      <w:pPr>
        <w:pStyle w:val="Compact"/>
        <w:numPr>
          <w:ilvl w:val="0"/>
          <w:numId w:val="1019"/>
        </w:numPr>
      </w:pPr>
      <w:r>
        <w:t xml:space="preserve">JWT refresh token rotation prevents replay of stolen refresh tokens (Section 2.3.4).</w:t>
      </w:r>
    </w:p>
    <w:p>
      <w:pPr>
        <w:pStyle w:val="FirstParagraph"/>
      </w:pPr>
      <w:r>
        <w:rPr>
          <w:b/>
          <w:bCs/>
        </w:rPr>
        <w:t xml:space="preserve">Measurable requirement:</w:t>
      </w:r>
      <w:r>
        <w:t xml:space="preserve"> </w:t>
      </w:r>
      <w:r>
        <w:t xml:space="preserve">Penetration testing shall confirm that session tokens are not predictable, that account lockout engages after ≤ 5 failed attempts, and that disabled accounts cannot authenticate within a 5-second window.</w:t>
      </w:r>
    </w:p>
    <w:bookmarkEnd w:id="100"/>
    <w:bookmarkStart w:id="101" w:name="Xb039effd4f205d44cc2b8f176a03cd72ab28c57"/>
    <w:p>
      <w:pPr>
        <w:pStyle w:val="Heading2"/>
      </w:pPr>
      <w:r>
        <w:t xml:space="preserve">8.9 A08 — Software and Data Integrity Failures</w:t>
      </w:r>
    </w:p>
    <w:p>
      <w:pPr>
        <w:pStyle w:val="FirstParagraph"/>
      </w:pPr>
      <w:r>
        <w:t xml:space="preserve">Integrity failures include deploying unsigned code and accepting unverified serialised data.</w:t>
      </w:r>
    </w:p>
    <w:p>
      <w:pPr>
        <w:pStyle w:val="BodyText"/>
      </w:pPr>
      <w:r>
        <w:rPr>
          <w:b/>
          <w:bCs/>
        </w:rPr>
        <w:t xml:space="preserve">Controls implemented:</w:t>
      </w:r>
    </w:p>
    <w:p>
      <w:pPr>
        <w:pStyle w:val="Compact"/>
        <w:numPr>
          <w:ilvl w:val="0"/>
          <w:numId w:val="1020"/>
        </w:numPr>
      </w:pPr>
      <w:r>
        <w:t xml:space="preserve">The</w:t>
      </w:r>
      <w:r>
        <w:t xml:space="preserve"> </w:t>
      </w:r>
      <w:r>
        <w:rPr>
          <w:rStyle w:val="VerbatimChar"/>
        </w:rPr>
        <w:t xml:space="preserve">composer.lock</w:t>
      </w:r>
      <w:r>
        <w:t xml:space="preserve"> </w:t>
      </w:r>
      <w:r>
        <w:t xml:space="preserve">file pins exact package versions and includes content hashes. Composer verifies package integrity against these hashes at install time.</w:t>
      </w:r>
    </w:p>
    <w:p>
      <w:pPr>
        <w:pStyle w:val="Compact"/>
        <w:numPr>
          <w:ilvl w:val="0"/>
          <w:numId w:val="1020"/>
        </w:numPr>
      </w:pPr>
      <w:r>
        <w:t xml:space="preserve">Deployment pipelines shall use the locked dependency set.</w:t>
      </w:r>
      <w:r>
        <w:t xml:space="preserve"> </w:t>
      </w:r>
      <w:r>
        <w:rPr>
          <w:rStyle w:val="VerbatimChar"/>
        </w:rPr>
        <w:t xml:space="preserve">composer install --no-dev</w:t>
      </w:r>
      <w:r>
        <w:t xml:space="preserve"> </w:t>
      </w:r>
      <w:r>
        <w:t xml:space="preserve">(not</w:t>
      </w:r>
      <w:r>
        <w:t xml:space="preserve"> </w:t>
      </w:r>
      <w:r>
        <w:rPr>
          <w:rStyle w:val="VerbatimChar"/>
        </w:rPr>
        <w:t xml:space="preserve">composer update</w:t>
      </w:r>
      <w:r>
        <w:t xml:space="preserve">) shall be used for all production deployments.</w:t>
      </w:r>
    </w:p>
    <w:p>
      <w:pPr>
        <w:pStyle w:val="Compact"/>
        <w:numPr>
          <w:ilvl w:val="0"/>
          <w:numId w:val="1020"/>
        </w:numPr>
      </w:pPr>
      <w:r>
        <w:t xml:space="preserve">PHP serialisation (</w:t>
      </w:r>
      <w:r>
        <w:rPr>
          <w:rStyle w:val="VerbatimChar"/>
        </w:rPr>
        <w:t xml:space="preserve">serialize()</w:t>
      </w:r>
      <w:r>
        <w:t xml:space="preserve"> </w:t>
      </w:r>
      <w:r>
        <w:t xml:space="preserve">/</w:t>
      </w:r>
      <w:r>
        <w:t xml:space="preserve"> </w:t>
      </w:r>
      <w:r>
        <w:rPr>
          <w:rStyle w:val="VerbatimChar"/>
        </w:rPr>
        <w:t xml:space="preserve">unserialize()</w:t>
      </w:r>
      <w:r>
        <w:t xml:space="preserve">) shall not be used for user-supplied data. JSON is used for all data exchange. If</w:t>
      </w:r>
      <w:r>
        <w:t xml:space="preserve"> </w:t>
      </w:r>
      <w:r>
        <w:rPr>
          <w:rStyle w:val="VerbatimChar"/>
        </w:rPr>
        <w:t xml:space="preserve">unserialize()</w:t>
      </w:r>
      <w:r>
        <w:t xml:space="preserve"> </w:t>
      </w:r>
      <w:r>
        <w:t xml:space="preserve">is required for a specific purpose, the</w:t>
      </w:r>
      <w:r>
        <w:t xml:space="preserve"> </w:t>
      </w:r>
      <w:r>
        <w:rPr>
          <w:rStyle w:val="VerbatimChar"/>
        </w:rPr>
        <w:t xml:space="preserve">allowed_classes</w:t>
      </w:r>
      <w:r>
        <w:t xml:space="preserve"> </w:t>
      </w:r>
      <w:r>
        <w:t xml:space="preserve">parameter shall be set to</w:t>
      </w:r>
      <w:r>
        <w:t xml:space="preserve"> </w:t>
      </w:r>
      <w:r>
        <w:rPr>
          <w:rStyle w:val="VerbatimChar"/>
        </w:rPr>
        <w:t xml:space="preserve">false</w:t>
      </w:r>
      <w:r>
        <w:t xml:space="preserve"> </w:t>
      </w:r>
      <w:r>
        <w:t xml:space="preserve">or a specific whitelist.</w:t>
      </w:r>
    </w:p>
    <w:p>
      <w:pPr>
        <w:pStyle w:val="Compact"/>
        <w:numPr>
          <w:ilvl w:val="0"/>
          <w:numId w:val="1020"/>
        </w:numPr>
      </w:pPr>
      <w:r>
        <w:t xml:space="preserve">Signed deployments: the deployment runbook shall specify a checksum verification step for production release packages.</w:t>
      </w:r>
    </w:p>
    <w:p>
      <w:pPr>
        <w:pStyle w:val="FirstParagraph"/>
      </w:pPr>
      <w:r>
        <w:rPr>
          <w:b/>
          <w:bCs/>
        </w:rPr>
        <w:t xml:space="preserve">Measurable requirement:</w:t>
      </w:r>
      <w:r>
        <w:t xml:space="preserve"> </w:t>
      </w:r>
      <w:r>
        <w:t xml:space="preserve">The CI/CD pipeline shall verify Composer lock file integrity on every build. Any discrepancy between</w:t>
      </w:r>
      <w:r>
        <w:t xml:space="preserve"> </w:t>
      </w:r>
      <w:r>
        <w:rPr>
          <w:rStyle w:val="VerbatimChar"/>
        </w:rPr>
        <w:t xml:space="preserve">composer.lock</w:t>
      </w:r>
      <w:r>
        <w:t xml:space="preserve"> </w:t>
      </w:r>
      <w:r>
        <w:t xml:space="preserve">and</w:t>
      </w:r>
      <w:r>
        <w:t xml:space="preserve"> </w:t>
      </w:r>
      <w:r>
        <w:rPr>
          <w:rStyle w:val="VerbatimChar"/>
        </w:rPr>
        <w:t xml:space="preserve">vendor/</w:t>
      </w:r>
      <w:r>
        <w:t xml:space="preserve"> </w:t>
      </w:r>
      <w:r>
        <w:t xml:space="preserve">content shall halt the build.</w:t>
      </w:r>
    </w:p>
    <w:bookmarkEnd w:id="101"/>
    <w:bookmarkStart w:id="102" w:name="Xc5afce5ccf8612d4474dd40f6e08f3224ca4210"/>
    <w:p>
      <w:pPr>
        <w:pStyle w:val="Heading2"/>
      </w:pPr>
      <w:r>
        <w:t xml:space="preserve">8.10 A09 — Security Logging and Monitoring Failures</w:t>
      </w:r>
    </w:p>
    <w:p>
      <w:pPr>
        <w:pStyle w:val="FirstParagraph"/>
      </w:pPr>
      <w:r>
        <w:t xml:space="preserve">Logging failures occur when security events are not recorded or monitored, allowing breaches to go undetected.</w:t>
      </w:r>
    </w:p>
    <w:p>
      <w:pPr>
        <w:pStyle w:val="BodyText"/>
      </w:pPr>
      <w:r>
        <w:rPr>
          <w:b/>
          <w:bCs/>
        </w:rPr>
        <w:t xml:space="preserve">Controls implemented:</w:t>
      </w:r>
    </w:p>
    <w:p>
      <w:pPr>
        <w:pStyle w:val="Compact"/>
        <w:numPr>
          <w:ilvl w:val="0"/>
          <w:numId w:val="1021"/>
        </w:numPr>
      </w:pPr>
      <w:r>
        <w:t xml:space="preserve">Immutable audit log captures all state-changing events, authentication events, and impersonation events (Section 5.3).</w:t>
      </w:r>
    </w:p>
    <w:p>
      <w:pPr>
        <w:pStyle w:val="Compact"/>
        <w:numPr>
          <w:ilvl w:val="0"/>
          <w:numId w:val="1021"/>
        </w:numPr>
      </w:pPr>
      <w:r>
        <w:t xml:space="preserve">Application-layer errors are written to a structured error log (not displayed to users) in a format compatible with log aggregation tools.</w:t>
      </w:r>
    </w:p>
    <w:p>
      <w:pPr>
        <w:pStyle w:val="Compact"/>
        <w:numPr>
          <w:ilvl w:val="0"/>
          <w:numId w:val="1021"/>
        </w:numPr>
      </w:pPr>
      <w:r>
        <w:t xml:space="preserve">Login failures, rate limit events, and refresh token reuse events are logged with IP address and timestamp.</w:t>
      </w:r>
    </w:p>
    <w:p>
      <w:pPr>
        <w:pStyle w:val="Compact"/>
        <w:numPr>
          <w:ilvl w:val="0"/>
          <w:numId w:val="1021"/>
        </w:numPr>
      </w:pPr>
      <w:r>
        <w:t xml:space="preserve">The audit log provides a searchable, exportable record for post-incident forensics.</w:t>
      </w:r>
    </w:p>
    <w:p>
      <w:pPr>
        <w:pStyle w:val="Compact"/>
        <w:numPr>
          <w:ilvl w:val="0"/>
          <w:numId w:val="1021"/>
        </w:numPr>
      </w:pPr>
      <w:r>
        <w:t xml:space="preserve">Audit log retention for 7 years ensures historical evidence is available for delayed investigations (Section 5.6).</w:t>
      </w:r>
    </w:p>
    <w:p>
      <w:pPr>
        <w:pStyle w:val="FirstParagraph"/>
      </w:pPr>
      <w:r>
        <w:rPr>
          <w:b/>
          <w:bCs/>
        </w:rPr>
        <w:t xml:space="preserve">Measurable requirement:</w:t>
      </w:r>
      <w:r>
        <w:t xml:space="preserve"> </w:t>
      </w:r>
      <w:r>
        <w:t xml:space="preserve">The audit log shall capture 100% of the event types listed in Section 5.3. This shall be verified by integration test cases that exercise each event type and confirm a corresponding record exists in</w:t>
      </w:r>
      <w:r>
        <w:t xml:space="preserve"> </w:t>
      </w:r>
      <w:r>
        <w:rPr>
          <w:rStyle w:val="VerbatimChar"/>
        </w:rPr>
        <w:t xml:space="preserve">audit_log</w:t>
      </w:r>
      <w:r>
        <w:t xml:space="preserve">.</w:t>
      </w:r>
    </w:p>
    <w:bookmarkEnd w:id="102"/>
    <w:bookmarkStart w:id="103" w:name="X7f5717039d1747c9db34fcb3e3bba1f7f47eb92"/>
    <w:p>
      <w:pPr>
        <w:pStyle w:val="Heading2"/>
      </w:pPr>
      <w:r>
        <w:t xml:space="preserve">8.11 A10 — Server-Side Request Forgery</w:t>
      </w:r>
    </w:p>
    <w:p>
      <w:pPr>
        <w:pStyle w:val="FirstParagraph"/>
      </w:pPr>
      <w:r>
        <w:t xml:space="preserve">Server-Side Request Forgery (SSRF) occurs when the application makes HTTP requests to an attacker-controlled URL, potentially exposing internal network resources.</w:t>
      </w:r>
    </w:p>
    <w:p>
      <w:pPr>
        <w:pStyle w:val="BodyText"/>
      </w:pPr>
      <w:r>
        <w:rPr>
          <w:b/>
          <w:bCs/>
        </w:rPr>
        <w:t xml:space="preserve">Controls implemented:</w:t>
      </w:r>
    </w:p>
    <w:p>
      <w:pPr>
        <w:pStyle w:val="Compact"/>
        <w:numPr>
          <w:ilvl w:val="0"/>
          <w:numId w:val="1022"/>
        </w:numPr>
      </w:pPr>
      <w:r>
        <w:t xml:space="preserve">All URL parameters accepted from user input (e.g., webhook callback URLs, external API endpoint configurations) shall be validated against an allowlist of permitted domains and schemes before any outbound HTTP request is made.</w:t>
      </w:r>
    </w:p>
    <w:p>
      <w:pPr>
        <w:pStyle w:val="Compact"/>
        <w:numPr>
          <w:ilvl w:val="0"/>
          <w:numId w:val="1022"/>
        </w:numPr>
      </w:pPr>
      <w:r>
        <w:t xml:space="preserve">The allowlist shall be maintained in the platform configuration and shall include only explicitly approved external API domains (e.g., URA EFRIS, MTN MoMo, Safaricom Daraja).</w:t>
      </w:r>
    </w:p>
    <w:p>
      <w:pPr>
        <w:pStyle w:val="Compact"/>
        <w:numPr>
          <w:ilvl w:val="0"/>
          <w:numId w:val="1022"/>
        </w:numPr>
      </w:pPr>
      <w:r>
        <w:t xml:space="preserve">HTTP redirects from external API responses shall not be automatically followed unless the final destination is also on the allowlist.</w:t>
      </w:r>
    </w:p>
    <w:p>
      <w:pPr>
        <w:pStyle w:val="Compact"/>
        <w:numPr>
          <w:ilvl w:val="0"/>
          <w:numId w:val="1022"/>
        </w:numPr>
      </w:pPr>
      <w:r>
        <w:t xml:space="preserve">Requests to private IP address ranges (RFC 1918: 10.0.0.0/8, 172.16.0.0/12, 192.168.0.0/16), loopback addresses (127.0.0.1, ::1), and link-local addresses shall be rejected.</w:t>
      </w:r>
    </w:p>
    <w:p>
      <w:pPr>
        <w:pStyle w:val="Compact"/>
        <w:numPr>
          <w:ilvl w:val="0"/>
          <w:numId w:val="1022"/>
        </w:numPr>
      </w:pPr>
      <w:r>
        <w:t xml:space="preserve">The</w:t>
      </w:r>
      <w:r>
        <w:t xml:space="preserve"> </w:t>
      </w:r>
      <w:r>
        <w:rPr>
          <w:rStyle w:val="VerbatimChar"/>
        </w:rPr>
        <w:t xml:space="preserve">file://</w:t>
      </w:r>
      <w:r>
        <w:t xml:space="preserve">,</w:t>
      </w:r>
      <w:r>
        <w:t xml:space="preserve"> </w:t>
      </w:r>
      <w:r>
        <w:rPr>
          <w:rStyle w:val="VerbatimChar"/>
        </w:rPr>
        <w:t xml:space="preserve">ftp://</w:t>
      </w:r>
      <w:r>
        <w:t xml:space="preserve">, and</w:t>
      </w:r>
      <w:r>
        <w:t xml:space="preserve"> </w:t>
      </w:r>
      <w:r>
        <w:rPr>
          <w:rStyle w:val="VerbatimChar"/>
        </w:rPr>
        <w:t xml:space="preserve">gopher://</w:t>
      </w:r>
      <w:r>
        <w:t xml:space="preserve"> </w:t>
      </w:r>
      <w:r>
        <w:t xml:space="preserve">URL schemes shall be rejected for all external HTTP client calls.</w:t>
      </w:r>
    </w:p>
    <w:p>
      <w:pPr>
        <w:pStyle w:val="FirstParagraph"/>
      </w:pPr>
      <w:r>
        <w:rPr>
          <w:b/>
          <w:bCs/>
        </w:rPr>
        <w:t xml:space="preserve">Measurable requirement:</w:t>
      </w:r>
      <w:r>
        <w:t xml:space="preserve"> </w:t>
      </w:r>
      <w:r>
        <w:t xml:space="preserve">Penetration testing shall confirm that a request to an internal IP address via a user-supplied URL parameter is rejected with an appropriate error. The allowlist shall be reviewed and updated as part of each new external API integration.</w:t>
      </w:r>
    </w:p>
    <w:bookmarkEnd w:id="103"/>
    <w:bookmarkEnd w:id="104"/>
    <w:bookmarkStart w:id="113" w:name="nita-u-saas-compliance-obligations"/>
    <w:p>
      <w:pPr>
        <w:pStyle w:val="Heading1"/>
      </w:pPr>
      <w:r>
        <w:t xml:space="preserve">NITA-U SaaS Compliance Obligations</w:t>
      </w:r>
    </w:p>
    <w:bookmarkStart w:id="105" w:name="Xf6d08d2b9ec2b93a4c6cc27d8f11170550f84f4"/>
    <w:p>
      <w:pPr>
        <w:pStyle w:val="Heading2"/>
      </w:pPr>
      <w:r>
        <w:t xml:space="preserve">9.1 Regulatory Body</w:t>
      </w:r>
    </w:p>
    <w:p>
      <w:pPr>
        <w:pStyle w:val="FirstParagraph"/>
      </w:pPr>
      <w:r>
        <w:t xml:space="preserve">The National Information Technology Authority — Uganda (NITA-U) is the statutory body responsible for regulating information technology services in Uganda under the National Information Technology Authority Act 2009. NITA-U has issued guidance applicable to SaaS cloud service providers operating in or serving organisations in Uganda.</w:t>
      </w:r>
    </w:p>
    <w:bookmarkEnd w:id="105"/>
    <w:bookmarkStart w:id="106" w:name="Xd336e56d4f36f71431ae319749be321769bd1ca"/>
    <w:p>
      <w:pPr>
        <w:pStyle w:val="Heading2"/>
      </w:pPr>
      <w:r>
        <w:t xml:space="preserve">9.2 Compliance Status</w:t>
      </w:r>
    </w:p>
    <w:p>
      <w:pPr>
        <w:pStyle w:val="FirstParagraph"/>
      </w:pPr>
      <w:r>
        <w:rPr>
          <w:i/>
          <w:iCs/>
        </w:rPr>
        <w:t xml:space="preserve">Interim compliance position (Roadmap item GAP-014 — NITA-U legal review).</w:t>
      </w:r>
      <w:r>
        <w:t xml:space="preserve"> </w:t>
      </w:r>
      <w:r>
        <w:t xml:space="preserve">Until a legal review of NITA-U SaaS cloud-provider obligations is completed, the platform operates against the provisional obligations enumerated in Section 9.3 as its compliance baseline, treating each as applicable to Chwezi Core Systems as platform operator unless the review confirms otherwise. The review (confirming Section 9.3, identifying any additional obligations, and recording per-obligation applicability) is a pre-production gate tracked in the risk register; production is not declared NITA-U compliant until it is documented.</w:t>
      </w:r>
    </w:p>
    <w:bookmarkEnd w:id="106"/>
    <w:bookmarkStart w:id="111" w:name="Xede81b25a3f02eef602f87257a308c0f8f347ad"/>
    <w:p>
      <w:pPr>
        <w:pStyle w:val="Heading2"/>
      </w:pPr>
      <w:r>
        <w:t xml:space="preserve">9.3 Known Obligations (Provisional)</w:t>
      </w:r>
    </w:p>
    <w:p>
      <w:pPr>
        <w:pStyle w:val="FirstParagraph"/>
      </w:pPr>
      <w:r>
        <w:t xml:space="preserve">The following obligations are known at the time of writing, based on publicly available NITA-U guidance. They are provisional until confirmed by the legal review required under GAP-014.</w:t>
      </w:r>
    </w:p>
    <w:bookmarkStart w:id="107" w:name="Xf93b70617926f9a0d54737287196a623342c14b"/>
    <w:p>
      <w:pPr>
        <w:pStyle w:val="Heading3"/>
      </w:pPr>
      <w:r>
        <w:t xml:space="preserve">9.3.1 Data Localisation</w:t>
      </w:r>
    </w:p>
    <w:p>
      <w:pPr>
        <w:pStyle w:val="FirstParagraph"/>
      </w:pPr>
      <w:r>
        <w:t xml:space="preserve">NITA-U guidance indicates a preference for government and public-sector data to be hosted on Uganda-based infrastructure. For private-sector tenants, the data localisation requirements under current NITA-U guidance are subject to legal confirmation. The data residency decision required by GAP-007 (Section 6.4) shall be made in conjunction with this obligation.</w:t>
      </w:r>
    </w:p>
    <w:bookmarkEnd w:id="107"/>
    <w:bookmarkStart w:id="108" w:name="Xeffa06751694366c3cfb82fa0016d09f1603a8d"/>
    <w:p>
      <w:pPr>
        <w:pStyle w:val="Heading3"/>
      </w:pPr>
      <w:r>
        <w:t xml:space="preserve">9.3.2 Security Incident Reporting</w:t>
      </w:r>
    </w:p>
    <w:p>
      <w:pPr>
        <w:pStyle w:val="FirstParagraph"/>
      </w:pPr>
      <w:r>
        <w:t xml:space="preserve">Cloud SaaS providers may be required to report material security incidents to NITA-U within a defined timeframe. The specific reporting timeline and the definition of "material incident" are subject to confirmation by the GAP-014 legal review. Kraal Code's incident response runbook shall include a NITA-U reporting step once the obligation is confirmed.</w:t>
      </w:r>
    </w:p>
    <w:bookmarkEnd w:id="108"/>
    <w:bookmarkStart w:id="109" w:name="Xbf7aa11f02d22b58ba1271155b165e5fab73a5a"/>
    <w:p>
      <w:pPr>
        <w:pStyle w:val="Heading3"/>
      </w:pPr>
      <w:r>
        <w:t xml:space="preserve">9.3.3 Compliance Certification</w:t>
      </w:r>
    </w:p>
    <w:p>
      <w:pPr>
        <w:pStyle w:val="FirstParagraph"/>
      </w:pPr>
      <w:r>
        <w:t xml:space="preserve">NITA-U may require SaaS providers to obtain or maintain specific certifications. The ISO/IEC 27001:2022 information security management system certification targeted by Kraal Code (Section 1.3) may satisfy or contribute to this requirement. Confirmation is required as part of GAP-014.</w:t>
      </w:r>
    </w:p>
    <w:bookmarkEnd w:id="109"/>
    <w:bookmarkStart w:id="110" w:name="X71a5745b9d863b3dcf4bf187c9b8586bf7b6201"/>
    <w:p>
      <w:pPr>
        <w:pStyle w:val="Heading3"/>
      </w:pPr>
      <w:r>
        <w:t xml:space="preserve">9.3.4 Data Processing Agreements</w:t>
      </w:r>
    </w:p>
    <w:p>
      <w:pPr>
        <w:pStyle w:val="FirstParagraph"/>
      </w:pPr>
      <w:r>
        <w:t xml:space="preserve">NITA-U guidance may require documented data processing agreements between Chwezi Core Systems (as processor) and tenant organisations (as controllers) for data subject to Ugandan law. The Tenant Service Agreement shall include PDPA-compliant data processing clauses. Whether NITA-U prescribes additional terms is subject to confirmation.</w:t>
      </w:r>
    </w:p>
    <w:bookmarkEnd w:id="110"/>
    <w:bookmarkEnd w:id="111"/>
    <w:bookmarkStart w:id="112" w:name="X0da385d33c452f745cb4b5006988bbed766089c"/>
    <w:p>
      <w:pPr>
        <w:pStyle w:val="Heading2"/>
      </w:pPr>
      <w:r>
        <w:t xml:space="preserve">9.4 Action Required Before Production</w:t>
      </w:r>
    </w:p>
    <w:p>
      <w:pPr>
        <w:pStyle w:val="FirstParagraph"/>
      </w:pPr>
      <w:r>
        <w:t xml:space="preserve">The following actions shall be completed before the platform is marketed to Ugandan organisations as NITA-U-compliant:</w:t>
      </w:r>
    </w:p>
    <w:p>
      <w:pPr>
        <w:pStyle w:val="Compact"/>
        <w:numPr>
          <w:ilvl w:val="0"/>
          <w:numId w:val="1023"/>
        </w:numPr>
      </w:pPr>
      <w:r>
        <w:t xml:space="preserve">Commission the legal review specified in GAP-014.</w:t>
      </w:r>
    </w:p>
    <w:p>
      <w:pPr>
        <w:pStyle w:val="Compact"/>
        <w:numPr>
          <w:ilvl w:val="0"/>
          <w:numId w:val="1023"/>
        </w:numPr>
      </w:pPr>
      <w:r>
        <w:t xml:space="preserve">Update this section with confirmed obligations and their implementation status.</w:t>
      </w:r>
    </w:p>
    <w:p>
      <w:pPr>
        <w:pStyle w:val="Compact"/>
        <w:numPr>
          <w:ilvl w:val="0"/>
          <w:numId w:val="1023"/>
        </w:numPr>
      </w:pPr>
      <w:r>
        <w:t xml:space="preserve">Update the Tenant Service Agreement to reflect confirmed NITA-U data processing terms.</w:t>
      </w:r>
    </w:p>
    <w:p>
      <w:pPr>
        <w:pStyle w:val="Compact"/>
        <w:numPr>
          <w:ilvl w:val="0"/>
          <w:numId w:val="1023"/>
        </w:numPr>
      </w:pPr>
      <w:r>
        <w:t xml:space="preserve">Add NITA-U incident reporting steps to the deployment runbook.</w:t>
      </w:r>
    </w:p>
    <w:p>
      <w:pPr>
        <w:pStyle w:val="Compact"/>
        <w:numPr>
          <w:ilvl w:val="0"/>
          <w:numId w:val="1023"/>
        </w:numPr>
      </w:pPr>
      <w:r>
        <w:t xml:space="preserve">Record the completed review in the pre-launch compliance checklist (Section 10).</w:t>
      </w:r>
    </w:p>
    <w:p>
      <w:pPr>
        <w:pStyle w:val="FirstParagraph"/>
      </w:pPr>
      <w:r>
        <w:rPr>
          <w:i/>
          <w:iCs/>
        </w:rPr>
        <w:t xml:space="preserve">This section is flagged for mandatory update. Do not represent Kraal Code as NITA-U compliant until GAP-014 is resolved and this section is updated.</w:t>
      </w:r>
    </w:p>
    <w:bookmarkEnd w:id="112"/>
    <w:bookmarkEnd w:id="113"/>
    <w:bookmarkStart w:id="117" w:name="pre-launch-compliance-checklist"/>
    <w:p>
      <w:pPr>
        <w:pStyle w:val="Heading1"/>
      </w:pPr>
      <w:r>
        <w:t xml:space="preserve">Pre-Launch Compliance Checklist</w:t>
      </w:r>
    </w:p>
    <w:bookmarkStart w:id="114" w:name="Xa0281df645e96ca554670763497f2dd62156387"/>
    <w:p>
      <w:pPr>
        <w:pStyle w:val="Heading2"/>
      </w:pPr>
      <w:r>
        <w:t xml:space="preserve">10.1 Purpose</w:t>
      </w:r>
    </w:p>
    <w:p>
      <w:pPr>
        <w:pStyle w:val="FirstParagraph"/>
      </w:pPr>
      <w:r>
        <w:t xml:space="preserve">This checklist defines the mandatory compliance gates that shall be completed and signed off before Kraal Code is deployed to production and made available to paying tenants. Each item references the section of this document or the relevant gap that governs it. No item may be bypassed without explicit written approval from the Lead Developer.</w:t>
      </w:r>
    </w:p>
    <w:bookmarkEnd w:id="114"/>
    <w:bookmarkStart w:id="115" w:name="X629a3eae92f067b6b7226bdd8d4d8348391d393"/>
    <w:p>
      <w:pPr>
        <w:pStyle w:val="Heading2"/>
      </w:pPr>
      <w:r>
        <w:t xml:space="preserve">10.2 Mandatory Pre-Launch Items</w:t>
      </w:r>
    </w:p>
    <w:p>
      <w:pPr>
        <w:numPr>
          <w:ilvl w:val="0"/>
          <w:numId w:val="1024"/>
        </w:numPr>
      </w:pPr>
      <w:r>
        <w:t xml:space="preserve">Independent multi-tenancy security review completed and signed off. The review shall cover all controls specified in Section 4 and shall be documented in</w:t>
      </w:r>
      <w:r>
        <w:t xml:space="preserve"> </w:t>
      </w:r>
      <w:r>
        <w:rPr>
          <w:rStyle w:val="VerbatimChar"/>
        </w:rPr>
        <w:t xml:space="preserve">09-governance-compliance/02-audit-report/</w:t>
      </w:r>
      <w:r>
        <w:t xml:space="preserve">. Resolves</w:t>
      </w:r>
      <w:r>
        <w:t xml:space="preserve"> </w:t>
      </w:r>
      <w:r>
        <w:rPr>
          <w:rStyle w:val="VerbatimChar"/>
        </w:rPr>
        <w:t xml:space="preserve">GAP-004</w:t>
      </w:r>
      <w:r>
        <w:t xml:space="preserve">.</w:t>
      </w:r>
    </w:p>
    <w:p>
      <w:pPr>
        <w:numPr>
          <w:ilvl w:val="0"/>
          <w:numId w:val="1024"/>
        </w:numPr>
      </w:pPr>
      <w:r>
        <w:t xml:space="preserve">Uganda Data Protection and Privacy Act 2019 legal review completed and all provisional requirements in Section 6 updated with confirmed obligations. Resolves</w:t>
      </w:r>
      <w:r>
        <w:t xml:space="preserve"> </w:t>
      </w:r>
      <w:r>
        <w:rPr>
          <w:rStyle w:val="VerbatimChar"/>
        </w:rPr>
        <w:t xml:space="preserve">GAP-007</w:t>
      </w:r>
      <w:r>
        <w:t xml:space="preserve">.</w:t>
      </w:r>
    </w:p>
    <w:p>
      <w:pPr>
        <w:numPr>
          <w:ilvl w:val="0"/>
          <w:numId w:val="1024"/>
        </w:numPr>
      </w:pPr>
      <w:r>
        <w:t xml:space="preserve">NITA-U SaaS cloud provider obligations reviewed, Section 9 updated with confirmed obligations, and Tenant Service Agreement updated with required data processing terms. Resolves</w:t>
      </w:r>
      <w:r>
        <w:t xml:space="preserve"> </w:t>
      </w:r>
      <w:r>
        <w:rPr>
          <w:rStyle w:val="VerbatimChar"/>
        </w:rPr>
        <w:t xml:space="preserve">GAP-014</w:t>
      </w:r>
      <w:r>
        <w:t xml:space="preserve">.</w:t>
      </w:r>
    </w:p>
    <w:p>
      <w:pPr>
        <w:numPr>
          <w:ilvl w:val="0"/>
          <w:numId w:val="1024"/>
        </w:numPr>
      </w:pPr>
      <w:r>
        <w:t xml:space="preserve">All 10 OWASP Top 10 (2021) items addressed as specified in Section 8. Each item verified by penetration test or static analysis as noted in the corresponding measurable requirement. Test results documented in</w:t>
      </w:r>
      <w:r>
        <w:t xml:space="preserve"> </w:t>
      </w:r>
      <w:r>
        <w:rPr>
          <w:rStyle w:val="VerbatimChar"/>
        </w:rPr>
        <w:t xml:space="preserve">09-governance-compliance/02-audit-report/</w:t>
      </w:r>
      <w:r>
        <w:t xml:space="preserve">.</w:t>
      </w:r>
    </w:p>
    <w:p>
      <w:pPr>
        <w:numPr>
          <w:ilvl w:val="0"/>
          <w:numId w:val="1024"/>
        </w:numPr>
      </w:pPr>
      <w:r>
        <w:t xml:space="preserve">Audit log immutability verified by penetration test. The test shall confirm that UPDATE and DELETE operations on the</w:t>
      </w:r>
      <w:r>
        <w:t xml:space="preserve"> </w:t>
      </w:r>
      <w:r>
        <w:rPr>
          <w:rStyle w:val="VerbatimChar"/>
        </w:rPr>
        <w:t xml:space="preserve">audit_log</w:t>
      </w:r>
      <w:r>
        <w:t xml:space="preserve"> </w:t>
      </w:r>
      <w:r>
        <w:t xml:space="preserve">table are rejected at the database privilege level for both the application database user and any simulated administrative user. Test result documented in</w:t>
      </w:r>
      <w:r>
        <w:t xml:space="preserve"> </w:t>
      </w:r>
      <w:r>
        <w:rPr>
          <w:rStyle w:val="VerbatimChar"/>
        </w:rPr>
        <w:t xml:space="preserve">09-governance-compliance/02-audit-report/</w:t>
      </w:r>
      <w:r>
        <w:t xml:space="preserve">.</w:t>
      </w:r>
    </w:p>
    <w:p>
      <w:pPr>
        <w:numPr>
          <w:ilvl w:val="0"/>
          <w:numId w:val="1024"/>
        </w:numPr>
      </w:pPr>
      <w:r>
        <w:t xml:space="preserve">TLS 1.3 configured and verified on the production server. Configuration shall be confirmed using an independent TLS scanner (e.g., Qualys SSL Labs). The scan report shall achieve grade A or higher. TLS 1.1 and SSL 3.0 disabled, confirmed by scan output.</w:t>
      </w:r>
    </w:p>
    <w:p>
      <w:pPr>
        <w:numPr>
          <w:ilvl w:val="0"/>
          <w:numId w:val="1024"/>
        </w:numPr>
      </w:pPr>
      <w:r>
        <w:t xml:space="preserve">All sensitive fields listed in Section 6.3 encrypted at rest with AES-256. Encryption verified by inspecting raw database values for at least one record per field category and confirming the stored value is not plaintext.</w:t>
      </w:r>
    </w:p>
    <w:p>
      <w:pPr>
        <w:numPr>
          <w:ilvl w:val="0"/>
          <w:numId w:val="1024"/>
        </w:numPr>
      </w:pPr>
      <w:r>
        <w:t xml:space="preserve">Session security hardening checklist completed. The checklist shall cover:</w:t>
      </w:r>
      <w:r>
        <w:t xml:space="preserve"> </w:t>
      </w:r>
      <w:r>
        <w:rPr>
          <w:rStyle w:val="VerbatimChar"/>
        </w:rPr>
        <w:t xml:space="preserve">KRAAL_CODE_SESSION</w:t>
      </w:r>
      <w:r>
        <w:t xml:space="preserve"> </w:t>
      </w:r>
      <w:r>
        <w:t xml:space="preserve">cookie attributes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SameSite=Strict</w:t>
      </w:r>
      <w:r>
        <w:t xml:space="preserve">), CSRF token validation, session invalidation on account deactivation (NFR-SEC-003 ≤ 5 seconds), and session timeout configuration.</w:t>
      </w:r>
    </w:p>
    <w:p>
      <w:pPr>
        <w:numPr>
          <w:ilvl w:val="0"/>
          <w:numId w:val="1024"/>
        </w:numPr>
      </w:pPr>
      <w:r>
        <w:t xml:space="preserve">Rate limiting tested at production-scale load. The test shall confirm that token bucket limits engage correctly for a single</w:t>
      </w:r>
      <w:r>
        <w:t xml:space="preserve"> </w:t>
      </w:r>
      <w:r>
        <w:rPr>
          <w:rStyle w:val="VerbatimChar"/>
        </w:rPr>
        <w:t xml:space="preserve">user_id</w:t>
      </w:r>
      <w:r>
        <w:t xml:space="preserve"> </w:t>
      </w:r>
      <w:r>
        <w:t xml:space="preserve">at the configured threshold and that HTTP 429 is returned with a valid</w:t>
      </w:r>
      <w:r>
        <w:t xml:space="preserve"> </w:t>
      </w:r>
      <w:r>
        <w:rPr>
          <w:rStyle w:val="VerbatimChar"/>
        </w:rPr>
        <w:t xml:space="preserve">Retry-After</w:t>
      </w:r>
      <w:r>
        <w:t xml:space="preserve"> </w:t>
      </w:r>
      <w:r>
        <w:t xml:space="preserve">header. Test conducted using a load testing tool with at least 100 concurrent simulated users per tenant.</w:t>
      </w:r>
    </w:p>
    <w:p>
      <w:pPr>
        <w:numPr>
          <w:ilvl w:val="0"/>
          <w:numId w:val="1024"/>
        </w:numPr>
      </w:pPr>
      <w:r>
        <w:t xml:space="preserve">Security audit report documented and stored in</w:t>
      </w:r>
      <w:r>
        <w:t xml:space="preserve"> </w:t>
      </w:r>
      <w:r>
        <w:rPr>
          <w:rStyle w:val="VerbatimChar"/>
        </w:rPr>
        <w:t xml:space="preserve">09-governance-compliance/02-audit-report/</w:t>
      </w:r>
      <w:r>
        <w:t xml:space="preserve">. The report shall include findings from items 1 through 9 above, list any residual risks with a documented acceptance decision, and be signed off by the Lead Developer before production launch.</w:t>
      </w:r>
    </w:p>
    <w:bookmarkEnd w:id="115"/>
    <w:bookmarkStart w:id="116" w:name="X0d404bf9dd601b679e1d7fc92d7bbfab05a9c1a"/>
    <w:p>
      <w:pPr>
        <w:pStyle w:val="Heading2"/>
      </w:pPr>
      <w:r>
        <w:t xml:space="preserve">10.3 Ongoing Compliance Items</w:t>
      </w:r>
    </w:p>
    <w:p>
      <w:pPr>
        <w:pStyle w:val="FirstParagraph"/>
      </w:pPr>
      <w:r>
        <w:t xml:space="preserve">The following items do not block launch but shall be addressed within the timelines stated.</w:t>
      </w:r>
    </w:p>
    <w:p>
      <w:pPr>
        <w:pStyle w:val="Compact"/>
        <w:numPr>
          <w:ilvl w:val="0"/>
          <w:numId w:val="1025"/>
        </w:numPr>
      </w:pPr>
      <w:r>
        <w:t xml:space="preserve">Composer dependency security audit (</w:t>
      </w:r>
      <w:r>
        <w:rPr>
          <w:rStyle w:val="VerbatimChar"/>
        </w:rPr>
        <w:t xml:space="preserve">composer audit</w:t>
      </w:r>
      <w:r>
        <w:t xml:space="preserve">) run on a monthly schedule. High or critical advisories for direct dependencies resolved within 7 days of disclosure.</w:t>
      </w:r>
    </w:p>
    <w:p>
      <w:pPr>
        <w:pStyle w:val="Compact"/>
        <w:numPr>
          <w:ilvl w:val="0"/>
          <w:numId w:val="1025"/>
        </w:numPr>
      </w:pPr>
      <w:r>
        <w:t xml:space="preserve">Frontend JavaScript library versions reviewed quarterly. High-severity CVEs patched within 14 days.</w:t>
      </w:r>
    </w:p>
    <w:p>
      <w:pPr>
        <w:pStyle w:val="Compact"/>
        <w:numPr>
          <w:ilvl w:val="0"/>
          <w:numId w:val="1025"/>
        </w:numPr>
      </w:pPr>
      <w:r>
        <w:t xml:space="preserve">Data retention policy review conducted annually or whenever a material change to PDPA or NITA-U guidance is published.</w:t>
      </w:r>
    </w:p>
    <w:p>
      <w:pPr>
        <w:pStyle w:val="Compact"/>
        <w:numPr>
          <w:ilvl w:val="0"/>
          <w:numId w:val="1025"/>
        </w:numPr>
      </w:pPr>
      <w:r>
        <w:t xml:space="preserve">OWASP Top 10 re-assessment conducted annually and whenever a major new module is added.</w:t>
      </w:r>
    </w:p>
    <w:p>
      <w:pPr>
        <w:pStyle w:val="Compact"/>
        <w:numPr>
          <w:ilvl w:val="0"/>
          <w:numId w:val="1025"/>
        </w:numPr>
      </w:pPr>
      <w:r>
        <w:t xml:space="preserve">ISO/IEC 27001:2022 certification assessment initiated within 12 months of production launch.</w:t>
      </w:r>
    </w:p>
    <w:bookmarkEnd w:id="116"/>
    <w:bookmarkEnd w:id="117"/>
    <w:bookmarkStart w:id="122" w:name="X6996baf3c7fb550a085a00c6d375ff5cdee1a50"/>
    <w:p>
      <w:pPr>
        <w:pStyle w:val="Heading1"/>
      </w:pPr>
      <w:r>
        <w:t xml:space="preserve">11. Research and Statutory Boundaries</w:t>
      </w:r>
    </w:p>
    <w:bookmarkStart w:id="118" w:name="source-hierarchy"/>
    <w:p>
      <w:pPr>
        <w:pStyle w:val="Heading2"/>
      </w:pPr>
      <w:r>
        <w:t xml:space="preserve">Source hierarchy</w:t>
      </w:r>
    </w:p>
    <w:p>
      <w:pPr>
        <w:pStyle w:val="FirstParagraph"/>
      </w:pPr>
      <w:r>
        <w:t xml:space="preserve">The product code and approved tenant policy govern implementation. Official</w:t>
      </w:r>
      <w:r>
        <w:t xml:space="preserve"> </w:t>
      </w:r>
      <w:r>
        <w:t xml:space="preserve">authority pages govern statutory integration facts. Security verification uses</w:t>
      </w:r>
      <w:r>
        <w:t xml:space="preserve"> </w:t>
      </w:r>
      <w:r>
        <w:t xml:space="preserve">the OWASP ASVS baseline. Android offline behaviour follows the official Android</w:t>
      </w:r>
      <w:r>
        <w:t xml:space="preserve"> </w:t>
      </w:r>
      <w:r>
        <w:t xml:space="preserve">architecture guidance. Research sources are recorded in</w:t>
      </w:r>
      <w:r>
        <w:t xml:space="preserve"> </w:t>
      </w:r>
      <w:r>
        <w:rPr>
          <w:rStyle w:val="VerbatimChar"/>
        </w:rPr>
        <w:t xml:space="preserve">projects/KraalCode/_context/03-research-source-register.md</w:t>
      </w:r>
      <w:r>
        <w:t xml:space="preserve">.</w:t>
      </w:r>
    </w:p>
    <w:bookmarkEnd w:id="118"/>
    <w:bookmarkStart w:id="119" w:name="uganda-fiscalisation-boundary"/>
    <w:p>
      <w:pPr>
        <w:pStyle w:val="Heading2"/>
      </w:pPr>
      <w:r>
        <w:t xml:space="preserve">Uganda fiscalisation boundary</w:t>
      </w:r>
    </w:p>
    <w:p>
      <w:pPr>
        <w:pStyle w:val="FirstParagraph"/>
      </w:pPr>
      <w:r>
        <w:t xml:space="preserve">URA describes EFRIS as a system involving electronic fiscal devices,</w:t>
      </w:r>
      <w:r>
        <w:t xml:space="preserve"> </w:t>
      </w:r>
      <w:r>
        <w:t xml:space="preserve">e-invoicing, or direct communication with business transaction systems, with</w:t>
      </w:r>
      <w:r>
        <w:t xml:space="preserve"> </w:t>
      </w:r>
      <w:r>
        <w:t xml:space="preserve">transaction details transmitted in real time and fiscal-document evidence such</w:t>
      </w:r>
      <w:r>
        <w:t xml:space="preserve"> </w:t>
      </w:r>
      <w:r>
        <w:t xml:space="preserve">as a document number, verification code, and QR code. Kraal Code shall therefore</w:t>
      </w:r>
      <w:r>
        <w:t xml:space="preserve"> </w:t>
      </w:r>
      <w:r>
        <w:t xml:space="preserve">separate invoice creation, fiscalisation submission, authority response,</w:t>
      </w:r>
      <w:r>
        <w:t xml:space="preserve"> </w:t>
      </w:r>
      <w:r>
        <w:t xml:space="preserve">retry/reconciliation, and printable evidence. The current code or tenant</w:t>
      </w:r>
      <w:r>
        <w:t xml:space="preserve"> </w:t>
      </w:r>
      <w:r>
        <w:t xml:space="preserve">configuration must not be described as live EFRIS compliance without a verified</w:t>
      </w:r>
      <w:r>
        <w:t xml:space="preserve"> </w:t>
      </w:r>
      <w:r>
        <w:t xml:space="preserve">authority contract and sandbox/production evidence.</w:t>
      </w:r>
    </w:p>
    <w:bookmarkEnd w:id="119"/>
    <w:bookmarkStart w:id="120" w:name="security-boundary"/>
    <w:p>
      <w:pPr>
        <w:pStyle w:val="Heading2"/>
      </w:pPr>
      <w:r>
        <w:t xml:space="preserve">Security boundary</w:t>
      </w:r>
    </w:p>
    <w:p>
      <w:pPr>
        <w:pStyle w:val="FirstParagraph"/>
      </w:pPr>
      <w:r>
        <w:t xml:space="preserve">ASVS is a verification framework, not a product certification. Kraal Code maps</w:t>
      </w:r>
      <w:r>
        <w:t xml:space="preserve"> </w:t>
      </w:r>
      <w:r>
        <w:t xml:space="preserve">tenant isolation, authentication, session/token security, access control,</w:t>
      </w:r>
      <w:r>
        <w:t xml:space="preserve"> </w:t>
      </w:r>
      <w:r>
        <w:t xml:space="preserve">input/output handling, secrets, audit, and error handling to testable controls.</w:t>
      </w:r>
    </w:p>
    <w:bookmarkEnd w:id="120"/>
    <w:bookmarkStart w:id="121" w:name="privacy-and-retention-boundary"/>
    <w:p>
      <w:pPr>
        <w:pStyle w:val="Heading2"/>
      </w:pPr>
      <w:r>
        <w:t xml:space="preserve">Privacy and retention boundary</w:t>
      </w:r>
    </w:p>
    <w:p>
      <w:pPr>
        <w:pStyle w:val="FirstParagraph"/>
      </w:pPr>
      <w:r>
        <w:t xml:space="preserve">Employee, customer, agent, farmer/outgrower, payroll, contact, location, and</w:t>
      </w:r>
      <w:r>
        <w:t xml:space="preserve"> </w:t>
      </w:r>
      <w:r>
        <w:t xml:space="preserve">financial data require a tenant-specific lawful-basis, retention, access,</w:t>
      </w:r>
      <w:r>
        <w:t xml:space="preserve"> </w:t>
      </w:r>
      <w:r>
        <w:t xml:space="preserve">export, correction, erasure, breach, and processor-control decision. A generic</w:t>
      </w:r>
      <w:r>
        <w:t xml:space="preserve"> </w:t>
      </w:r>
      <w:r>
        <w:t xml:space="preserve">privacy paragraph is not evidence of compliance.</w:t>
      </w:r>
    </w:p>
    <w:bookmarkEnd w:id="121"/>
    <w:bookmarkEnd w:id="122"/>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Model and Compliance Framework</dc:title>
  <dc:creator/>
  <cp:keywords/>
  <dcterms:created xsi:type="dcterms:W3CDTF">2026-08-08T22:02:51Z</dcterms:created>
  <dcterms:modified xsi:type="dcterms:W3CDTF">2026-08-08T22:02:51Z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