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test-completion-report--kraal-code"/>
    <w:p>
      <w:pPr>
        <w:pStyle w:val="Heading1"/>
      </w:pPr>
      <w:r>
        <w:t xml:space="preserve">Test Completion Report — Kraal Code</w:t>
      </w:r>
    </w:p>
    <w:p>
      <w:pPr>
        <w:pStyle w:val="FirstParagraph"/>
      </w:pPr>
      <w:r>
        <w:t xml:space="preserve">This report records the exit evidence for the Kraal Code test cycle, per BS ISO/IEC/IEEE</w:t>
      </w:r>
      <w:r>
        <w:t xml:space="preserve"> </w:t>
      </w:r>
      <w:r>
        <w:t xml:space="preserve">29119-3:2013 §7.6. Requirement identifiers are cited in their canonical prefixed form with the</w:t>
      </w:r>
      <w:r>
        <w:t xml:space="preserve"> </w:t>
      </w:r>
      <w:r>
        <w:t xml:space="preserve">kernel-normalised digit form in parentheses (for example FR-ACCT-149 is referenced as FR-149).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report is an evidence-aligned documentation baseline dated 2026-07-22. It must not convert</w:t>
      </w:r>
      <w:r>
        <w:t xml:space="preserve"> </w:t>
      </w:r>
      <w:r>
        <w:t xml:space="preserve">target-state test-plan rows or donor/mobile-reference tests into passed Kraal Code results. The</w:t>
      </w:r>
      <w:r>
        <w:t xml:space="preserve"> </w:t>
      </w:r>
      <w:r>
        <w:t xml:space="preserve">release candidate requires execution of the current Kraal Code test commands and the migration,</w:t>
      </w:r>
      <w:r>
        <w:t xml:space="preserve"> </w:t>
      </w:r>
      <w:r>
        <w:t xml:space="preserve">finance, tenant-isolation, mobile-replay, and add-on gates before a production exit decision.</w:t>
      </w:r>
    </w:p>
    <w:bookmarkEnd w:id="9"/>
    <w:bookmarkStart w:id="10" w:name="result-by-area"/>
    <w:p>
      <w:pPr>
        <w:pStyle w:val="Heading2"/>
      </w:pPr>
      <w:r>
        <w:t xml:space="preserve">Result by Area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Representative requirement tested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 period close</w:t>
            </w:r>
          </w:p>
        </w:tc>
        <w:tc>
          <w:tcPr/>
          <w:p>
            <w:pPr>
              <w:pStyle w:val="Compact"/>
            </w:pPr>
            <w:r>
              <w:t xml:space="preserve">FR-ACCT-149 (FR-149)</w:t>
            </w:r>
          </w:p>
        </w:tc>
        <w:tc>
          <w:tcPr/>
          <w:p>
            <w:pPr>
              <w:pStyle w:val="Compact"/>
            </w:pPr>
            <w:r>
              <w:t xml:space="preserve">Pass — posting to a closed period is blocked; re-open is audited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t xml:space="preserve">NFR-PLAT-002 (NFR-002)</w:t>
            </w:r>
          </w:p>
        </w:tc>
        <w:tc>
          <w:tcPr/>
          <w:p>
            <w:pPr>
              <w:pStyle w:val="Compact"/>
            </w:pPr>
            <w:r>
              <w:t xml:space="preserve">Pass — no cross-tenant rows returned in the two-tenant fixture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PAYE/NSSF</w:t>
            </w:r>
          </w:p>
        </w:tc>
        <w:tc>
          <w:tcPr/>
          <w:p>
            <w:pPr>
              <w:pStyle w:val="Compact"/>
            </w:pPr>
            <w:r>
              <w:t xml:space="preserve">FR-HR-046 (FR-046)</w:t>
            </w:r>
          </w:p>
        </w:tc>
        <w:tc>
          <w:tcPr/>
          <w:p>
            <w:pPr>
              <w:pStyle w:val="Compact"/>
            </w:pPr>
            <w:r>
              <w:t xml:space="preserve">Pass — band summation and contributions match expected integers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GL posting</w:t>
            </w:r>
          </w:p>
        </w:tc>
        <w:tc>
          <w:tcPr/>
          <w:p>
            <w:pPr>
              <w:pStyle w:val="Compact"/>
            </w:pPr>
            <w:r>
              <w:t xml:space="preserve">FR-POS-025 (FR-025)</w:t>
            </w:r>
          </w:p>
        </w:tc>
        <w:tc>
          <w:tcPr/>
          <w:p>
            <w:pPr>
              <w:pStyle w:val="Compact"/>
            </w:pPr>
            <w:r>
              <w:t xml:space="preserve">Pass — sale posts the expected DR/CR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Outgrower &amp; Farmer Operations</w:t>
            </w:r>
          </w:p>
        </w:tc>
        <w:tc>
          <w:tcPr/>
          <w:p>
            <w:pPr>
              <w:pStyle w:val="Compact"/>
            </w:pPr>
            <w:r>
              <w:t xml:space="preserve">FR-COOP-001 (FR-001)</w:t>
            </w:r>
          </w:p>
        </w:tc>
        <w:tc>
          <w:tcPr/>
          <w:p>
            <w:pPr>
              <w:pStyle w:val="Compact"/>
            </w:pPr>
            <w:r>
              <w:t xml:space="preserve">Not evidenced as full intake; current Kraal Code evidence covers partial farmer/outgrower, farm, photo, contribution, goods-receipt, and statistics paths</w:t>
            </w:r>
          </w:p>
        </w:tc>
      </w:tr>
    </w:tbl>
    <w:bookmarkEnd w:id="10"/>
    <w:bookmarkStart w:id="11" w:name="exit-decision"/>
    <w:p>
      <w:pPr>
        <w:pStyle w:val="Heading2"/>
      </w:pPr>
      <w:r>
        <w:t xml:space="preserve">Exit Decision</w:t>
      </w:r>
    </w:p>
    <w:p>
      <w:pPr>
        <w:pStyle w:val="FirstParagraph"/>
      </w:pPr>
      <w:r>
        <w:t xml:space="preserve">The documentation cycle is complete, but the software test exit decision is</w:t>
      </w:r>
      <w:r>
        <w:t xml:space="preserve"> </w:t>
      </w:r>
      <w:r>
        <w:rPr>
          <w:b/>
          <w:bCs/>
        </w:rPr>
        <w:t xml:space="preserve">conditional</w:t>
      </w:r>
      <w:r>
        <w:t xml:space="preserve">. The</w:t>
      </w:r>
      <w:r>
        <w:t xml:space="preserve"> </w:t>
      </w:r>
      <w:r>
        <w:t xml:space="preserve">exact-one-tenant outgrower backfill, tenant-bound mobile offline queue, and incomplete outgrower</w:t>
      </w:r>
      <w:r>
        <w:t xml:space="preserve"> </w:t>
      </w:r>
      <w:r>
        <w:t xml:space="preserve">add-on lifecycle are release blockers. Target-state rows must remain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roadmap</w:t>
      </w:r>
      <w:r>
        <w:t xml:space="preserve"> </w:t>
      </w:r>
      <w:r>
        <w:t xml:space="preserve">until deterministic Kraal Code evidence is attached. No full-cycle pass is claimed here.</w:t>
      </w:r>
    </w:p>
    <w:bookmarkEnd w:id="11"/>
    <w:bookmarkEnd w:id="12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2026-08-08T22:03:31Z</dcterms:created>
  <dcterms:modified xsi:type="dcterms:W3CDTF">2026-08-08T22:03:31Z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