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Product Requirements Document</w:t>
      </w:r>
    </w:p>
    <w:p>
      <w:pPr>
        <w:pStyle w:val="Date"/>
      </w:pPr>
      <w:r>
        <w:t xml:space="preserve">2026-04-05</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\newpage</w:t>
      </w:r>
    </w:p>
    <w:bookmarkStart w:id="21" w:name="product-requirements-document"/>
    <w:p>
      <w:pPr>
        <w:pStyle w:val="Heading1"/>
      </w:pPr>
      <w:r>
        <w:t xml:space="preserve">Product Requirements Document</w:t>
      </w:r>
    </w:p>
    <w:p>
      <w:pPr>
        <w:pStyle w:val="FirstParagraph"/>
      </w:pPr>
      <w:r>
        <w:rPr>
          <w:b/>
          <w:bCs/>
        </w:rPr>
        <w:t xml:space="preserve">Longhorn ERP</w:t>
      </w:r>
    </w:p>
    <w:p>
      <w:pPr>
        <w:pStyle w:val="BodyText"/>
      </w:pPr>
      <w:r>
        <w:rPr>
          <w:i/>
          <w:iCs/>
        </w:rPr>
        <w:t xml:space="preserve">An Enterprise Resource Planning Solution by Chwezi Core Systems</w:t>
      </w:r>
    </w:p>
    <w:p>
      <w:r>
        <w:pict>
          <v:rect style="width:0;height:1.5pt" o:hralign="center" o:hrstd="t" o:hr="t"/>
        </w:pic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Details</w:t>
            </w:r>
          </w:p>
        </w:tc>
      </w:tr>
      <w:tr>
        <w:tc>
          <w:tcPr/>
          <w:p>
            <w:pPr>
              <w:pStyle w:val="Compact"/>
            </w:pPr>
            <w:r>
              <w:rPr>
                <w:b/>
                <w:bCs/>
              </w:rPr>
              <w:t xml:space="preserve">Product</w:t>
            </w:r>
          </w:p>
        </w:tc>
        <w:tc>
          <w:tcPr/>
          <w:p>
            <w:pPr>
              <w:pStyle w:val="Compact"/>
            </w:pPr>
            <w:r>
              <w:t xml:space="preserve">Longhorn ERP</w:t>
            </w:r>
          </w:p>
        </w:tc>
      </w:tr>
      <w:tr>
        <w:tc>
          <w:tcPr/>
          <w:p>
            <w:pPr>
              <w:pStyle w:val="Compact"/>
            </w:pPr>
            <w:r>
              <w:rPr>
                <w:b/>
                <w:bCs/>
              </w:rPr>
              <w:t xml:space="preserve">Company</w:t>
            </w:r>
          </w:p>
        </w:tc>
        <w:tc>
          <w:tcPr/>
          <w:p>
            <w:pPr>
              <w:pStyle w:val="Compact"/>
            </w:pPr>
            <w:r>
              <w:t xml:space="preserve">Chwezi Core Systems</w:t>
            </w:r>
          </w:p>
        </w:tc>
      </w:tr>
      <w:tr>
        <w:tc>
          <w:tcPr/>
          <w:p>
            <w:pPr>
              <w:pStyle w:val="Compact"/>
            </w:pPr>
            <w:r>
              <w:rPr>
                <w:b/>
                <w:bCs/>
              </w:rPr>
              <w:t xml:space="preserve">Website</w:t>
            </w:r>
          </w:p>
        </w:tc>
        <w:tc>
          <w:tcPr/>
          <w:p>
            <w:pPr>
              <w:pStyle w:val="Compact"/>
            </w:pPr>
            <w:r>
              <w:t xml:space="preserve">chwezicore.com</w:t>
            </w:r>
          </w:p>
        </w:tc>
      </w:tr>
      <w:tr>
        <w:tc>
          <w:tcPr/>
          <w:p>
            <w:pPr>
              <w:pStyle w:val="Compact"/>
            </w:pPr>
            <w:r>
              <w:rPr>
                <w:b/>
                <w:bCs/>
              </w:rPr>
              <w:t xml:space="preserve">Email</w:t>
            </w:r>
          </w:p>
        </w:tc>
        <w:tc>
          <w:tcPr/>
          <w:p>
            <w:pPr>
              <w:pStyle w:val="Compact"/>
            </w:pPr>
            <w:hyperlink r:id="rId19">
              <w:r>
                <w:rPr>
                  <w:rStyle w:val="Hyperlink"/>
                </w:rPr>
                <w:t xml:space="preserve">info@chwezicore.com</w:t>
              </w:r>
            </w:hyperlink>
          </w:p>
        </w:tc>
      </w:tr>
      <w:tr>
        <w:tc>
          <w:tcPr/>
          <w:p>
            <w:pPr>
              <w:pStyle w:val="Compact"/>
            </w:pPr>
            <w:r>
              <w:rPr>
                <w:b/>
                <w:bCs/>
              </w:rPr>
              <w:t xml:space="preserve">Lead Developer</w:t>
            </w:r>
          </w:p>
        </w:tc>
        <w:tc>
          <w:tcPr/>
          <w:p>
            <w:pPr>
              <w:pStyle w:val="Compact"/>
            </w:pPr>
            <w:r>
              <w:t xml:space="preserve">Peter Bamuhigire</w:t>
            </w:r>
          </w:p>
        </w:tc>
      </w:tr>
      <w:tr>
        <w:tc>
          <w:tcPr/>
          <w:p>
            <w:pPr>
              <w:pStyle w:val="Compact"/>
            </w:pPr>
            <w:r>
              <w:rPr>
                <w:b/>
                <w:bCs/>
              </w:rPr>
              <w:t xml:space="preserve">Developer Website</w:t>
            </w:r>
          </w:p>
        </w:tc>
        <w:tc>
          <w:tcPr/>
          <w:p>
            <w:pPr>
              <w:pStyle w:val="Compact"/>
            </w:pPr>
            <w:r>
              <w:t xml:space="preserve">techguypeter.com</w:t>
            </w:r>
          </w:p>
        </w:tc>
      </w:tr>
      <w:tr>
        <w:tc>
          <w:tcPr/>
          <w:p>
            <w:pPr>
              <w:pStyle w:val="Compact"/>
            </w:pPr>
            <w:r>
              <w:rPr>
                <w:b/>
                <w:bCs/>
              </w:rPr>
              <w:t xml:space="preserve">Developer Email</w:t>
            </w:r>
          </w:p>
        </w:tc>
        <w:tc>
          <w:tcPr/>
          <w:p>
            <w:pPr>
              <w:pStyle w:val="Compact"/>
            </w:pPr>
            <w:hyperlink r:id="rId20">
              <w:r>
                <w:rPr>
                  <w:rStyle w:val="Hyperlink"/>
                </w:rPr>
                <w:t xml:space="preserve">peter@techguypeter.com</w:t>
              </w:r>
            </w:hyperlink>
          </w:p>
        </w:tc>
      </w:tr>
      <w:tr>
        <w:tc>
          <w:tcPr/>
          <w:p>
            <w:pPr>
              <w:pStyle w:val="Compact"/>
            </w:pPr>
            <w:r>
              <w:rPr>
                <w:b/>
                <w:bCs/>
              </w:rPr>
              <w:t xml:space="preserve">Developer Phone</w:t>
            </w:r>
          </w:p>
        </w:tc>
        <w:tc>
          <w:tcPr/>
          <w:p>
            <w:pPr>
              <w:pStyle w:val="Compact"/>
            </w:pPr>
            <w:r>
              <w:t xml:space="preserve">+256784464178</w:t>
            </w:r>
          </w:p>
        </w:tc>
      </w:tr>
      <w:tr>
        <w:tc>
          <w:tcPr/>
          <w:p>
            <w:pPr>
              <w:pStyle w:val="Compact"/>
            </w:pPr>
            <w:r>
              <w:rPr>
                <w:b/>
                <w:bCs/>
              </w:rPr>
              <w:t xml:space="preserve">Document Version</w:t>
            </w:r>
          </w:p>
        </w:tc>
        <w:tc>
          <w:tcPr/>
          <w:p>
            <w:pPr>
              <w:pStyle w:val="Compact"/>
            </w:pPr>
            <w:r>
              <w:t xml:space="preserve">1.0</w:t>
            </w:r>
          </w:p>
        </w:tc>
      </w:tr>
      <w:tr>
        <w:tc>
          <w:tcPr/>
          <w:p>
            <w:pPr>
              <w:pStyle w:val="Compact"/>
            </w:pPr>
            <w:r>
              <w:rPr>
                <w:b/>
                <w:bCs/>
              </w:rPr>
              <w:t xml:space="preserve">Date</w:t>
            </w:r>
          </w:p>
        </w:tc>
        <w:tc>
          <w:tcPr/>
          <w:p>
            <w:pPr>
              <w:pStyle w:val="Compact"/>
            </w:pPr>
            <w:r>
              <w:t xml:space="preserve">2026-04-05</w:t>
            </w:r>
          </w:p>
        </w:tc>
      </w:tr>
    </w:tbl>
    <w:p>
      <w:r>
        <w:pict>
          <v:rect style="width:0;height:1.5pt" o:hralign="center" o:hrstd="t" o:hr="t"/>
        </w:pict>
      </w:r>
    </w:p>
    <w:p>
      <w:pPr>
        <w:pStyle w:val="FirstParagraph"/>
      </w:pPr>
      <w:r>
        <w:rPr>
          <w:i/>
          <w:iCs/>
        </w:rPr>
        <w:t xml:space="preserve">Confidential — All Rights Reserved. This document is the intellectual property of Chwezi Core Systems. No part may be reproduced or disclosed without written permission.</w:t>
      </w:r>
    </w:p>
    <w:p>
      <w:r>
        <w:pict>
          <v:rect style="width:0;height:1.5pt" o:hralign="center" o:hrstd="t" o:hr="t"/>
        </w:pict>
      </w:r>
    </w:p>
    <w:bookmarkEnd w:id="21"/>
    <w:bookmarkStart w:id="22" w:name="executive-summary"/>
    <w:p>
      <w:pPr>
        <w:pStyle w:val="Heading1"/>
      </w:pPr>
      <w:r>
        <w:t xml:space="preserve">Executive Summary</w:t>
      </w:r>
    </w:p>
    <w:p>
      <w:pPr>
        <w:pStyle w:val="FirstParagraph"/>
      </w:pPr>
      <w:r>
        <w:t xml:space="preserve">Longhorn ERP is a multi-tenant, modular</w:t>
      </w:r>
      <w:r>
        <w:t xml:space="preserve"> </w:t>
      </w:r>
      <w:r>
        <w:rPr>
          <w:i/>
          <w:iCs/>
        </w:rPr>
        <w:t xml:space="preserve">Software as a Service</w:t>
      </w:r>
      <w:r>
        <w:t xml:space="preserve"> </w:t>
      </w:r>
      <w:r>
        <w:t xml:space="preserve">(SaaS)</w:t>
      </w:r>
      <w:r>
        <w:t xml:space="preserve"> </w:t>
      </w:r>
      <w:r>
        <w:rPr>
          <w:i/>
          <w:iCs/>
        </w:rPr>
        <w:t xml:space="preserve">Enterprise Resource Planning</w:t>
      </w:r>
      <w:r>
        <w:t xml:space="preserve"> </w:t>
      </w:r>
      <w:r>
        <w:t xml:space="preserve">(ERP) platform designed to be simpler to configure, easier to use, and more affordable than any comparable ERP available in East Africa. The platform targets mid-sized and growing organisations across manufacturing, trading, distribution, agriculture, services, retail, hospitality, NGOs, government, and education sectors. Its pricing is denominated in Ugandan Shillings (UGX) and covers the entire organisation — not per seat — beginning at UGX 250,000 per month.</w:t>
      </w:r>
    </w:p>
    <w:p>
      <w:pPr>
        <w:pStyle w:val="BodyText"/>
      </w:pPr>
      <w:r>
        <w:t xml:space="preserve">Longhorn ERP is the flagship product of Chwezi Core Systems and the primary commercial vehicle for the company. It is built to close a gap that no international vendor has addressed: enterprise-grade ERP functionality delivered at a price and complexity level that Ugandan and East African organisations can adopt without an implementation project, a consulting engagement, or a training programme. The platform ships 6 core and 10 add-on modules alongside 4 platform services in Phase 1, covering the full operational surface of a mid-sized organisation.</w:t>
      </w:r>
    </w:p>
    <w:bookmarkEnd w:id="22"/>
    <w:bookmarkStart w:id="27" w:name="X8706710f7cc18c18f949152080d76bfc19aa56f"/>
    <w:p>
      <w:pPr>
        <w:pStyle w:val="Heading1"/>
      </w:pPr>
      <w:r>
        <w:t xml:space="preserve">Problem Statement: The ERP Gap in East Africa</w:t>
      </w:r>
    </w:p>
    <w:bookmarkStart w:id="23" w:name="the-market-failure"/>
    <w:p>
      <w:pPr>
        <w:pStyle w:val="Heading2"/>
      </w:pPr>
      <w:r>
        <w:t xml:space="preserve">The Market Failure</w:t>
      </w:r>
    </w:p>
    <w:p>
      <w:pPr>
        <w:pStyle w:val="FirstParagraph"/>
      </w:pPr>
      <w:r>
        <w:t xml:space="preserve">Mid-sized organisations in Uganda and East Africa require the same operational capabilities as enterprises — financial control, inventory tracking, procurement governance, payroll compliance, and business intelligence. The ERP products that deliver these capabilities are priced for multinational budgets, require expensive implementation projects, and are designed for markets with mature IT departments and formal training infrastructure. The result is that most mid-sized East African organisations operate on disconnected spreadsheets, entry-level accounting software, or partially deployed ERP systems they cannot fully use.</w:t>
      </w:r>
    </w:p>
    <w:bookmarkEnd w:id="23"/>
    <w:bookmarkStart w:id="24" w:name="X50b0dbece546767d244fd775a76839667e52b39"/>
    <w:p>
      <w:pPr>
        <w:pStyle w:val="Heading2"/>
      </w:pPr>
      <w:r>
        <w:t xml:space="preserve">Competitive Cost Comparison (30-User Organisation, Uganda)</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Competitor</w:t>
            </w:r>
          </w:p>
        </w:tc>
        <w:tc>
          <w:tcPr/>
          <w:p>
            <w:pPr>
              <w:pStyle w:val="Compact"/>
            </w:pPr>
            <w:r>
              <w:t xml:space="preserve">Cost Estimate</w:t>
            </w:r>
          </w:p>
        </w:tc>
        <w:tc>
          <w:tcPr/>
          <w:p>
            <w:pPr>
              <w:pStyle w:val="Compact"/>
            </w:pPr>
            <w:r>
              <w:t xml:space="preserve">Principal Barrier</w:t>
            </w:r>
          </w:p>
        </w:tc>
      </w:tr>
      <w:tr>
        <w:tc>
          <w:tcPr/>
          <w:p>
            <w:pPr>
              <w:pStyle w:val="Compact"/>
            </w:pPr>
            <w:r>
              <w:t xml:space="preserve">SAP Business One</w:t>
            </w:r>
          </w:p>
        </w:tc>
        <w:tc>
          <w:tcPr/>
          <w:p>
            <w:pPr>
              <w:pStyle w:val="Compact"/>
            </w:pPr>
            <w:r>
              <w:t xml:space="preserve">~UGX 145M licence + UGX 110M–375M implementation</w:t>
            </w:r>
          </w:p>
        </w:tc>
        <w:tc>
          <w:tcPr/>
          <w:p>
            <w:pPr>
              <w:pStyle w:val="Compact"/>
            </w:pPr>
            <w:r>
              <w:t xml:space="preserve">Capital expenditure beyond reach of any SME</w:t>
            </w:r>
          </w:p>
        </w:tc>
      </w:tr>
      <w:tr>
        <w:tc>
          <w:tcPr/>
          <w:p>
            <w:pPr>
              <w:pStyle w:val="Compact"/>
            </w:pPr>
            <w:r>
              <w:t xml:space="preserve">Oracle NetSuite</w:t>
            </w:r>
          </w:p>
        </w:tc>
        <w:tc>
          <w:tcPr/>
          <w:p>
            <w:pPr>
              <w:pStyle w:val="Compact"/>
            </w:pPr>
            <w:r>
              <w:t xml:space="preserve">~UGX 14.9M/month</w:t>
            </w:r>
          </w:p>
        </w:tc>
        <w:tc>
          <w:tcPr/>
          <w:p>
            <w:pPr>
              <w:pStyle w:val="Compact"/>
            </w:pPr>
            <w:r>
              <w:t xml:space="preserve">6–100× more expensive than Longhorn ERP</w:t>
            </w:r>
          </w:p>
        </w:tc>
      </w:tr>
      <w:tr>
        <w:tc>
          <w:tcPr/>
          <w:p>
            <w:pPr>
              <w:pStyle w:val="Compact"/>
            </w:pPr>
            <w:r>
              <w:t xml:space="preserve">MS Dynamics 365 BC</w:t>
            </w:r>
          </w:p>
        </w:tc>
        <w:tc>
          <w:tcPr/>
          <w:p>
            <w:pPr>
              <w:pStyle w:val="Compact"/>
            </w:pPr>
            <w:r>
              <w:t xml:space="preserve">~UGX 7.9M–11.3M/month + implementation</w:t>
            </w:r>
          </w:p>
        </w:tc>
        <w:tc>
          <w:tcPr/>
          <w:p>
            <w:pPr>
              <w:pStyle w:val="Compact"/>
            </w:pPr>
            <w:r>
              <w:t xml:space="preserve">3–45× more expensive; requires partner deployment</w:t>
            </w:r>
          </w:p>
        </w:tc>
      </w:tr>
      <w:tr>
        <w:tc>
          <w:tcPr/>
          <w:p>
            <w:pPr>
              <w:pStyle w:val="Compact"/>
            </w:pPr>
            <w:r>
              <w:t xml:space="preserve">Odoo Enterprise</w:t>
            </w:r>
          </w:p>
        </w:tc>
        <w:tc>
          <w:tcPr/>
          <w:p>
            <w:pPr>
              <w:pStyle w:val="Compact"/>
            </w:pPr>
            <w:r>
              <w:t xml:space="preserve">~UGX 4.3M/month + UGX 75M–300M implementation</w:t>
            </w:r>
          </w:p>
        </w:tc>
        <w:tc>
          <w:tcPr/>
          <w:p>
            <w:pPr>
              <w:pStyle w:val="Compact"/>
            </w:pPr>
            <w:r>
              <w:t xml:space="preserve">2–17× more expensive; implementation cost often exceeds licence</w:t>
            </w:r>
          </w:p>
        </w:tc>
      </w:tr>
      <w:tr>
        <w:tc>
          <w:tcPr/>
          <w:p>
            <w:pPr>
              <w:pStyle w:val="Compact"/>
            </w:pPr>
            <w:r>
              <w:t xml:space="preserve">ERPNext</w:t>
            </w:r>
          </w:p>
        </w:tc>
        <w:tc>
          <w:tcPr/>
          <w:p>
            <w:pPr>
              <w:pStyle w:val="Compact"/>
            </w:pPr>
            <w:r>
              <w:t xml:space="preserve">Free licence + UGX 56M–188M to implement</w:t>
            </w:r>
          </w:p>
        </w:tc>
        <w:tc>
          <w:tcPr/>
          <w:p>
            <w:pPr>
              <w:pStyle w:val="Compact"/>
            </w:pPr>
            <w:r>
              <w:t xml:space="preserve">Zero licence cost, but implementation cost excludes the market</w:t>
            </w:r>
          </w:p>
        </w:tc>
      </w:tr>
      <w:tr>
        <w:tc>
          <w:tcPr/>
          <w:p>
            <w:pPr>
              <w:pStyle w:val="Compact"/>
            </w:pPr>
            <w:r>
              <w:rPr>
                <w:b/>
                <w:bCs/>
              </w:rPr>
              <w:t xml:space="preserve">Longhorn ERP</w:t>
            </w:r>
          </w:p>
        </w:tc>
        <w:tc>
          <w:tcPr/>
          <w:p>
            <w:pPr>
              <w:pStyle w:val="Compact"/>
            </w:pPr>
            <w:r>
              <w:rPr>
                <w:b/>
                <w:bCs/>
              </w:rPr>
              <w:t xml:space="preserve">UGX 250,000–2,500,000/month for the whole organisation</w:t>
            </w:r>
          </w:p>
        </w:tc>
        <w:tc>
          <w:tcPr/>
          <w:p>
            <w:pPr>
              <w:pStyle w:val="Compact"/>
            </w:pPr>
            <w:r>
              <w:t xml:space="preserve">No implementation fee; no per-seat fees; no consultant required</w:t>
            </w:r>
          </w:p>
        </w:tc>
      </w:tr>
    </w:tbl>
    <w:p>
      <w:pPr>
        <w:pStyle w:val="BodyText"/>
      </w:pPr>
      <w:r>
        <w:rPr>
          <w:i/>
          <w:iCs/>
        </w:rPr>
        <w:t xml:space="preserve">USD equivalents at ~UGX 3,750/$1.</w:t>
      </w:r>
    </w:p>
    <w:bookmarkEnd w:id="24"/>
    <w:bookmarkStart w:id="25" w:name="the-core-problem"/>
    <w:p>
      <w:pPr>
        <w:pStyle w:val="Heading2"/>
      </w:pPr>
      <w:r>
        <w:t xml:space="preserve">The Core Problem</w:t>
      </w:r>
    </w:p>
    <w:p>
      <w:pPr>
        <w:pStyle w:val="FirstParagraph"/>
      </w:pPr>
      <w:r>
        <w:t xml:space="preserve">The barrier is not only price. The deeper problem is complexity: every international ERP listed above requires an implementation consultant to configure it, a trainer to teach staff to use it, and ongoing vendor support to change it. For a Ugandan organisation with 20–60 employees, this dependency model is economically and operationally incompatible.</w:t>
      </w:r>
    </w:p>
    <w:bookmarkEnd w:id="25"/>
    <w:bookmarkStart w:id="26" w:name="the-golden-rule"/>
    <w:p>
      <w:pPr>
        <w:pStyle w:val="Heading2"/>
      </w:pPr>
      <w:r>
        <w:t xml:space="preserve">The Golden Rule</w:t>
      </w:r>
    </w:p>
    <w:p>
      <w:pPr>
        <w:pStyle w:val="FirstParagraph"/>
      </w:pPr>
      <w:r>
        <w:t xml:space="preserve">The Golden Rule is defined and elaborated in Section 3.</w:t>
      </w:r>
    </w:p>
    <w:bookmarkEnd w:id="26"/>
    <w:bookmarkEnd w:id="27"/>
    <w:bookmarkStart w:id="34" w:name="vision-mission-and-the-golden-rule"/>
    <w:p>
      <w:pPr>
        <w:pStyle w:val="Heading1"/>
      </w:pPr>
      <w:r>
        <w:t xml:space="preserve">Vision, Mission, and the Golden Rule</w:t>
      </w:r>
    </w:p>
    <w:bookmarkStart w:id="28" w:name="vision-statement"/>
    <w:p>
      <w:pPr>
        <w:pStyle w:val="Heading2"/>
      </w:pPr>
      <w:r>
        <w:t xml:space="preserve">Vision Statement</w:t>
      </w:r>
    </w:p>
    <w:p>
      <w:pPr>
        <w:pStyle w:val="FirstParagraph"/>
      </w:pPr>
      <w:r>
        <w:t xml:space="preserve">To be the default ERP platform for mid-sized organisations across Africa — displacing spreadsheets and expensive international ERPs with a system that any employee can use on their first day, in any country, in any sector.</w:t>
      </w:r>
    </w:p>
    <w:bookmarkEnd w:id="28"/>
    <w:bookmarkStart w:id="29" w:name="mission"/>
    <w:p>
      <w:pPr>
        <w:pStyle w:val="Heading2"/>
      </w:pPr>
      <w:r>
        <w:t xml:space="preserve">Mission</w:t>
      </w:r>
    </w:p>
    <w:p>
      <w:pPr>
        <w:pStyle w:val="FirstParagraph"/>
      </w:pPr>
      <w:r>
        <w:t xml:space="preserve">Chwezi Core Systems will build, operate, and continuously improve Longhorn ERP as a fully hosted, Africa-native SaaS platform that delivers enterprise operational capability at a price and complexity level accessible to organisations with 5–500 employees.</w:t>
      </w:r>
    </w:p>
    <w:bookmarkEnd w:id="29"/>
    <w:bookmarkStart w:id="32" w:name="the-golden-rule-1"/>
    <w:p>
      <w:pPr>
        <w:pStyle w:val="Heading2"/>
      </w:pPr>
      <w:r>
        <w:t xml:space="preserve">The Golden Rule</w:t>
      </w:r>
    </w:p>
    <w:p>
      <w:pPr>
        <w:pStyle w:val="FirstParagraph"/>
      </w:pPr>
      <w:r>
        <w:rPr>
          <w:i/>
          <w:iCs/>
        </w:rPr>
        <w:t xml:space="preserve">If a user would need a manual or a consultant to complete a task, the interface is redesigned until they do not.</w:t>
      </w:r>
    </w:p>
    <w:bookmarkStart w:id="30" w:name="elaboration"/>
    <w:p>
      <w:pPr>
        <w:pStyle w:val="Heading3"/>
      </w:pPr>
      <w:r>
        <w:t xml:space="preserve">Elaboration</w:t>
      </w:r>
    </w:p>
    <w:p>
      <w:pPr>
        <w:pStyle w:val="FirstParagraph"/>
      </w:pPr>
      <w:r>
        <w:t xml:space="preserve">The Golden Rule is a design constraint, not a UX aspiration. It has the following operational implications:</w:t>
      </w:r>
    </w:p>
    <w:p>
      <w:pPr>
        <w:pStyle w:val="Compact"/>
        <w:numPr>
          <w:ilvl w:val="0"/>
          <w:numId w:val="1001"/>
        </w:numPr>
      </w:pPr>
      <w:r>
        <w:t xml:space="preserve">Every user-facing workflow must be completable without reading documentation, watching a tutorial, or requesting vendor support.</w:t>
      </w:r>
    </w:p>
    <w:p>
      <w:pPr>
        <w:pStyle w:val="Compact"/>
        <w:numPr>
          <w:ilvl w:val="0"/>
          <w:numId w:val="1001"/>
        </w:numPr>
      </w:pPr>
      <w:r>
        <w:t xml:space="preserve">Navigation must be discoverable: a user who has never seen the system must be able to locate any core function within 3 clicks from the dashboard.</w:t>
      </w:r>
    </w:p>
    <w:p>
      <w:pPr>
        <w:pStyle w:val="Compact"/>
        <w:numPr>
          <w:ilvl w:val="0"/>
          <w:numId w:val="1001"/>
        </w:numPr>
      </w:pPr>
      <w:r>
        <w:t xml:space="preserve">Error messages must state what went wrong and what the user must do to correct it — not generic codes or "an error occurred."</w:t>
      </w:r>
    </w:p>
    <w:p>
      <w:pPr>
        <w:pStyle w:val="Compact"/>
        <w:numPr>
          <w:ilvl w:val="0"/>
          <w:numId w:val="1001"/>
        </w:numPr>
      </w:pPr>
      <w:r>
        <w:t xml:space="preserve">Form fields must carry inline labels, placeholder examples, and validation feedback that eliminates ambiguity about required format.</w:t>
      </w:r>
    </w:p>
    <w:p>
      <w:pPr>
        <w:pStyle w:val="Compact"/>
        <w:numPr>
          <w:ilvl w:val="0"/>
          <w:numId w:val="1001"/>
        </w:numPr>
      </w:pPr>
      <w:r>
        <w:t xml:space="preserve">The system shall achieve a ≥ 85% unassisted task success rate on the 5 benchmark tasks defined in</w:t>
      </w:r>
      <w:r>
        <w:t xml:space="preserve"> </w:t>
      </w:r>
      <w:r>
        <w:rPr>
          <w:b/>
          <w:bCs/>
        </w:rPr>
        <w:t xml:space="preserve">Section 8</w:t>
      </w:r>
      <w:r>
        <w:t xml:space="preserve"> </w:t>
      </w:r>
      <w:r>
        <w:t xml:space="preserve">of this document.</w:t>
      </w:r>
    </w:p>
    <w:bookmarkEnd w:id="30"/>
    <w:bookmarkStart w:id="31" w:name="compliance-measurement"/>
    <w:p>
      <w:pPr>
        <w:pStyle w:val="Heading3"/>
      </w:pPr>
      <w:r>
        <w:t xml:space="preserve">Compliance Measurement</w:t>
      </w:r>
    </w:p>
    <w:p>
      <w:pPr>
        <w:pStyle w:val="FirstParagraph"/>
      </w:pPr>
      <w:r>
        <w:t xml:space="preserve">The Golden Rule is evaluated through moderated usability testing. A participant who has never used the system is given a task card with no instructions. Success is defined as task completion without requesting help and without navigating to a dead end that required backtracking more than once. Failure triggers a mandatory interface redesign cycle before the feature is released.</w:t>
      </w:r>
    </w:p>
    <w:bookmarkEnd w:id="31"/>
    <w:bookmarkEnd w:id="32"/>
    <w:bookmarkStart w:id="33" w:name="Xdf9aaaa6c8ca9bffbd227e297a06575b54b5359"/>
    <w:p>
      <w:pPr>
        <w:pStyle w:val="Heading2"/>
      </w:pPr>
      <w:r>
        <w:t xml:space="preserve">5-Year Market Expansion Vision</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Phase</w:t>
            </w:r>
          </w:p>
        </w:tc>
        <w:tc>
          <w:tcPr/>
          <w:p>
            <w:pPr>
              <w:pStyle w:val="Compact"/>
            </w:pPr>
            <w:r>
              <w:t xml:space="preserve">Market</w:t>
            </w:r>
          </w:p>
        </w:tc>
        <w:tc>
          <w:tcPr/>
          <w:p>
            <w:pPr>
              <w:pStyle w:val="Compact"/>
            </w:pPr>
            <w:r>
              <w:t xml:space="preserve">Timeline</w:t>
            </w:r>
          </w:p>
        </w:tc>
        <w:tc>
          <w:tcPr/>
          <w:p>
            <w:pPr>
              <w:pStyle w:val="Compact"/>
            </w:pPr>
            <w:r>
              <w:t xml:space="preserve">MRR Target (USD equiv.)</w:t>
            </w:r>
          </w:p>
        </w:tc>
      </w:tr>
      <w:tr>
        <w:tc>
          <w:tcPr/>
          <w:p>
            <w:pPr>
              <w:pStyle w:val="Compact"/>
            </w:pPr>
            <w:r>
              <w:t xml:space="preserve">Phase 1</w:t>
            </w:r>
          </w:p>
        </w:tc>
        <w:tc>
          <w:tcPr/>
          <w:p>
            <w:pPr>
              <w:pStyle w:val="Compact"/>
            </w:pPr>
            <w:r>
              <w:t xml:space="preserve">Uganda (primary market)</w:t>
            </w:r>
          </w:p>
        </w:tc>
        <w:tc>
          <w:tcPr/>
          <w:p>
            <w:pPr>
              <w:pStyle w:val="Compact"/>
            </w:pPr>
            <w:r>
              <w:t xml:space="preserve">Launch year</w:t>
            </w:r>
          </w:p>
        </w:tc>
        <w:tc>
          <w:tcPr/>
          <w:p>
            <w:pPr>
              <w:pStyle w:val="Compact"/>
            </w:pPr>
            <w:r>
              <w:t xml:space="preserve">~$15K MRR (UGX 56M)</w:t>
            </w:r>
          </w:p>
        </w:tc>
      </w:tr>
      <w:tr>
        <w:tc>
          <w:tcPr/>
          <w:p>
            <w:pPr>
              <w:pStyle w:val="Compact"/>
            </w:pPr>
            <w:r>
              <w:t xml:space="preserve">Phase 2</w:t>
            </w:r>
          </w:p>
        </w:tc>
        <w:tc>
          <w:tcPr/>
          <w:p>
            <w:pPr>
              <w:pStyle w:val="Compact"/>
            </w:pPr>
            <w:r>
              <w:t xml:space="preserve">East Africa: Kenya, Tanzania, Rwanda</w:t>
            </w:r>
          </w:p>
        </w:tc>
        <w:tc>
          <w:tcPr/>
          <w:p>
            <w:pPr>
              <w:pStyle w:val="Compact"/>
            </w:pPr>
            <w:r>
              <w:t xml:space="preserve">24 months post-launch</w:t>
            </w:r>
          </w:p>
        </w:tc>
        <w:tc>
          <w:tcPr/>
          <w:p>
            <w:pPr>
              <w:pStyle w:val="Compact"/>
            </w:pPr>
            <w:r>
              <w:t xml:space="preserve">~$50K MRR (UGX 188M)</w:t>
            </w:r>
          </w:p>
        </w:tc>
      </w:tr>
      <w:tr>
        <w:tc>
          <w:tcPr/>
          <w:p>
            <w:pPr>
              <w:pStyle w:val="Compact"/>
            </w:pPr>
            <w:r>
              <w:t xml:space="preserve">Phase 3</w:t>
            </w:r>
          </w:p>
        </w:tc>
        <w:tc>
          <w:tcPr/>
          <w:p>
            <w:pPr>
              <w:pStyle w:val="Compact"/>
            </w:pPr>
            <w:r>
              <w:t xml:space="preserve">Francophone Africa: DRC, Cameroon, Côte d'Ivoire, Senegal, Mali, Burkina Faso; South Sudan; Burundi</w:t>
            </w:r>
          </w:p>
        </w:tc>
        <w:tc>
          <w:tcPr/>
          <w:p>
            <w:pPr>
              <w:pStyle w:val="Compact"/>
            </w:pPr>
            <w:r>
              <w:t xml:space="preserve">36 months post-launch</w:t>
            </w:r>
          </w:p>
        </w:tc>
        <w:tc>
          <w:tcPr/>
          <w:p>
            <w:pPr>
              <w:pStyle w:val="Compact"/>
            </w:pPr>
            <w:r>
              <w:t xml:space="preserve">~$120K MRR (UGX 450M)</w:t>
            </w:r>
          </w:p>
        </w:tc>
      </w:tr>
      <w:tr>
        <w:tc>
          <w:tcPr/>
          <w:p>
            <w:pPr>
              <w:pStyle w:val="Compact"/>
            </w:pPr>
            <w:r>
              <w:t xml:space="preserve">Phase 4</w:t>
            </w:r>
          </w:p>
        </w:tc>
        <w:tc>
          <w:tcPr/>
          <w:p>
            <w:pPr>
              <w:pStyle w:val="Compact"/>
            </w:pPr>
            <w:r>
              <w:t xml:space="preserve">Enterprise and global — any country addable via localisation profile with no code changes</w:t>
            </w:r>
          </w:p>
        </w:tc>
        <w:tc>
          <w:tcPr/>
          <w:p>
            <w:pPr>
              <w:pStyle w:val="Compact"/>
            </w:pPr>
            <w:r>
              <w:t xml:space="preserve">48–60 months post-launch</w:t>
            </w:r>
          </w:p>
        </w:tc>
        <w:tc>
          <w:tcPr/>
          <w:p>
            <w:pPr>
              <w:pStyle w:val="Compact"/>
            </w:pPr>
            <w:r>
              <w:t xml:space="preserve">$300K+ MRR (UGX 1.1B+)</w:t>
            </w:r>
          </w:p>
        </w:tc>
      </w:tr>
    </w:tbl>
    <w:p>
      <w:pPr>
        <w:pStyle w:val="BodyText"/>
      </w:pPr>
      <w:r>
        <w:t xml:space="preserve">The Phase 4 target establishes Longhorn ERP as globally configurable. Any new country market is added by authoring a localisation profile — defining currency, tax rules, statutory integrations, chart of accounts starter, and address format — without modifying application code.</w:t>
      </w:r>
    </w:p>
    <w:bookmarkEnd w:id="33"/>
    <w:bookmarkEnd w:id="34"/>
    <w:bookmarkStart w:id="41" w:name="target-market"/>
    <w:p>
      <w:pPr>
        <w:pStyle w:val="Heading1"/>
      </w:pPr>
      <w:r>
        <w:t xml:space="preserve">Target Market</w:t>
      </w:r>
    </w:p>
    <w:bookmarkStart w:id="35" w:name="Xfe6aa11cdb4b3998cce08d4e18f017c077dfddc"/>
    <w:p>
      <w:pPr>
        <w:pStyle w:val="Heading2"/>
      </w:pPr>
      <w:r>
        <w:t xml:space="preserve">Design Principle: Industry-Agnostic by Design</w:t>
      </w:r>
    </w:p>
    <w:p>
      <w:pPr>
        <w:pStyle w:val="FirstParagraph"/>
      </w:pPr>
      <w:r>
        <w:t xml:space="preserve">Longhorn ERP is not a vertical ERP. All modules are universal. Industry-specific behaviour — commodity types, regulatory workflows, statutory integrations — is delivered through the tenant's configuration profile and the Localisation Engine, not through industry-specific module variants. A manufacturing company and a law firm activate different modules from the same codebase.</w:t>
      </w:r>
    </w:p>
    <w:bookmarkEnd w:id="35"/>
    <w:bookmarkStart w:id="36" w:name="primary-market-uganda"/>
    <w:p>
      <w:pPr>
        <w:pStyle w:val="Heading2"/>
      </w:pPr>
      <w:r>
        <w:t xml:space="preserve">Primary Market: Uganda</w:t>
      </w:r>
    </w:p>
    <w:p>
      <w:pPr>
        <w:pStyle w:val="FirstParagraph"/>
      </w:pPr>
      <w:r>
        <w:t xml:space="preserve">Uganda is the launch market. The platform's pricing is denominated in Ugandan Shillings. Phase 1 integrations target Uganda's statutory systems: URA EFRIS, URA PAYE e-returns, NSSF Uganda, NITA-U compliance.</w:t>
      </w:r>
    </w:p>
    <w:bookmarkEnd w:id="36"/>
    <w:bookmarkStart w:id="37" w:name="priority-sectors"/>
    <w:p>
      <w:pPr>
        <w:pStyle w:val="Heading2"/>
      </w:pPr>
      <w:r>
        <w:t xml:space="preserve">Priority Sectors</w:t>
      </w:r>
    </w:p>
    <w:p>
      <w:pPr>
        <w:pStyle w:val="FirstParagraph"/>
      </w:pPr>
      <w:r>
        <w:t xml:space="preserve">The following sectors represent the highest-density opportunity in Uganda and are the primary targets for Phase 1 sales and onboarding:</w:t>
      </w:r>
    </w:p>
    <w:p>
      <w:pPr>
        <w:pStyle w:val="Compact"/>
        <w:numPr>
          <w:ilvl w:val="0"/>
          <w:numId w:val="1002"/>
        </w:numPr>
      </w:pPr>
      <w:r>
        <w:t xml:space="preserve">Manufacturing: food processing, agro-processing, beverages, dairy, flour milling</w:t>
      </w:r>
    </w:p>
    <w:p>
      <w:pPr>
        <w:pStyle w:val="Compact"/>
        <w:numPr>
          <w:ilvl w:val="0"/>
          <w:numId w:val="1002"/>
        </w:numPr>
      </w:pPr>
      <w:r>
        <w:t xml:space="preserve">Trading and distribution: Fast-Moving Consumer Goods (FMCG) distributors, hardware wholesalers, pharmaceutical distributors</w:t>
      </w:r>
    </w:p>
    <w:p>
      <w:pPr>
        <w:pStyle w:val="Compact"/>
        <w:numPr>
          <w:ilvl w:val="0"/>
          <w:numId w:val="1002"/>
        </w:numPr>
      </w:pPr>
      <w:r>
        <w:t xml:space="preserve">Agricultural cooperatives: tea, coffee, sugarcane, cotton, matooke, outgrower schemes</w:t>
      </w:r>
    </w:p>
    <w:p>
      <w:pPr>
        <w:pStyle w:val="Compact"/>
        <w:numPr>
          <w:ilvl w:val="0"/>
          <w:numId w:val="1002"/>
        </w:numPr>
      </w:pPr>
      <w:r>
        <w:t xml:space="preserve">Service businesses: consulting firms, law practices, accounting firms, NGOs</w:t>
      </w:r>
    </w:p>
    <w:p>
      <w:pPr>
        <w:pStyle w:val="Compact"/>
        <w:numPr>
          <w:ilvl w:val="0"/>
          <w:numId w:val="1002"/>
        </w:numPr>
      </w:pPr>
      <w:r>
        <w:t xml:space="preserve">Retail and point of sale: supermarkets, pharmacies, hardware shops</w:t>
      </w:r>
    </w:p>
    <w:p>
      <w:pPr>
        <w:pStyle w:val="Compact"/>
        <w:numPr>
          <w:ilvl w:val="0"/>
          <w:numId w:val="1002"/>
        </w:numPr>
      </w:pPr>
      <w:r>
        <w:t xml:space="preserve">Hospitality: hotels, lodges, restaurants, bars</w:t>
      </w:r>
    </w:p>
    <w:p>
      <w:pPr>
        <w:pStyle w:val="Compact"/>
        <w:numPr>
          <w:ilvl w:val="0"/>
          <w:numId w:val="1002"/>
        </w:numPr>
      </w:pPr>
      <w:r>
        <w:t xml:space="preserve">NGOs and donor-funded organisations</w:t>
      </w:r>
    </w:p>
    <w:p>
      <w:pPr>
        <w:pStyle w:val="Compact"/>
        <w:numPr>
          <w:ilvl w:val="0"/>
          <w:numId w:val="1002"/>
        </w:numPr>
      </w:pPr>
      <w:r>
        <w:t xml:space="preserve">Government and parastatals (Public Procurement and Disposal of Public Assets Authority (PPDA) compliance)</w:t>
      </w:r>
    </w:p>
    <w:p>
      <w:pPr>
        <w:pStyle w:val="Compact"/>
        <w:numPr>
          <w:ilvl w:val="0"/>
          <w:numId w:val="1002"/>
        </w:numPr>
      </w:pPr>
      <w:r>
        <w:t xml:space="preserve">Professional services: engineering firms, construction companies, architects</w:t>
      </w:r>
    </w:p>
    <w:p>
      <w:pPr>
        <w:pStyle w:val="Compact"/>
        <w:numPr>
          <w:ilvl w:val="0"/>
          <w:numId w:val="1002"/>
        </w:numPr>
      </w:pPr>
      <w:r>
        <w:t xml:space="preserve">Schools and universities (with integration to Academia Pro)</w:t>
      </w:r>
    </w:p>
    <w:bookmarkEnd w:id="37"/>
    <w:bookmarkStart w:id="38" w:name="ideal-customer-profile"/>
    <w:p>
      <w:pPr>
        <w:pStyle w:val="Heading2"/>
      </w:pPr>
      <w:r>
        <w:t xml:space="preserve">Ideal Customer Profile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Attribute</w:t>
            </w:r>
          </w:p>
        </w:tc>
        <w:tc>
          <w:tcPr/>
          <w:p>
            <w:pPr>
              <w:pStyle w:val="Compact"/>
            </w:pPr>
            <w:r>
              <w:t xml:space="preserve">Target Range</w:t>
            </w:r>
          </w:p>
        </w:tc>
      </w:tr>
      <w:tr>
        <w:tc>
          <w:tcPr/>
          <w:p>
            <w:pPr>
              <w:pStyle w:val="Compact"/>
            </w:pPr>
            <w:r>
              <w:t xml:space="preserve">Employee count</w:t>
            </w:r>
          </w:p>
        </w:tc>
        <w:tc>
          <w:tcPr/>
          <w:p>
            <w:pPr>
              <w:pStyle w:val="Compact"/>
            </w:pPr>
            <w:r>
              <w:t xml:space="preserve">5–500</w:t>
            </w:r>
          </w:p>
        </w:tc>
      </w:tr>
      <w:tr>
        <w:tc>
          <w:tcPr/>
          <w:p>
            <w:pPr>
              <w:pStyle w:val="Compact"/>
            </w:pPr>
            <w:r>
              <w:t xml:space="preserve">Monthly revenue</w:t>
            </w:r>
          </w:p>
        </w:tc>
        <w:tc>
          <w:tcPr/>
          <w:p>
            <w:pPr>
              <w:pStyle w:val="Compact"/>
            </w:pPr>
            <w:r>
              <w:t xml:space="preserve">UGX 10M–10B</w:t>
            </w:r>
          </w:p>
        </w:tc>
      </w:tr>
      <w:tr>
        <w:tc>
          <w:tcPr/>
          <w:p>
            <w:pPr>
              <w:pStyle w:val="Compact"/>
            </w:pPr>
            <w:r>
              <w:t xml:space="preserve">IT capability</w:t>
            </w:r>
          </w:p>
        </w:tc>
        <w:tc>
          <w:tcPr/>
          <w:p>
            <w:pPr>
              <w:pStyle w:val="Compact"/>
            </w:pPr>
            <w:r>
              <w:t xml:space="preserve">Non-technical owner or small IT team (1–3 people)</w:t>
            </w:r>
          </w:p>
        </w:tc>
      </w:tr>
      <w:tr>
        <w:tc>
          <w:tcPr/>
          <w:p>
            <w:pPr>
              <w:pStyle w:val="Compact"/>
            </w:pPr>
            <w:r>
              <w:t xml:space="preserve">Current state</w:t>
            </w:r>
          </w:p>
        </w:tc>
        <w:tc>
          <w:tcPr/>
          <w:p>
            <w:pPr>
              <w:pStyle w:val="Compact"/>
            </w:pPr>
            <w:r>
              <w:t xml:space="preserve">Operating on spreadsheets, QuickBooks, or a partially deployed legacy ERP</w:t>
            </w:r>
          </w:p>
        </w:tc>
      </w:tr>
      <w:tr>
        <w:tc>
          <w:tcPr/>
          <w:p>
            <w:pPr>
              <w:pStyle w:val="Compact"/>
            </w:pPr>
            <w:r>
              <w:t xml:space="preserve">Decision maker</w:t>
            </w:r>
          </w:p>
        </w:tc>
        <w:tc>
          <w:tcPr/>
          <w:p>
            <w:pPr>
              <w:pStyle w:val="Compact"/>
            </w:pPr>
            <w:r>
              <w:t xml:space="preserve">CEO, Finance Director, or Operations Manager</w:t>
            </w:r>
          </w:p>
        </w:tc>
      </w:tr>
      <w:tr>
        <w:tc>
          <w:tcPr/>
          <w:p>
            <w:pPr>
              <w:pStyle w:val="Compact"/>
            </w:pPr>
            <w:r>
              <w:t xml:space="preserve">Geography</w:t>
            </w:r>
          </w:p>
        </w:tc>
        <w:tc>
          <w:tcPr/>
          <w:p>
            <w:pPr>
              <w:pStyle w:val="Compact"/>
            </w:pPr>
            <w:r>
              <w:t xml:space="preserve">Uganda (Phase 1); East Africa (Phase 2)</w:t>
            </w:r>
          </w:p>
        </w:tc>
      </w:tr>
    </w:tbl>
    <w:bookmarkEnd w:id="38"/>
    <w:bookmarkStart w:id="39" w:name="expansion-markets"/>
    <w:p>
      <w:pPr>
        <w:pStyle w:val="Heading2"/>
      </w:pPr>
      <w:r>
        <w:t xml:space="preserve">Expansion Markets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Phase</w:t>
            </w:r>
          </w:p>
        </w:tc>
        <w:tc>
          <w:tcPr/>
          <w:p>
            <w:pPr>
              <w:pStyle w:val="Compact"/>
            </w:pPr>
            <w:r>
              <w:t xml:space="preserve">Markets</w:t>
            </w:r>
          </w:p>
        </w:tc>
        <w:tc>
          <w:tcPr/>
          <w:p>
            <w:pPr>
              <w:pStyle w:val="Compact"/>
            </w:pPr>
            <w:r>
              <w:t xml:space="preserve">Key Localisation Requirements</w:t>
            </w:r>
          </w:p>
        </w:tc>
      </w:tr>
      <w:tr>
        <w:tc>
          <w:tcPr/>
          <w:p>
            <w:pPr>
              <w:pStyle w:val="Compact"/>
            </w:pPr>
            <w:r>
              <w:t xml:space="preserve">Phase 2</w:t>
            </w:r>
          </w:p>
        </w:tc>
        <w:tc>
          <w:tcPr/>
          <w:p>
            <w:pPr>
              <w:pStyle w:val="Compact"/>
            </w:pPr>
            <w:r>
              <w:t xml:space="preserve">Kenya, Tanzania, Rwanda</w:t>
            </w:r>
          </w:p>
        </w:tc>
        <w:tc>
          <w:tcPr/>
          <w:p>
            <w:pPr>
              <w:pStyle w:val="Compact"/>
            </w:pPr>
            <w:r>
              <w:t xml:space="preserve">KRA iTax, M-Pesa Daraja, KES/TZS/RWF currency, Kenya VAT</w:t>
            </w:r>
          </w:p>
        </w:tc>
      </w:tr>
      <w:tr>
        <w:tc>
          <w:tcPr/>
          <w:p>
            <w:pPr>
              <w:pStyle w:val="Compact"/>
            </w:pPr>
            <w:r>
              <w:t xml:space="preserve">Phase 3</w:t>
            </w:r>
          </w:p>
        </w:tc>
        <w:tc>
          <w:tcPr/>
          <w:p>
            <w:pPr>
              <w:pStyle w:val="Compact"/>
            </w:pPr>
            <w:r>
              <w:t xml:space="preserve">DRC, Cameroon, Côte d'Ivoire, Senegal, Mali, Burkina Faso; South Sudan; Burundi</w:t>
            </w:r>
          </w:p>
        </w:tc>
        <w:tc>
          <w:tcPr/>
          <w:p>
            <w:pPr>
              <w:pStyle w:val="Compact"/>
            </w:pPr>
            <w:r>
              <w:t xml:space="preserve">OHADA SYSCOHADA 2017 COA, French UI localisation, XAF/SSP currency</w:t>
            </w:r>
          </w:p>
        </w:tc>
      </w:tr>
      <w:tr>
        <w:tc>
          <w:tcPr/>
          <w:p>
            <w:pPr>
              <w:pStyle w:val="Compact"/>
            </w:pPr>
            <w:r>
              <w:t xml:space="preserve">Phase 4</w:t>
            </w:r>
          </w:p>
        </w:tc>
        <w:tc>
          <w:tcPr/>
          <w:p>
            <w:pPr>
              <w:pStyle w:val="Compact"/>
            </w:pPr>
            <w:r>
              <w:t xml:space="preserve">Global</w:t>
            </w:r>
          </w:p>
        </w:tc>
        <w:tc>
          <w:tcPr/>
          <w:p>
            <w:pPr>
              <w:pStyle w:val="Compact"/>
            </w:pPr>
            <w:r>
              <w:t xml:space="preserve">Any country via localisation profile; no code changes</w:t>
            </w:r>
          </w:p>
        </w:tc>
      </w:tr>
    </w:tbl>
    <w:bookmarkEnd w:id="39"/>
    <w:bookmarkStart w:id="40" w:name="market-size-rationale"/>
    <w:p>
      <w:pPr>
        <w:pStyle w:val="Heading2"/>
      </w:pPr>
      <w:r>
        <w:t xml:space="preserve">Market Size Rationale</w:t>
      </w:r>
    </w:p>
    <w:p>
      <w:pPr>
        <w:pStyle w:val="FirstParagraph"/>
      </w:pPr>
      <w:r>
        <w:t xml:space="preserve">Uganda has approximately 500,000 registered businesses, of which an estimated 40,000–80,000 fall within the 5–500 employee band that constitutes the ideal customer profile. Penetrating 1% of this addressable market (400–800 tenants) at an average monthly revenue of UGX 700,000 per tenant yields UGX 280M–560M MRR, which exceeds the Phase 1 MRR target of UGX 56M by a factor of 5–10.</w:t>
      </w:r>
    </w:p>
    <w:bookmarkEnd w:id="40"/>
    <w:bookmarkEnd w:id="41"/>
    <w:bookmarkStart w:id="49" w:name="module-overview"/>
    <w:p>
      <w:pPr>
        <w:pStyle w:val="Heading1"/>
      </w:pPr>
      <w:r>
        <w:t xml:space="preserve">Module Overview</w:t>
      </w:r>
    </w:p>
    <w:bookmarkStart w:id="42" w:name="universality-principle"/>
    <w:p>
      <w:pPr>
        <w:pStyle w:val="Heading2"/>
      </w:pPr>
      <w:r>
        <w:t xml:space="preserve">Universality Principle</w:t>
      </w:r>
    </w:p>
    <w:p>
      <w:pPr>
        <w:pStyle w:val="FirstParagraph"/>
      </w:pPr>
      <w:r>
        <w:t xml:space="preserve">All modules are universal. Localisation behaviour - country-specific tax rules, statutory integrations, currency handling, regulatory workflows, and chart of accounts defaults - is determined by the tenant's configuration profile, not by module variants. A Ugandan manufacturer and a Kenyan NGO activate modules from the same codebase; their statutory and currency behaviour differs because their localisation profiles differ.</w:t>
      </w:r>
    </w:p>
    <w:bookmarkEnd w:id="42"/>
    <w:bookmarkStart w:id="43" w:name="X5a4534ca97991910ffad6b8328119e3bfecd783"/>
    <w:p>
      <w:pPr>
        <w:pStyle w:val="Heading2"/>
      </w:pPr>
      <w:r>
        <w:t xml:space="preserve">Core Modules (Always Active - Cannot Be Disabled)</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Code</w:t>
            </w:r>
          </w:p>
        </w:tc>
        <w:tc>
          <w:tcPr/>
          <w:p>
            <w:pPr>
              <w:pStyle w:val="Compact"/>
            </w:pPr>
            <w:r>
              <w:t xml:space="preserve">Module</w:t>
            </w:r>
          </w:p>
        </w:tc>
        <w:tc>
          <w:tcPr/>
          <w:p>
            <w:pPr>
              <w:pStyle w:val="Compact"/>
            </w:pPr>
            <w:r>
              <w:t xml:space="preserve">Description</w:t>
            </w:r>
          </w:p>
        </w:tc>
      </w:tr>
      <w:tr>
        <w:tc>
          <w:tcPr/>
          <w:p>
            <w:pPr>
              <w:pStyle w:val="Compact"/>
            </w:pPr>
            <w:r>
              <w:rPr>
                <w:rStyle w:val="VerbatimChar"/>
              </w:rPr>
              <w:t xml:space="preserve">ACCOUNTING</w:t>
            </w:r>
          </w:p>
        </w:tc>
        <w:tc>
          <w:tcPr/>
          <w:p>
            <w:pPr>
              <w:pStyle w:val="Compact"/>
            </w:pPr>
            <w:r>
              <w:t xml:space="preserve">Accounting &amp; General Ledger</w:t>
            </w:r>
          </w:p>
        </w:tc>
        <w:tc>
          <w:tcPr/>
          <w:p>
            <w:pPr>
              <w:pStyle w:val="Compact"/>
            </w:pPr>
            <w:r>
              <w:t xml:space="preserve">Double-entry General Ledger (GL), IFRS-compliant financial statements, AP, AR, bank reconciliation, multi-currency, VAT/WHT, budgets, record-to-report discipline, close orchestration, consolidation-ready group structures, finance controls/workflow/approvals, and reporting foundations for management, statutory, and investor-grade analytics</w:t>
            </w:r>
          </w:p>
        </w:tc>
      </w:tr>
      <w:tr>
        <w:tc>
          <w:tcPr/>
          <w:p>
            <w:pPr>
              <w:pStyle w:val="Compact"/>
            </w:pPr>
            <w:r>
              <w:rPr>
                <w:rStyle w:val="VerbatimChar"/>
              </w:rPr>
              <w:t xml:space="preserve">INVENTORY</w:t>
            </w:r>
          </w:p>
        </w:tc>
        <w:tc>
          <w:tcPr/>
          <w:p>
            <w:pPr>
              <w:pStyle w:val="Compact"/>
            </w:pPr>
            <w:r>
              <w:t xml:space="preserve">Inventory Management</w:t>
            </w:r>
          </w:p>
        </w:tc>
        <w:tc>
          <w:tcPr/>
          <w:p>
            <w:pPr>
              <w:pStyle w:val="Compact"/>
            </w:pPr>
            <w:r>
              <w:t xml:space="preserve">Item catalogue, UOM conversion, FIFO/weighted-average costing, Goods Received Note (GRN), stock adjustments, reorder levels, physical count, stock transfers</w:t>
            </w:r>
          </w:p>
        </w:tc>
      </w:tr>
      <w:tr>
        <w:tc>
          <w:tcPr/>
          <w:p>
            <w:pPr>
              <w:pStyle w:val="Compact"/>
            </w:pPr>
            <w:r>
              <w:rPr>
                <w:rStyle w:val="VerbatimChar"/>
              </w:rPr>
              <w:t xml:space="preserve">SALES</w:t>
            </w:r>
          </w:p>
        </w:tc>
        <w:tc>
          <w:tcPr/>
          <w:p>
            <w:pPr>
              <w:pStyle w:val="Compact"/>
            </w:pPr>
            <w:r>
              <w:t xml:space="preserve">Sales</w:t>
            </w:r>
          </w:p>
        </w:tc>
        <w:tc>
          <w:tcPr/>
          <w:p>
            <w:pPr>
              <w:pStyle w:val="Compact"/>
            </w:pPr>
            <w:r>
              <w:t xml:space="preserve">Customer master, price lists, quotations, sales orders, delivery notes, invoices, credit notes, receipts, returns</w:t>
            </w:r>
          </w:p>
        </w:tc>
      </w:tr>
      <w:tr>
        <w:tc>
          <w:tcPr/>
          <w:p>
            <w:pPr>
              <w:pStyle w:val="Compact"/>
            </w:pPr>
            <w:r>
              <w:rPr>
                <w:rStyle w:val="VerbatimChar"/>
              </w:rPr>
              <w:t xml:space="preserve">PROCUREMENT</w:t>
            </w:r>
          </w:p>
        </w:tc>
        <w:tc>
          <w:tcPr/>
          <w:p>
            <w:pPr>
              <w:pStyle w:val="Compact"/>
            </w:pPr>
            <w:r>
              <w:t xml:space="preserve">Procurement</w:t>
            </w:r>
          </w:p>
        </w:tc>
        <w:tc>
          <w:tcPr/>
          <w:p>
            <w:pPr>
              <w:pStyle w:val="Compact"/>
            </w:pPr>
            <w:r>
              <w:t xml:space="preserve">Supplier master, purchase requisitions, RFQ, LPO, three-way matching, supplier payments, WHT</w:t>
            </w:r>
          </w:p>
        </w:tc>
      </w:tr>
      <w:tr>
        <w:tc>
          <w:tcPr/>
          <w:p>
            <w:pPr>
              <w:pStyle w:val="Compact"/>
            </w:pPr>
            <w:r>
              <w:rPr>
                <w:rStyle w:val="VerbatimChar"/>
              </w:rPr>
              <w:t xml:space="preserve">USER_MGMT</w:t>
            </w:r>
          </w:p>
        </w:tc>
        <w:tc>
          <w:tcPr/>
          <w:p>
            <w:pPr>
              <w:pStyle w:val="Compact"/>
            </w:pPr>
            <w:r>
              <w:t xml:space="preserve">User Management &amp; RBAC</w:t>
            </w:r>
          </w:p>
        </w:tc>
        <w:tc>
          <w:tcPr/>
          <w:p>
            <w:pPr>
              <w:pStyle w:val="Compact"/>
            </w:pPr>
            <w:r>
              <w:t xml:space="preserve">User lifecycle, unlimited roles, granular permissions, branch restrictions, approval limits, 2FA, biometric login, USSD access</w:t>
            </w:r>
          </w:p>
        </w:tc>
      </w:tr>
      <w:tr>
        <w:tc>
          <w:tcPr/>
          <w:p>
            <w:pPr>
              <w:pStyle w:val="Compact"/>
            </w:pPr>
            <w:r>
              <w:rPr>
                <w:rStyle w:val="VerbatimChar"/>
              </w:rPr>
              <w:t xml:space="preserve">AUDIT</w:t>
            </w:r>
          </w:p>
        </w:tc>
        <w:tc>
          <w:tcPr/>
          <w:p>
            <w:pPr>
              <w:pStyle w:val="Compact"/>
            </w:pPr>
            <w:r>
              <w:t xml:space="preserve">Audit Log</w:t>
            </w:r>
          </w:p>
        </w:tc>
        <w:tc>
          <w:tcPr/>
          <w:p>
            <w:pPr>
              <w:pStyle w:val="Compact"/>
            </w:pPr>
            <w:r>
              <w:t xml:space="preserve">Immutable INSERT-only audit trail covering all CRUD and approval actions, external auditor read-only role, 7-year retention</w:t>
            </w:r>
          </w:p>
        </w:tc>
      </w:tr>
    </w:tbl>
    <w:bookmarkEnd w:id="43"/>
    <w:bookmarkStart w:id="44" w:name="add-on-modules-per-tenant-activation"/>
    <w:p>
      <w:pPr>
        <w:pStyle w:val="Heading2"/>
      </w:pPr>
      <w:r>
        <w:t xml:space="preserve">Add-On Modules (Per-Tenant Activation)</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Code</w:t>
            </w:r>
          </w:p>
        </w:tc>
        <w:tc>
          <w:tcPr/>
          <w:p>
            <w:pPr>
              <w:pStyle w:val="Compact"/>
            </w:pPr>
            <w:r>
              <w:t xml:space="preserve">Module</w:t>
            </w:r>
          </w:p>
        </w:tc>
        <w:tc>
          <w:tcPr/>
          <w:p>
            <w:pPr>
              <w:pStyle w:val="Compact"/>
            </w:pPr>
            <w:r>
              <w:t xml:space="preserve">Description</w:t>
            </w:r>
          </w:p>
        </w:tc>
      </w:tr>
      <w:tr>
        <w:tc>
          <w:tcPr/>
          <w:p>
            <w:pPr>
              <w:pStyle w:val="Compact"/>
            </w:pPr>
            <w:r>
              <w:rPr>
                <w:rStyle w:val="VerbatimChar"/>
              </w:rPr>
              <w:t xml:space="preserve">ADV_INVENTORY</w:t>
            </w:r>
          </w:p>
        </w:tc>
        <w:tc>
          <w:tcPr/>
          <w:p>
            <w:pPr>
              <w:pStyle w:val="Compact"/>
            </w:pPr>
            <w:r>
              <w:t xml:space="preserve">Advanced Inventory</w:t>
            </w:r>
          </w:p>
        </w:tc>
        <w:tc>
          <w:tcPr/>
          <w:p>
            <w:pPr>
              <w:pStyle w:val="Compact"/>
            </w:pPr>
            <w:r>
              <w:t xml:space="preserve">Multi-location warehousing, batch/serial tracking, First-Expired-First-Out (FEFO), expiry management, inter-branch stock-in-transit, landed cost, stock reservation, recall management</w:t>
            </w:r>
          </w:p>
        </w:tc>
      </w:tr>
      <w:tr>
        <w:tc>
          <w:tcPr/>
          <w:p>
            <w:pPr>
              <w:pStyle w:val="Compact"/>
            </w:pPr>
            <w:r>
              <w:rPr>
                <w:rStyle w:val="VerbatimChar"/>
              </w:rPr>
              <w:t xml:space="preserve">MANUFACTURING</w:t>
            </w:r>
          </w:p>
        </w:tc>
        <w:tc>
          <w:tcPr/>
          <w:p>
            <w:pPr>
              <w:pStyle w:val="Compact"/>
            </w:pPr>
            <w:r>
              <w:t xml:space="preserve">Manufacturing</w:t>
            </w:r>
          </w:p>
        </w:tc>
        <w:tc>
          <w:tcPr/>
          <w:p>
            <w:pPr>
              <w:pStyle w:val="Compact"/>
            </w:pPr>
            <w:r>
              <w:t xml:space="preserve">Bill of Materials (BOM) with versions, routings, work centres, production orders, raw material issue, Work in Progress (WIP), operation tracking, genealogy, in-process quality, rework, downtime capture, Overall Equipment Effectiveness (OEE), yield/variance, by-products, scrap, overhead absorption, production costing</w:t>
            </w:r>
          </w:p>
        </w:tc>
      </w:tr>
      <w:tr>
        <w:tc>
          <w:tcPr/>
          <w:p>
            <w:pPr>
              <w:pStyle w:val="Compact"/>
            </w:pPr>
            <w:r>
              <w:rPr>
                <w:rStyle w:val="VerbatimChar"/>
              </w:rPr>
              <w:t xml:space="preserve">HR_PAYROLL</w:t>
            </w:r>
          </w:p>
        </w:tc>
        <w:tc>
          <w:tcPr/>
          <w:p>
            <w:pPr>
              <w:pStyle w:val="Compact"/>
            </w:pPr>
            <w:r>
              <w:t xml:space="preserve">HR &amp; Payroll</w:t>
            </w:r>
          </w:p>
        </w:tc>
        <w:tc>
          <w:tcPr/>
          <w:p>
            <w:pPr>
              <w:pStyle w:val="Compact"/>
            </w:pPr>
            <w:r>
              <w:t xml:space="preserve">Employee master, contracts, org structure, grade/salary scales, leave, attendance (biometric/mobile), payroll processing, bank payment files, mobile money salary, statutory compliance</w:t>
            </w:r>
          </w:p>
        </w:tc>
      </w:tr>
      <w:tr>
        <w:tc>
          <w:tcPr/>
          <w:p>
            <w:pPr>
              <w:pStyle w:val="Compact"/>
            </w:pPr>
            <w:r>
              <w:rPr>
                <w:rStyle w:val="VerbatimChar"/>
              </w:rPr>
              <w:t xml:space="preserve">POS</w:t>
            </w:r>
          </w:p>
        </w:tc>
        <w:tc>
          <w:tcPr/>
          <w:p>
            <w:pPr>
              <w:pStyle w:val="Compact"/>
            </w:pPr>
            <w:r>
              <w:t xml:space="preserve">Point of Sale</w:t>
            </w:r>
          </w:p>
        </w:tc>
        <w:tc>
          <w:tcPr/>
          <w:p>
            <w:pPr>
              <w:pStyle w:val="Compact"/>
            </w:pPr>
            <w:r>
              <w:t xml:space="preserve">Touch-optimised terminal, barcode scanning, multi-payment modes, mobile money push, thermal receipt, shift management, restaurant/bar table mode, offline mode, real-time GL posting</w:t>
            </w:r>
          </w:p>
        </w:tc>
      </w:tr>
      <w:tr>
        <w:tc>
          <w:tcPr/>
          <w:p>
            <w:pPr>
              <w:pStyle w:val="Compact"/>
            </w:pPr>
            <w:r>
              <w:rPr>
                <w:rStyle w:val="VerbatimChar"/>
              </w:rPr>
              <w:t xml:space="preserve">SALES_CRM</w:t>
            </w:r>
          </w:p>
        </w:tc>
        <w:tc>
          <w:tcPr/>
          <w:p>
            <w:pPr>
              <w:pStyle w:val="Compact"/>
            </w:pPr>
            <w:r>
              <w:t xml:space="preserve">Sales &amp; CRM</w:t>
            </w:r>
          </w:p>
        </w:tc>
        <w:tc>
          <w:tcPr/>
          <w:p>
            <w:pPr>
              <w:pStyle w:val="Compact"/>
            </w:pPr>
            <w:r>
              <w:t xml:space="preserve">Leads pipeline, opportunities, Kanban view, activity logging, contact management, quotation tracking, sales forecasting, territory management, WhatsApp logging</w:t>
            </w:r>
          </w:p>
        </w:tc>
      </w:tr>
      <w:tr>
        <w:tc>
          <w:tcPr/>
          <w:p>
            <w:pPr>
              <w:pStyle w:val="Compact"/>
            </w:pPr>
            <w:r>
              <w:rPr>
                <w:rStyle w:val="VerbatimChar"/>
              </w:rPr>
              <w:t xml:space="preserve">SALES_AGENTS</w:t>
            </w:r>
          </w:p>
        </w:tc>
        <w:tc>
          <w:tcPr/>
          <w:p>
            <w:pPr>
              <w:pStyle w:val="Compact"/>
            </w:pPr>
            <w:r>
              <w:t xml:space="preserve">Sales Agents &amp; Commissions</w:t>
            </w:r>
          </w:p>
        </w:tc>
        <w:tc>
          <w:tcPr/>
          <w:p>
            <w:pPr>
              <w:pStyle w:val="Compact"/>
            </w:pPr>
            <w:r>
              <w:t xml:space="preserve">Agent register, target setting, commission rules (flat/tiered/product), commission runs, approval, mobile money bulk payment, agent self-service portal</w:t>
            </w:r>
          </w:p>
        </w:tc>
      </w:tr>
      <w:tr>
        <w:tc>
          <w:tcPr/>
          <w:p>
            <w:pPr>
              <w:pStyle w:val="Compact"/>
            </w:pPr>
            <w:r>
              <w:rPr>
                <w:rStyle w:val="VerbatimChar"/>
              </w:rPr>
              <w:t xml:space="preserve">COOPERATIVE</w:t>
            </w:r>
          </w:p>
        </w:tc>
        <w:tc>
          <w:tcPr/>
          <w:p>
            <w:pPr>
              <w:pStyle w:val="Compact"/>
            </w:pPr>
            <w:r>
              <w:t xml:space="preserve">Cooperative Procurement</w:t>
            </w:r>
          </w:p>
        </w:tc>
        <w:tc>
          <w:tcPr/>
          <w:p>
            <w:pPr>
              <w:pStyle w:val="Compact"/>
            </w:pPr>
            <w:r>
              <w:t xml:space="preserve">Commodity configuration, farmer/outgrower registration, group/society hierarchy, seasonal intake, weighbridge integration, input loan deductions, mobile money farmer payment, farmer statements</w:t>
            </w:r>
          </w:p>
        </w:tc>
      </w:tr>
      <w:tr>
        <w:tc>
          <w:tcPr/>
          <w:p>
            <w:pPr>
              <w:pStyle w:val="Compact"/>
            </w:pPr>
            <w:r>
              <w:rPr>
                <w:rStyle w:val="VerbatimChar"/>
              </w:rPr>
              <w:t xml:space="preserve">PROJECTS</w:t>
            </w:r>
          </w:p>
        </w:tc>
        <w:tc>
          <w:tcPr/>
          <w:p>
            <w:pPr>
              <w:pStyle w:val="Compact"/>
            </w:pPr>
            <w:r>
              <w:t xml:space="preserve">Project Management</w:t>
            </w:r>
          </w:p>
        </w:tc>
        <w:tc>
          <w:tcPr/>
          <w:p>
            <w:pPr>
              <w:pStyle w:val="Compact"/>
            </w:pPr>
            <w:r>
              <w:t xml:space="preserve">Project register, budget, milestones, tasks/Work Breakdown Structure (WBS), timesheets, resource allocation, project costs, project billing (T&amp;M and milestone), subcontractors, project P&amp;L, Gantt, portfolio</w:t>
            </w:r>
          </w:p>
        </w:tc>
      </w:tr>
      <w:tr>
        <w:tc>
          <w:tcPr/>
          <w:p>
            <w:pPr>
              <w:pStyle w:val="Compact"/>
            </w:pPr>
            <w:r>
              <w:rPr>
                <w:rStyle w:val="VerbatimChar"/>
              </w:rPr>
              <w:t xml:space="preserve">STRATEGY_BSC</w:t>
            </w:r>
          </w:p>
        </w:tc>
        <w:tc>
          <w:tcPr/>
          <w:p>
            <w:pPr>
              <w:pStyle w:val="Compact"/>
            </w:pPr>
            <w:r>
              <w:t xml:space="preserve">Strategy &amp; Balanced Scorecard</w:t>
            </w:r>
          </w:p>
        </w:tc>
        <w:tc>
          <w:tcPr/>
          <w:p>
            <w:pPr>
              <w:pStyle w:val="Compact"/>
            </w:pPr>
            <w:r>
              <w:t xml:space="preserve">Strategic framework, Balanced Scorecard (BSC) perspectives, objectives, KPIs, actuals, traffic-light scoring, scorecard dashboard, initiative tracking, executive report, Objectives and Key Results (OKR) mode, NGO logframe</w:t>
            </w:r>
          </w:p>
        </w:tc>
      </w:tr>
      <w:tr>
        <w:tc>
          <w:tcPr/>
          <w:p>
            <w:pPr>
              <w:pStyle w:val="Compact"/>
            </w:pPr>
            <w:r>
              <w:rPr>
                <w:rStyle w:val="VerbatimChar"/>
              </w:rPr>
              <w:t xml:space="preserve">ASSETS</w:t>
            </w:r>
          </w:p>
        </w:tc>
        <w:tc>
          <w:tcPr/>
          <w:p>
            <w:pPr>
              <w:pStyle w:val="Compact"/>
            </w:pPr>
            <w:r>
              <w:t xml:space="preserve">Asset Management</w:t>
            </w:r>
          </w:p>
        </w:tc>
        <w:tc>
          <w:tcPr/>
          <w:p>
            <w:pPr>
              <w:pStyle w:val="Compact"/>
            </w:pPr>
            <w:r>
              <w:t xml:space="preserve">Asset register, depreciation (straight-line/reducing-balance), revaluation, disposal with gain/loss, transfer, maintenance scheduling, insurance, QR/barcode tagging, physical verification, and vehicle capital-asset control. Transport dispatch and live fleet operations are handled in</w:t>
            </w:r>
            <w:r>
              <w:t xml:space="preserve"> </w:t>
            </w:r>
            <w:r>
              <w:rPr>
                <w:rStyle w:val="VerbatimChar"/>
              </w:rPr>
              <w:t xml:space="preserve">TRANSPORTATION</w:t>
            </w:r>
          </w:p>
        </w:tc>
      </w:tr>
      <w:tr>
        <w:tc>
          <w:tcPr/>
          <w:p>
            <w:pPr>
              <w:pStyle w:val="Compact"/>
            </w:pPr>
            <w:r>
              <w:rPr>
                <w:rStyle w:val="VerbatimChar"/>
              </w:rPr>
              <w:t xml:space="preserve">AI_INTELLIGENCE</w:t>
            </w:r>
          </w:p>
        </w:tc>
        <w:tc>
          <w:tcPr/>
          <w:p>
            <w:pPr>
              <w:pStyle w:val="Compact"/>
            </w:pPr>
            <w:r>
              <w:t xml:space="preserve">AI Intelligence</w:t>
            </w:r>
          </w:p>
        </w:tc>
        <w:tc>
          <w:tcPr/>
          <w:p>
            <w:pPr>
              <w:pStyle w:val="Compact"/>
            </w:pPr>
            <w:r>
              <w:t xml:space="preserve">Cash flow forecasting, GL anomaly detection, demand forecasting, debtor risk scoring, and narrative financial reports. Paid add-on available on Professional plans and above; off by default</w:t>
            </w:r>
          </w:p>
        </w:tc>
      </w:tr>
      <w:tr>
        <w:tc>
          <w:tcPr/>
          <w:p>
            <w:pPr>
              <w:pStyle w:val="Compact"/>
            </w:pPr>
            <w:r>
              <w:rPr>
                <w:rStyle w:val="VerbatimChar"/>
              </w:rPr>
              <w:t xml:space="preserve">PLM</w:t>
            </w:r>
          </w:p>
        </w:tc>
        <w:tc>
          <w:tcPr/>
          <w:p>
            <w:pPr>
              <w:pStyle w:val="Compact"/>
            </w:pPr>
            <w:r>
              <w:t xml:space="preserve">Product Lifecycle Management</w:t>
            </w:r>
          </w:p>
        </w:tc>
        <w:tc>
          <w:tcPr/>
          <w:p>
            <w:pPr>
              <w:pStyle w:val="Compact"/>
            </w:pPr>
            <w:r>
              <w:t xml:space="preserve">Engineering item master, revision control, EBOM/MBOM governance, engineering change workflow, effectivity control, NPI stage gates, document control, compliance evidence, and digital-thread release to downstream modules</w:t>
            </w:r>
          </w:p>
        </w:tc>
      </w:tr>
      <w:tr>
        <w:tc>
          <w:tcPr/>
          <w:p>
            <w:pPr>
              <w:pStyle w:val="Compact"/>
            </w:pPr>
            <w:r>
              <w:rPr>
                <w:rStyle w:val="VerbatimChar"/>
              </w:rPr>
              <w:t xml:space="preserve">TRANSPORTATION</w:t>
            </w:r>
          </w:p>
        </w:tc>
        <w:tc>
          <w:tcPr/>
          <w:p>
            <w:pPr>
              <w:pStyle w:val="Compact"/>
            </w:pPr>
            <w:r>
              <w:t xml:space="preserve">Transportation &amp; Fleet Operations</w:t>
            </w:r>
          </w:p>
        </w:tc>
        <w:tc>
          <w:tcPr/>
          <w:p>
            <w:pPr>
              <w:pStyle w:val="Compact"/>
            </w:pPr>
            <w:r>
              <w:t xml:space="preserve">Shipment planning, route and load planning, dispatch, carrier or internal-fleet assignment, ETA and milestone visibility, proof of delivery, exception management, freight audit, transport analytics, driver assignment, and telematics-ready fleet operations</w:t>
            </w:r>
          </w:p>
        </w:tc>
      </w:tr>
    </w:tbl>
    <w:bookmarkEnd w:id="44"/>
    <w:bookmarkStart w:id="45" w:name="X602ef97051035c3448bb3919fae3805b65883f8"/>
    <w:p>
      <w:pPr>
        <w:pStyle w:val="Heading2"/>
      </w:pPr>
      <w:r>
        <w:t xml:space="preserve">Platform Services (Always Active - Not User-Facing Modules)</w:t>
      </w:r>
    </w:p>
    <w:p>
      <w:pPr>
        <w:pStyle w:val="FirstParagraph"/>
      </w:pPr>
      <w:r>
        <w:t xml:space="preserve">Platform services are infrastructure components that underpin all tenant operations. They are not activatable or deactivatable per tenant.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Code</w:t>
            </w:r>
          </w:p>
        </w:tc>
        <w:tc>
          <w:tcPr/>
          <w:p>
            <w:pPr>
              <w:pStyle w:val="Compact"/>
            </w:pPr>
            <w:r>
              <w:t xml:space="preserve">Service</w:t>
            </w:r>
          </w:p>
        </w:tc>
        <w:tc>
          <w:tcPr/>
          <w:p>
            <w:pPr>
              <w:pStyle w:val="Compact"/>
            </w:pPr>
            <w:r>
              <w:t xml:space="preserve">Description</w:t>
            </w:r>
          </w:p>
        </w:tc>
      </w:tr>
      <w:tr>
        <w:tc>
          <w:tcPr/>
          <w:p>
            <w:pPr>
              <w:pStyle w:val="Compact"/>
            </w:pPr>
            <w:r>
              <w:rPr>
                <w:rStyle w:val="VerbatimChar"/>
              </w:rPr>
              <w:t xml:space="preserve">LOCALISATION</w:t>
            </w:r>
          </w:p>
        </w:tc>
        <w:tc>
          <w:tcPr/>
          <w:p>
            <w:pPr>
              <w:pStyle w:val="Compact"/>
            </w:pPr>
            <w:r>
              <w:t xml:space="preserve">Localisation Engine</w:t>
            </w:r>
          </w:p>
        </w:tc>
        <w:tc>
          <w:tcPr/>
          <w:p>
            <w:pPr>
              <w:pStyle w:val="Compact"/>
            </w:pPr>
            <w:r>
              <w:t xml:space="preserve">Configuration-driven localisation: currency, language, tax, statutory, Chart of Accounts (COA) starter, address format, invoice legal text, mobile money gateway - per tenant, no code changes per market</w:t>
            </w:r>
          </w:p>
        </w:tc>
      </w:tr>
      <w:tr>
        <w:tc>
          <w:tcPr/>
          <w:p>
            <w:pPr>
              <w:pStyle w:val="Compact"/>
            </w:pPr>
            <w:r>
              <w:rPr>
                <w:rStyle w:val="VerbatimChar"/>
              </w:rPr>
              <w:t xml:space="preserve">MOBILE_API</w:t>
            </w:r>
          </w:p>
        </w:tc>
        <w:tc>
          <w:tcPr/>
          <w:p>
            <w:pPr>
              <w:pStyle w:val="Compact"/>
            </w:pPr>
            <w:r>
              <w:t xml:space="preserve">Mobile API</w:t>
            </w:r>
          </w:p>
        </w:tc>
        <w:tc>
          <w:tcPr/>
          <w:p>
            <w:pPr>
              <w:pStyle w:val="Compact"/>
            </w:pPr>
            <w:r>
              <w:t xml:space="preserve">JWT auth, tenant isolation, rate limiting, versioned REST (v1/v2), offline sync, push notifications, SMS fallback, data-lite mode</w:t>
            </w:r>
          </w:p>
        </w:tc>
      </w:tr>
      <w:tr>
        <w:tc>
          <w:tcPr/>
          <w:p>
            <w:pPr>
              <w:pStyle w:val="Compact"/>
            </w:pPr>
            <w:r>
              <w:rPr>
                <w:rStyle w:val="VerbatimChar"/>
              </w:rPr>
              <w:t xml:space="preserve">INTEGRATIONS</w:t>
            </w:r>
          </w:p>
        </w:tc>
        <w:tc>
          <w:tcPr/>
          <w:p>
            <w:pPr>
              <w:pStyle w:val="Compact"/>
            </w:pPr>
            <w:r>
              <w:t xml:space="preserve">Integration Layer</w:t>
            </w:r>
          </w:p>
        </w:tc>
        <w:tc>
          <w:tcPr/>
          <w:p>
            <w:pPr>
              <w:pStyle w:val="Compact"/>
            </w:pPr>
            <w:r>
              <w:t xml:space="preserve">Africa's Talking, MTN MoMo, Airtel Money, M-Pesa Daraja, URA EFRIS, URA PAYE, NSSF, KRA iTax, NITA-U</w:t>
            </w:r>
          </w:p>
        </w:tc>
      </w:tr>
      <w:tr>
        <w:tc>
          <w:tcPr/>
          <w:p>
            <w:pPr>
              <w:pStyle w:val="Compact"/>
            </w:pPr>
            <w:r>
              <w:rPr>
                <w:rStyle w:val="VerbatimChar"/>
              </w:rPr>
              <w:t xml:space="preserve">BILLING</w:t>
            </w:r>
          </w:p>
        </w:tc>
        <w:tc>
          <w:tcPr/>
          <w:p>
            <w:pPr>
              <w:pStyle w:val="Compact"/>
            </w:pPr>
            <w:r>
              <w:t xml:space="preserve">Billing &amp; Subscriptions</w:t>
            </w:r>
          </w:p>
        </w:tc>
        <w:tc>
          <w:tcPr/>
          <w:p>
            <w:pPr>
              <w:pStyle w:val="Compact"/>
            </w:pPr>
            <w:r>
              <w:t xml:space="preserve">Subscription plans, a-la-carte add-ons, annual billing, payment via card/bank/MTN MoMo/M-Pesa, tenant lifecycle management (Trial -&gt; Active -&gt; Overdue -&gt; Suspended -&gt; Archived)</w:t>
            </w:r>
          </w:p>
        </w:tc>
      </w:tr>
    </w:tbl>
    <w:bookmarkEnd w:id="45"/>
    <w:bookmarkStart w:id="46" w:name="module-count-summary"/>
    <w:p>
      <w:pPr>
        <w:pStyle w:val="Heading2"/>
      </w:pPr>
      <w:r>
        <w:t xml:space="preserve">Module Count Summary</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Category</w:t>
            </w:r>
          </w:p>
        </w:tc>
        <w:tc>
          <w:tcPr/>
          <w:p>
            <w:pPr>
              <w:pStyle w:val="Compact"/>
            </w:pPr>
            <w:r>
              <w:t xml:space="preserve">Count</w:t>
            </w:r>
          </w:p>
        </w:tc>
      </w:tr>
      <w:tr>
        <w:tc>
          <w:tcPr/>
          <w:p>
            <w:pPr>
              <w:pStyle w:val="Compact"/>
            </w:pPr>
            <w:r>
              <w:t xml:space="preserve">Core modules (always active)</w:t>
            </w:r>
          </w:p>
        </w:tc>
        <w:tc>
          <w:tcPr/>
          <w:p>
            <w:pPr>
              <w:pStyle w:val="Compact"/>
            </w:pPr>
            <w:r>
              <w:t xml:space="preserve">6</w:t>
            </w:r>
          </w:p>
        </w:tc>
      </w:tr>
      <w:tr>
        <w:tc>
          <w:tcPr/>
          <w:p>
            <w:pPr>
              <w:pStyle w:val="Compact"/>
            </w:pPr>
            <w:r>
              <w:t xml:space="preserve">Add-on modules (per-tenant activation)</w:t>
            </w:r>
          </w:p>
        </w:tc>
        <w:tc>
          <w:tcPr/>
          <w:p>
            <w:pPr>
              <w:pStyle w:val="Compact"/>
            </w:pPr>
            <w:r>
              <w:t xml:space="preserve">13</w:t>
            </w:r>
          </w:p>
        </w:tc>
      </w:tr>
      <w:tr>
        <w:tc>
          <w:tcPr/>
          <w:p>
            <w:pPr>
              <w:pStyle w:val="Compact"/>
            </w:pPr>
            <w:r>
              <w:t xml:space="preserve">Platform services (infrastructure, always active)</w:t>
            </w:r>
          </w:p>
        </w:tc>
        <w:tc>
          <w:tcPr/>
          <w:p>
            <w:pPr>
              <w:pStyle w:val="Compact"/>
            </w:pPr>
            <w:r>
              <w:t xml:space="preserve">4</w:t>
            </w:r>
          </w:p>
        </w:tc>
      </w:tr>
      <w:tr>
        <w:tc>
          <w:tcPr/>
          <w:p>
            <w:pPr>
              <w:pStyle w:val="Compact"/>
            </w:pPr>
            <w:r>
              <w:rPr>
                <w:b/>
                <w:bCs/>
              </w:rPr>
              <w:t xml:space="preserve">Total</w:t>
            </w:r>
          </w:p>
        </w:tc>
        <w:tc>
          <w:tcPr/>
          <w:p>
            <w:pPr>
              <w:pStyle w:val="Compact"/>
            </w:pPr>
            <w:r>
              <w:rPr>
                <w:b/>
                <w:bCs/>
              </w:rPr>
              <w:t xml:space="preserve">23</w:t>
            </w:r>
          </w:p>
        </w:tc>
      </w:tr>
    </w:tbl>
    <w:bookmarkEnd w:id="46"/>
    <w:bookmarkStart w:id="47" w:name="strategic-depth-note"/>
    <w:p>
      <w:pPr>
        <w:pStyle w:val="Heading2"/>
      </w:pPr>
      <w:r>
        <w:t xml:space="preserve">Strategic Depth Note</w:t>
      </w:r>
    </w:p>
    <w:p>
      <w:pPr>
        <w:pStyle w:val="FirstParagraph"/>
      </w:pPr>
      <w:r>
        <w:t xml:space="preserve">Longhorn ERP is intended to compete credibly for both small and large African organisations that make, move, and service physical goods. For that reason, three capability boundaries are explicit in the product architecture:</w:t>
      </w:r>
    </w:p>
    <w:p>
      <w:pPr>
        <w:pStyle w:val="Compact"/>
        <w:numPr>
          <w:ilvl w:val="0"/>
          <w:numId w:val="1003"/>
        </w:numPr>
      </w:pPr>
      <w:r>
        <w:rPr>
          <w:rStyle w:val="VerbatimChar"/>
        </w:rPr>
        <w:t xml:space="preserve">PLM</w:t>
      </w:r>
      <w:r>
        <w:t xml:space="preserve"> </w:t>
      </w:r>
      <w:r>
        <w:t xml:space="preserve">owns engineering truth: released revisions, engineering changes, technical documents, effectivity, and product lifecycle governance.</w:t>
      </w:r>
    </w:p>
    <w:p>
      <w:pPr>
        <w:pStyle w:val="Compact"/>
        <w:numPr>
          <w:ilvl w:val="0"/>
          <w:numId w:val="1003"/>
        </w:numPr>
      </w:pPr>
      <w:r>
        <w:rPr>
          <w:rStyle w:val="VerbatimChar"/>
        </w:rPr>
        <w:t xml:space="preserve">MANUFACTURING</w:t>
      </w:r>
      <w:r>
        <w:t xml:space="preserve"> </w:t>
      </w:r>
      <w:r>
        <w:t xml:space="preserve">owns production planning, shop-floor execution, costing, quality execution, and operational performance.</w:t>
      </w:r>
    </w:p>
    <w:p>
      <w:pPr>
        <w:pStyle w:val="Compact"/>
        <w:numPr>
          <w:ilvl w:val="0"/>
          <w:numId w:val="1003"/>
        </w:numPr>
      </w:pPr>
      <w:r>
        <w:rPr>
          <w:rStyle w:val="VerbatimChar"/>
        </w:rPr>
        <w:t xml:space="preserve">TRANSPORTATION</w:t>
      </w:r>
      <w:r>
        <w:t xml:space="preserve"> </w:t>
      </w:r>
      <w:r>
        <w:t xml:space="preserve">owns shipment planning, dispatch, route execution, transport visibility, and live fleet operations.</w:t>
      </w:r>
    </w:p>
    <w:p>
      <w:pPr>
        <w:pStyle w:val="FirstParagraph"/>
      </w:pPr>
      <w:r>
        <w:t xml:space="preserve">These boundaries are deliberate. They prevent engineering control, shop-floor execution, and transport operations from collapsing into one oversized module with weak governance.</w:t>
      </w:r>
    </w:p>
    <w:bookmarkEnd w:id="47"/>
    <w:bookmarkStart w:id="48" w:name="finance-excellence-note"/>
    <w:p>
      <w:pPr>
        <w:pStyle w:val="Heading2"/>
      </w:pPr>
      <w:r>
        <w:t xml:space="preserve">Finance Excellence Note</w:t>
      </w:r>
    </w:p>
    <w:p>
      <w:pPr>
        <w:pStyle w:val="FirstParagraph"/>
      </w:pPr>
      <w:r>
        <w:t xml:space="preserve">Longhorn ERP treats</w:t>
      </w:r>
      <w:r>
        <w:t xml:space="preserve"> </w:t>
      </w:r>
      <w:r>
        <w:rPr>
          <w:rStyle w:val="VerbatimChar"/>
        </w:rPr>
        <w:t xml:space="preserve">ACCOUNTING</w:t>
      </w:r>
      <w:r>
        <w:t xml:space="preserve"> </w:t>
      </w:r>
      <w:r>
        <w:t xml:space="preserve">as the financial system of record, not a basic bookkeeping add-on. The module is positioned to support both growing SMEs and larger multi-entity organisations that need disciplined finance operations without buying a separate finance stack.</w:t>
      </w:r>
    </w:p>
    <w:p>
      <w:pPr>
        <w:pStyle w:val="BodyText"/>
      </w:pPr>
      <w:r>
        <w:t xml:space="preserve">World-class finance capability in Longhorn ERP means:</w:t>
      </w:r>
    </w:p>
    <w:p>
      <w:pPr>
        <w:pStyle w:val="Compact"/>
        <w:numPr>
          <w:ilvl w:val="0"/>
          <w:numId w:val="1004"/>
        </w:numPr>
      </w:pPr>
      <w:r>
        <w:t xml:space="preserve">record-to-report discipline with controlled journal entry, subledger reconciliation, accounting periods, and audit-ready close evidence</w:t>
      </w:r>
    </w:p>
    <w:p>
      <w:pPr>
        <w:pStyle w:val="Compact"/>
        <w:numPr>
          <w:ilvl w:val="0"/>
          <w:numId w:val="1004"/>
        </w:numPr>
      </w:pPr>
      <w:r>
        <w:t xml:space="preserve">close orchestration with checklists, task ownership, dependency tracking, review steps, and exception visibility</w:t>
      </w:r>
    </w:p>
    <w:p>
      <w:pPr>
        <w:pStyle w:val="Compact"/>
        <w:numPr>
          <w:ilvl w:val="0"/>
          <w:numId w:val="1004"/>
        </w:numPr>
      </w:pPr>
      <w:r>
        <w:t xml:space="preserve">consolidation foundations with legal-entity structures, intercompany readiness, elimination support, and group reporting preparation</w:t>
      </w:r>
    </w:p>
    <w:p>
      <w:pPr>
        <w:pStyle w:val="Compact"/>
        <w:numPr>
          <w:ilvl w:val="0"/>
          <w:numId w:val="1004"/>
        </w:numPr>
      </w:pPr>
      <w:r>
        <w:t xml:space="preserve">finance controls, workflow, and approvals with maker-checker patterns, approval thresholds, segregation of duties, and policy-enforced posting controls</w:t>
      </w:r>
    </w:p>
    <w:p>
      <w:pPr>
        <w:pStyle w:val="Compact"/>
        <w:numPr>
          <w:ilvl w:val="0"/>
          <w:numId w:val="1004"/>
        </w:numPr>
      </w:pPr>
      <w:r>
        <w:t xml:space="preserve">reporting foundations with trusted dimensional reporting, management packs, statutory statements, board reporting, and analytics-ready finance data</w:t>
      </w:r>
    </w:p>
    <w:p>
      <w:pPr>
        <w:pStyle w:val="FirstParagraph"/>
      </w:pPr>
      <w:r>
        <w:t xml:space="preserve">This positioning is deliberate.</w:t>
      </w:r>
      <w:r>
        <w:t xml:space="preserve"> </w:t>
      </w:r>
      <w:r>
        <w:rPr>
          <w:rStyle w:val="VerbatimChar"/>
        </w:rPr>
        <w:t xml:space="preserve">ACCOUNTING</w:t>
      </w:r>
      <w:r>
        <w:t xml:space="preserve"> </w:t>
      </w:r>
      <w:r>
        <w:t xml:space="preserve">remains the core module, while advanced finance excellence is delivered as depth within the same bounded capability so Longhorn ERP can scale from small African businesses to regional enterprise groups without fragmenting the finance operating model.</w:t>
      </w:r>
    </w:p>
    <w:bookmarkEnd w:id="48"/>
    <w:bookmarkEnd w:id="49"/>
    <w:bookmarkStart w:id="58" w:name="competitive-positioning"/>
    <w:p>
      <w:pPr>
        <w:pStyle w:val="Heading1"/>
      </w:pPr>
      <w:r>
        <w:t xml:space="preserve">Competitive Positioning</w:t>
      </w:r>
    </w:p>
    <w:bookmarkStart w:id="50" w:name="market-context"/>
    <w:p>
      <w:pPr>
        <w:pStyle w:val="Heading2"/>
      </w:pPr>
      <w:r>
        <w:t xml:space="preserve">Market Context</w:t>
      </w:r>
    </w:p>
    <w:p>
      <w:pPr>
        <w:pStyle w:val="FirstParagraph"/>
      </w:pPr>
      <w:r>
        <w:t xml:space="preserve">The ERP market in Uganda is served predominantly by international vendors priced for global enterprise budgets. The total cost of ownership (TCO) for a mid-sized Ugandan organisation adopting SAP, Oracle, or Dynamics includes not just the licence fee but a multi-month implementation project delivered by a local consulting partner — frequently exceeding UGX 100M before a single user logs in. Odoo and ERPNext lower the licence cost but preserve the implementation barrier. Longhorn ERP is designed to eliminate both barriers simultaneously.</w:t>
      </w:r>
    </w:p>
    <w:p>
      <w:pPr>
        <w:pStyle w:val="BodyText"/>
      </w:pPr>
      <w:r>
        <w:t xml:space="preserve">The full cost comparison table appears in Section 2. The following analysis expands on the five key competitive advantages.</w:t>
      </w:r>
    </w:p>
    <w:bookmarkEnd w:id="50"/>
    <w:bookmarkStart w:id="56" w:name="X76c8c33d32d5c0e3360f8ab11a513094d3223d5"/>
    <w:p>
      <w:pPr>
        <w:pStyle w:val="Heading2"/>
      </w:pPr>
      <w:r>
        <w:t xml:space="preserve">5 Key Competitive Advantages</w:t>
      </w:r>
    </w:p>
    <w:bookmarkStart w:id="51" w:name="X46c69c95a0b55c263e712b76e07e6245d46b018"/>
    <w:p>
      <w:pPr>
        <w:pStyle w:val="Heading3"/>
      </w:pPr>
      <w:r>
        <w:t xml:space="preserve">1. UGX-Denominated Pricing</w:t>
      </w:r>
    </w:p>
    <w:p>
      <w:pPr>
        <w:pStyle w:val="FirstParagraph"/>
      </w:pPr>
      <w:r>
        <w:t xml:space="preserve">Longhorn ERP is priced in Ugandan Shillings. Competitors bill in USD or EUR, exposing clients to exchange rate fluctuation. For a Ugandan organisation with UGX revenue, a USD-denominated SaaS subscription is a currency risk as well as a cost. Longhorn ERP removes this entirely.</w:t>
      </w:r>
    </w:p>
    <w:bookmarkEnd w:id="51"/>
    <w:bookmarkStart w:id="52" w:name="X71f737682fe7201dc17de9580c7b5d6a20f0a69"/>
    <w:p>
      <w:pPr>
        <w:pStyle w:val="Heading3"/>
      </w:pPr>
      <w:r>
        <w:t xml:space="preserve">2. Organisation-Wide Pricing — No Per-Seat Fees</w:t>
      </w:r>
    </w:p>
    <w:p>
      <w:pPr>
        <w:pStyle w:val="FirstParagraph"/>
      </w:pPr>
      <w:r>
        <w:t xml:space="preserve">Every subscription tier covers the entire organisation at a flat monthly rate. A company adding its 16th user pays nothing more than a company with 15. This is the primary structural differentiator versus Odoo, Dynamics, and NetSuite, all of which charge per named user. An organisation growing from 15 to 30 employees on Longhorn ERP sees zero incremental cost until it crosses a tier threshold.</w:t>
      </w:r>
    </w:p>
    <w:bookmarkEnd w:id="52"/>
    <w:bookmarkStart w:id="53" w:name="X8b49be4ded8a60af879d601a7d09652a6133cee"/>
    <w:p>
      <w:pPr>
        <w:pStyle w:val="Heading3"/>
      </w:pPr>
      <w:r>
        <w:t xml:space="preserve">3. Zero Mandatory Training</w:t>
      </w:r>
    </w:p>
    <w:p>
      <w:pPr>
        <w:pStyle w:val="FirstParagraph"/>
      </w:pPr>
      <w:r>
        <w:t xml:space="preserve">The Golden Rule governs every interface design decision. No onboarding consultant, no training day, and no user manual is required before a new employee can perform their role in the system. This is enforced through a ≥ 85% unassisted task success rate requirement on 5 benchmark tasks. Competitors with complex configuration UIs, multi-step wizards, and role-based menus that require administrator setup cannot make this claim.</w:t>
      </w:r>
    </w:p>
    <w:bookmarkEnd w:id="53"/>
    <w:bookmarkStart w:id="54" w:name="Xddf462855bdb8a79e019aa4bfa067b53af6097b"/>
    <w:p>
      <w:pPr>
        <w:pStyle w:val="Heading3"/>
      </w:pPr>
      <w:r>
        <w:t xml:space="preserve">4. Africa-Native Integrations</w:t>
      </w:r>
    </w:p>
    <w:p>
      <w:pPr>
        <w:pStyle w:val="FirstParagraph"/>
      </w:pPr>
      <w:r>
        <w:t xml:space="preserve">Longhorn ERP ships with native integrations for EFRIS (Uganda VAT invoicing), MTN MoMo (Uganda, Rwanda), Airtel Money (Uganda, Kenya, Tanzania), and M-Pesa Daraja B2C (Kenya, Tanzania). No international competitor offers these integrations out of the box. A Ugandan organisation using SAP or NetSuite must build or buy these integrations separately.</w:t>
      </w:r>
    </w:p>
    <w:bookmarkEnd w:id="54"/>
    <w:bookmarkStart w:id="55" w:name="X6c74a3168e57cc811916e793323e24e67ba5808"/>
    <w:p>
      <w:pPr>
        <w:pStyle w:val="Heading3"/>
      </w:pPr>
      <w:r>
        <w:t xml:space="preserve">5. Fully Hosted SaaS — No Implementation Fee</w:t>
      </w:r>
    </w:p>
    <w:p>
      <w:pPr>
        <w:pStyle w:val="FirstParagraph"/>
      </w:pPr>
      <w:r>
        <w:t xml:space="preserve">Longhorn ERP is a fully managed SaaS platform. There is no on-premise installation, no server procurement, no database configuration, and no implementation project. A new tenant is provisioned and live in ≤ 10 minutes. The total cost from purchase decision to first live transaction is one subscription payment.</w:t>
      </w:r>
    </w:p>
    <w:bookmarkEnd w:id="55"/>
    <w:bookmarkEnd w:id="56"/>
    <w:bookmarkStart w:id="57" w:name="positioning-summary"/>
    <w:p>
      <w:pPr>
        <w:pStyle w:val="Heading2"/>
      </w:pPr>
      <w:r>
        <w:t xml:space="preserve">Positioning Summary</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Dimension</w:t>
            </w:r>
          </w:p>
        </w:tc>
        <w:tc>
          <w:tcPr/>
          <w:p>
            <w:pPr>
              <w:pStyle w:val="Compact"/>
            </w:pPr>
            <w:r>
              <w:t xml:space="preserve">SAP / Oracle</w:t>
            </w:r>
          </w:p>
        </w:tc>
        <w:tc>
          <w:tcPr/>
          <w:p>
            <w:pPr>
              <w:pStyle w:val="Compact"/>
            </w:pPr>
            <w:r>
              <w:t xml:space="preserve">Odoo / ERPNext</w:t>
            </w:r>
          </w:p>
        </w:tc>
        <w:tc>
          <w:tcPr/>
          <w:p>
            <w:pPr>
              <w:pStyle w:val="Compact"/>
            </w:pPr>
            <w:r>
              <w:t xml:space="preserve">Longhorn ERP</w:t>
            </w:r>
          </w:p>
        </w:tc>
      </w:tr>
      <w:tr>
        <w:tc>
          <w:tcPr/>
          <w:p>
            <w:pPr>
              <w:pStyle w:val="Compact"/>
            </w:pPr>
            <w:r>
              <w:t xml:space="preserve">Pricing</w:t>
            </w:r>
          </w:p>
        </w:tc>
        <w:tc>
          <w:tcPr/>
          <w:p>
            <w:pPr>
              <w:pStyle w:val="Compact"/>
            </w:pPr>
            <w:r>
              <w:t xml:space="preserve">USD, per-seat or per-module</w:t>
            </w:r>
          </w:p>
        </w:tc>
        <w:tc>
          <w:tcPr/>
          <w:p>
            <w:pPr>
              <w:pStyle w:val="Compact"/>
            </w:pPr>
            <w:r>
              <w:t xml:space="preserve">USD, per-seat</w:t>
            </w:r>
          </w:p>
        </w:tc>
        <w:tc>
          <w:tcPr/>
          <w:p>
            <w:pPr>
              <w:pStyle w:val="Compact"/>
            </w:pPr>
            <w:r>
              <w:t xml:space="preserve">UGX, per-organisation</w:t>
            </w:r>
          </w:p>
        </w:tc>
      </w:tr>
      <w:tr>
        <w:tc>
          <w:tcPr/>
          <w:p>
            <w:pPr>
              <w:pStyle w:val="Compact"/>
            </w:pPr>
            <w:r>
              <w:t xml:space="preserve">Implementation cost</w:t>
            </w:r>
          </w:p>
        </w:tc>
        <w:tc>
          <w:tcPr/>
          <w:p>
            <w:pPr>
              <w:pStyle w:val="Compact"/>
            </w:pPr>
            <w:r>
              <w:t xml:space="preserve">UGX 75M–375M</w:t>
            </w:r>
          </w:p>
        </w:tc>
        <w:tc>
          <w:tcPr/>
          <w:p>
            <w:pPr>
              <w:pStyle w:val="Compact"/>
            </w:pPr>
            <w:r>
              <w:t xml:space="preserve">UGX 56M–300M</w:t>
            </w:r>
          </w:p>
        </w:tc>
        <w:tc>
          <w:tcPr/>
          <w:p>
            <w:pPr>
              <w:pStyle w:val="Compact"/>
            </w:pPr>
            <w:r>
              <w:t xml:space="preserve">UGX 0</w:t>
            </w:r>
          </w:p>
        </w:tc>
      </w:tr>
      <w:tr>
        <w:tc>
          <w:tcPr/>
          <w:p>
            <w:pPr>
              <w:pStyle w:val="Compact"/>
            </w:pPr>
            <w:r>
              <w:t xml:space="preserve">Time to first use</w:t>
            </w:r>
          </w:p>
        </w:tc>
        <w:tc>
          <w:tcPr/>
          <w:p>
            <w:pPr>
              <w:pStyle w:val="Compact"/>
            </w:pPr>
            <w:r>
              <w:t xml:space="preserve">3–12 months</w:t>
            </w:r>
          </w:p>
        </w:tc>
        <w:tc>
          <w:tcPr/>
          <w:p>
            <w:pPr>
              <w:pStyle w:val="Compact"/>
            </w:pPr>
            <w:r>
              <w:t xml:space="preserve">1–6 months</w:t>
            </w:r>
          </w:p>
        </w:tc>
        <w:tc>
          <w:tcPr/>
          <w:p>
            <w:pPr>
              <w:pStyle w:val="Compact"/>
            </w:pPr>
            <w:r>
              <w:t xml:space="preserve">≤ 10 minutes</w:t>
            </w:r>
          </w:p>
        </w:tc>
      </w:tr>
      <w:tr>
        <w:tc>
          <w:tcPr/>
          <w:p>
            <w:pPr>
              <w:pStyle w:val="Compact"/>
            </w:pPr>
            <w:r>
              <w:t xml:space="preserve">Africa integrations (MoMo, EFRIS)</w:t>
            </w:r>
          </w:p>
        </w:tc>
        <w:tc>
          <w:tcPr/>
          <w:p>
            <w:pPr>
              <w:pStyle w:val="Compact"/>
            </w:pPr>
            <w:r>
              <w:t xml:space="preserve">Requires custom development</w:t>
            </w:r>
          </w:p>
        </w:tc>
        <w:tc>
          <w:tcPr/>
          <w:p>
            <w:pPr>
              <w:pStyle w:val="Compact"/>
            </w:pPr>
            <w:r>
              <w:t xml:space="preserve">Requires custom module</w:t>
            </w:r>
          </w:p>
        </w:tc>
        <w:tc>
          <w:tcPr/>
          <w:p>
            <w:pPr>
              <w:pStyle w:val="Compact"/>
            </w:pPr>
            <w:r>
              <w:t xml:space="preserve">Included</w:t>
            </w:r>
          </w:p>
        </w:tc>
      </w:tr>
      <w:tr>
        <w:tc>
          <w:tcPr/>
          <w:p>
            <w:pPr>
              <w:pStyle w:val="Compact"/>
            </w:pPr>
            <w:r>
              <w:t xml:space="preserve">Mandatory training</w:t>
            </w:r>
          </w:p>
        </w:tc>
        <w:tc>
          <w:tcPr/>
          <w:p>
            <w:pPr>
              <w:pStyle w:val="Compact"/>
            </w:pPr>
            <w:r>
              <w:t xml:space="preserve">Required</w:t>
            </w:r>
          </w:p>
        </w:tc>
        <w:tc>
          <w:tcPr/>
          <w:p>
            <w:pPr>
              <w:pStyle w:val="Compact"/>
            </w:pPr>
            <w:r>
              <w:t xml:space="preserve">Required</w:t>
            </w:r>
          </w:p>
        </w:tc>
        <w:tc>
          <w:tcPr/>
          <w:p>
            <w:pPr>
              <w:pStyle w:val="Compact"/>
            </w:pPr>
            <w:r>
              <w:t xml:space="preserve">None — Golden Rule enforced</w:t>
            </w:r>
          </w:p>
        </w:tc>
      </w:tr>
      <w:tr>
        <w:tc>
          <w:tcPr/>
          <w:p>
            <w:pPr>
              <w:pStyle w:val="Compact"/>
            </w:pPr>
            <w:r>
              <w:t xml:space="preserve">Hosting model</w:t>
            </w:r>
          </w:p>
        </w:tc>
        <w:tc>
          <w:tcPr/>
          <w:p>
            <w:pPr>
              <w:pStyle w:val="Compact"/>
            </w:pPr>
            <w:r>
              <w:t xml:space="preserve">On-premise or partner-hosted</w:t>
            </w:r>
          </w:p>
        </w:tc>
        <w:tc>
          <w:tcPr/>
          <w:p>
            <w:pPr>
              <w:pStyle w:val="Compact"/>
            </w:pPr>
            <w:r>
              <w:t xml:space="preserve">On-premise or partner-hosted</w:t>
            </w:r>
          </w:p>
        </w:tc>
        <w:tc>
          <w:tcPr/>
          <w:p>
            <w:pPr>
              <w:pStyle w:val="Compact"/>
            </w:pPr>
            <w:r>
              <w:t xml:space="preserve">Fully managed SaaS</w:t>
            </w:r>
          </w:p>
        </w:tc>
      </w:tr>
    </w:tbl>
    <w:bookmarkEnd w:id="57"/>
    <w:bookmarkEnd w:id="58"/>
    <w:bookmarkStart w:id="66" w:name="revenue-model"/>
    <w:p>
      <w:pPr>
        <w:pStyle w:val="Heading1"/>
      </w:pPr>
      <w:r>
        <w:t xml:space="preserve">Revenue Model</w:t>
      </w:r>
    </w:p>
    <w:bookmarkStart w:id="59" w:name="subscription-tiers"/>
    <w:p>
      <w:pPr>
        <w:pStyle w:val="Heading2"/>
      </w:pPr>
      <w:r>
        <w:t xml:space="preserve">Subscription Tiers</w:t>
      </w:r>
    </w:p>
    <w:p>
      <w:pPr>
        <w:pStyle w:val="FirstParagraph"/>
      </w:pPr>
      <w:r>
        <w:t xml:space="preserve">All prices are in Ugandan Shillings (UGX). No per-seat fees apply at any tier. The price covers the entire organisation.</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Plan</w:t>
            </w:r>
          </w:p>
        </w:tc>
        <w:tc>
          <w:tcPr/>
          <w:p>
            <w:pPr>
              <w:pStyle w:val="Compact"/>
            </w:pPr>
            <w:r>
              <w:t xml:space="preserve">UGX/month</w:t>
            </w:r>
          </w:p>
        </w:tc>
        <w:tc>
          <w:tcPr/>
          <w:p>
            <w:pPr>
              <w:pStyle w:val="Compact"/>
            </w:pPr>
            <w:r>
              <w:t xml:space="preserve">USD equiv.</w:t>
            </w:r>
          </w:p>
        </w:tc>
        <w:tc>
          <w:tcPr/>
          <w:p>
            <w:pPr>
              <w:pStyle w:val="Compact"/>
            </w:pPr>
            <w:r>
              <w:t xml:space="preserve">Users</w:t>
            </w:r>
          </w:p>
        </w:tc>
        <w:tc>
          <w:tcPr/>
          <w:p>
            <w:pPr>
              <w:pStyle w:val="Compact"/>
            </w:pPr>
            <w:r>
              <w:t xml:space="preserve">Branches</w:t>
            </w:r>
          </w:p>
        </w:tc>
        <w:tc>
          <w:tcPr/>
          <w:p>
            <w:pPr>
              <w:pStyle w:val="Compact"/>
            </w:pPr>
            <w:r>
              <w:t xml:space="preserve">Add-Ons Included</w:t>
            </w:r>
          </w:p>
        </w:tc>
      </w:tr>
      <w:tr>
        <w:tc>
          <w:tcPr/>
          <w:p>
            <w:pPr>
              <w:pStyle w:val="Compact"/>
            </w:pPr>
            <w:r>
              <w:t xml:space="preserve">Starter</w:t>
            </w:r>
          </w:p>
        </w:tc>
        <w:tc>
          <w:tcPr/>
          <w:p>
            <w:pPr>
              <w:pStyle w:val="Compact"/>
            </w:pPr>
            <w:r>
              <w:t xml:space="preserve">250,000</w:t>
            </w:r>
          </w:p>
        </w:tc>
        <w:tc>
          <w:tcPr/>
          <w:p>
            <w:pPr>
              <w:pStyle w:val="Compact"/>
            </w:pPr>
            <w:r>
              <w:t xml:space="preserve">~$67</w:t>
            </w:r>
          </w:p>
        </w:tc>
        <w:tc>
          <w:tcPr/>
          <w:p>
            <w:pPr>
              <w:pStyle w:val="Compact"/>
            </w:pPr>
            <w:r>
              <w:t xml:space="preserve">Up to 5</w:t>
            </w:r>
          </w:p>
        </w:tc>
        <w:tc>
          <w:tcPr/>
          <w:p>
            <w:pPr>
              <w:pStyle w:val="Compact"/>
            </w:pPr>
            <w:r>
              <w:t xml:space="preserve">Up to 2</w:t>
            </w:r>
          </w:p>
        </w:tc>
        <w:tc>
          <w:tcPr/>
          <w:p>
            <w:pPr>
              <w:pStyle w:val="Compact"/>
            </w:pPr>
            <w:r>
              <w:t xml:space="preserve">Core 6 modules only</w:t>
            </w:r>
          </w:p>
        </w:tc>
      </w:tr>
      <w:tr>
        <w:tc>
          <w:tcPr/>
          <w:p>
            <w:pPr>
              <w:pStyle w:val="Compact"/>
            </w:pPr>
            <w:r>
              <w:t xml:space="preserve">Small Business</w:t>
            </w:r>
          </w:p>
        </w:tc>
        <w:tc>
          <w:tcPr/>
          <w:p>
            <w:pPr>
              <w:pStyle w:val="Compact"/>
            </w:pPr>
            <w:r>
              <w:t xml:space="preserve">500,000</w:t>
            </w:r>
          </w:p>
        </w:tc>
        <w:tc>
          <w:tcPr/>
          <w:p>
            <w:pPr>
              <w:pStyle w:val="Compact"/>
            </w:pPr>
            <w:r>
              <w:t xml:space="preserve">~$133</w:t>
            </w:r>
          </w:p>
        </w:tc>
        <w:tc>
          <w:tcPr/>
          <w:p>
            <w:pPr>
              <w:pStyle w:val="Compact"/>
            </w:pPr>
            <w:r>
              <w:t xml:space="preserve">Up to 15</w:t>
            </w:r>
          </w:p>
        </w:tc>
        <w:tc>
          <w:tcPr/>
          <w:p>
            <w:pPr>
              <w:pStyle w:val="Compact"/>
            </w:pPr>
            <w:r>
              <w:t xml:space="preserve">Up to 5</w:t>
            </w:r>
          </w:p>
        </w:tc>
        <w:tc>
          <w:tcPr/>
          <w:p>
            <w:pPr>
              <w:pStyle w:val="Compact"/>
            </w:pPr>
            <w:r>
              <w:t xml:space="preserve">Core + any 2 add-ons</w:t>
            </w:r>
          </w:p>
        </w:tc>
      </w:tr>
      <w:tr>
        <w:tc>
          <w:tcPr/>
          <w:p>
            <w:pPr>
              <w:pStyle w:val="Compact"/>
            </w:pPr>
            <w:r>
              <w:t xml:space="preserve">Professional</w:t>
            </w:r>
          </w:p>
        </w:tc>
        <w:tc>
          <w:tcPr/>
          <w:p>
            <w:pPr>
              <w:pStyle w:val="Compact"/>
            </w:pPr>
            <w:r>
              <w:t xml:space="preserve">1,000,000</w:t>
            </w:r>
          </w:p>
        </w:tc>
        <w:tc>
          <w:tcPr/>
          <w:p>
            <w:pPr>
              <w:pStyle w:val="Compact"/>
            </w:pPr>
            <w:r>
              <w:t xml:space="preserve">~$267</w:t>
            </w:r>
          </w:p>
        </w:tc>
        <w:tc>
          <w:tcPr/>
          <w:p>
            <w:pPr>
              <w:pStyle w:val="Compact"/>
            </w:pPr>
            <w:r>
              <w:t xml:space="preserve">Up to 30</w:t>
            </w:r>
          </w:p>
        </w:tc>
        <w:tc>
          <w:tcPr/>
          <w:p>
            <w:pPr>
              <w:pStyle w:val="Compact"/>
            </w:pPr>
            <w:r>
              <w:t xml:space="preserve">Up to 10</w:t>
            </w:r>
          </w:p>
        </w:tc>
        <w:tc>
          <w:tcPr/>
          <w:p>
            <w:pPr>
              <w:pStyle w:val="Compact"/>
            </w:pPr>
            <w:r>
              <w:t xml:space="preserve">Core + any 5 add-ons</w:t>
            </w:r>
          </w:p>
        </w:tc>
      </w:tr>
      <w:tr>
        <w:tc>
          <w:tcPr/>
          <w:p>
            <w:pPr>
              <w:pStyle w:val="Compact"/>
            </w:pPr>
            <w:r>
              <w:t xml:space="preserve">Business</w:t>
            </w:r>
          </w:p>
        </w:tc>
        <w:tc>
          <w:tcPr/>
          <w:p>
            <w:pPr>
              <w:pStyle w:val="Compact"/>
            </w:pPr>
            <w:r>
              <w:t xml:space="preserve">1,750,000</w:t>
            </w:r>
          </w:p>
        </w:tc>
        <w:tc>
          <w:tcPr/>
          <w:p>
            <w:pPr>
              <w:pStyle w:val="Compact"/>
            </w:pPr>
            <w:r>
              <w:t xml:space="preserve">~$467</w:t>
            </w:r>
          </w:p>
        </w:tc>
        <w:tc>
          <w:tcPr/>
          <w:p>
            <w:pPr>
              <w:pStyle w:val="Compact"/>
            </w:pPr>
            <w:r>
              <w:t xml:space="preserve">Up to 60</w:t>
            </w:r>
          </w:p>
        </w:tc>
        <w:tc>
          <w:tcPr/>
          <w:p>
            <w:pPr>
              <w:pStyle w:val="Compact"/>
            </w:pPr>
            <w:r>
              <w:t xml:space="preserve">Up to 20</w:t>
            </w:r>
          </w:p>
        </w:tc>
        <w:tc>
          <w:tcPr/>
          <w:p>
            <w:pPr>
              <w:pStyle w:val="Compact"/>
            </w:pPr>
            <w:r>
              <w:t xml:space="preserve">Core + all add-ons</w:t>
            </w:r>
          </w:p>
        </w:tc>
      </w:tr>
      <w:tr>
        <w:tc>
          <w:tcPr/>
          <w:p>
            <w:pPr>
              <w:pStyle w:val="Compact"/>
            </w:pPr>
            <w:r>
              <w:t xml:space="preserve">Enterprise</w:t>
            </w:r>
          </w:p>
        </w:tc>
        <w:tc>
          <w:tcPr/>
          <w:p>
            <w:pPr>
              <w:pStyle w:val="Compact"/>
            </w:pPr>
            <w:r>
              <w:t xml:space="preserve">2,500,000</w:t>
            </w:r>
          </w:p>
        </w:tc>
        <w:tc>
          <w:tcPr/>
          <w:p>
            <w:pPr>
              <w:pStyle w:val="Compact"/>
            </w:pPr>
            <w:r>
              <w:t xml:space="preserve">~$667</w:t>
            </w:r>
          </w:p>
        </w:tc>
        <w:tc>
          <w:tcPr/>
          <w:p>
            <w:pPr>
              <w:pStyle w:val="Compact"/>
            </w:pPr>
            <w:r>
              <w:t xml:space="preserve">Unlimited</w:t>
            </w:r>
          </w:p>
        </w:tc>
        <w:tc>
          <w:tcPr/>
          <w:p>
            <w:pPr>
              <w:pStyle w:val="Compact"/>
            </w:pPr>
            <w:r>
              <w:t xml:space="preserve">Unlimited</w:t>
            </w:r>
          </w:p>
        </w:tc>
        <w:tc>
          <w:tcPr/>
          <w:p>
            <w:pPr>
              <w:pStyle w:val="Compact"/>
            </w:pPr>
            <w:r>
              <w:t xml:space="preserve">All modules + priority support + dedicated onboarding</w:t>
            </w:r>
          </w:p>
        </w:tc>
      </w:tr>
    </w:tbl>
    <w:p>
      <w:pPr>
        <w:pStyle w:val="BodyText"/>
      </w:pPr>
      <w:r>
        <w:rPr>
          <w:i/>
          <w:iCs/>
        </w:rPr>
        <w:t xml:space="preserve">USD equivalents at ~UGX 3,750/$1.</w:t>
      </w:r>
    </w:p>
    <w:p>
      <w:pPr>
        <w:pStyle w:val="BodyText"/>
      </w:pPr>
      <w:r>
        <w:rPr>
          <w:i/>
          <w:iCs/>
        </w:rPr>
        <w:t xml:space="preserve">Starter locks out all add-on modules. Upgrade to Small Business or above to activate add-ons.</w:t>
      </w:r>
    </w:p>
    <w:bookmarkEnd w:id="59"/>
    <w:bookmarkStart w:id="60" w:name="annual-billing-incentive"/>
    <w:p>
      <w:pPr>
        <w:pStyle w:val="Heading2"/>
      </w:pPr>
      <w:r>
        <w:t xml:space="preserve">Annual Billing Incentive</w:t>
      </w:r>
    </w:p>
    <w:p>
      <w:pPr>
        <w:pStyle w:val="FirstParagraph"/>
      </w:pPr>
      <w:r>
        <w:t xml:space="preserve">Tenants who pay annually receive 12 months of access for the price of 10 months — 2 months free. Annual billing is pre-paid. No refunds are issued for early cancellation under annual contracts. Annual billing reduces churn and provides working capital for platform development.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Billing Cycle</w:t>
            </w:r>
          </w:p>
        </w:tc>
        <w:tc>
          <w:tcPr/>
          <w:p>
            <w:pPr>
              <w:pStyle w:val="Compact"/>
            </w:pPr>
            <w:r>
              <w:t xml:space="preserve">Charge</w:t>
            </w:r>
          </w:p>
        </w:tc>
        <w:tc>
          <w:tcPr/>
          <w:p>
            <w:pPr>
              <w:pStyle w:val="Compact"/>
            </w:pPr>
            <w:r>
              <w:t xml:space="preserve">Effective Monthly Rate</w:t>
            </w:r>
          </w:p>
        </w:tc>
      </w:tr>
      <w:tr>
        <w:tc>
          <w:tcPr/>
          <w:p>
            <w:pPr>
              <w:pStyle w:val="Compact"/>
            </w:pPr>
            <w:r>
              <w:t xml:space="preserve">Monthly</w:t>
            </w:r>
          </w:p>
        </w:tc>
        <w:tc>
          <w:tcPr/>
          <w:p>
            <w:pPr>
              <w:pStyle w:val="Compact"/>
            </w:pPr>
            <w:r>
              <w:t xml:space="preserve">12 × monthly rate</w:t>
            </w:r>
          </w:p>
        </w:tc>
        <w:tc>
          <w:tcPr/>
          <w:p>
            <w:pPr>
              <w:pStyle w:val="Compact"/>
            </w:pPr>
            <w:r>
              <w:t xml:space="preserve">100% of monthly rate</w:t>
            </w:r>
          </w:p>
        </w:tc>
      </w:tr>
      <w:tr>
        <w:tc>
          <w:tcPr/>
          <w:p>
            <w:pPr>
              <w:pStyle w:val="Compact"/>
            </w:pPr>
            <w:r>
              <w:t xml:space="preserve">Annual</w:t>
            </w:r>
          </w:p>
        </w:tc>
        <w:tc>
          <w:tcPr/>
          <w:p>
            <w:pPr>
              <w:pStyle w:val="Compact"/>
            </w:pPr>
            <w:r>
              <w:t xml:space="preserve">10 × monthly rate</w:t>
            </w:r>
          </w:p>
        </w:tc>
        <w:tc>
          <w:tcPr/>
          <w:p>
            <w:pPr>
              <w:pStyle w:val="Compact"/>
            </w:pPr>
            <w:r>
              <w:t xml:space="preserve">83.3% of monthly rate</w:t>
            </w:r>
          </w:p>
        </w:tc>
      </w:tr>
    </w:tbl>
    <w:bookmarkEnd w:id="60"/>
    <w:bookmarkStart w:id="61" w:name="a-la-carte-add-on-pricing"/>
    <w:p>
      <w:pPr>
        <w:pStyle w:val="Heading2"/>
      </w:pPr>
      <w:r>
        <w:t xml:space="preserve">A-La-Carte Add-On Pricing</w:t>
      </w:r>
    </w:p>
    <w:p>
      <w:pPr>
        <w:pStyle w:val="FirstParagraph"/>
      </w:pPr>
      <w:r>
        <w:t xml:space="preserve">A-la-carte pricing applies to Small Business and Professional plans only. Business and Enterprise plans include all add-ons.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Module</w:t>
            </w:r>
          </w:p>
        </w:tc>
        <w:tc>
          <w:tcPr/>
          <w:p>
            <w:pPr>
              <w:pStyle w:val="Compact"/>
            </w:pPr>
            <w:r>
              <w:t xml:space="preserve">UGX/month</w:t>
            </w:r>
          </w:p>
        </w:tc>
        <w:tc>
          <w:tcPr/>
          <w:p>
            <w:pPr>
              <w:pStyle w:val="Compact"/>
            </w:pPr>
            <w:r>
              <w:t xml:space="preserve">USD equiv.</w:t>
            </w:r>
          </w:p>
        </w:tc>
      </w:tr>
      <w:tr>
        <w:tc>
          <w:tcPr/>
          <w:p>
            <w:pPr>
              <w:pStyle w:val="Compact"/>
            </w:pPr>
            <w:r>
              <w:t xml:space="preserve">HR &amp; Payroll</w:t>
            </w:r>
          </w:p>
        </w:tc>
        <w:tc>
          <w:tcPr/>
          <w:p>
            <w:pPr>
              <w:pStyle w:val="Compact"/>
            </w:pPr>
            <w:r>
              <w:t xml:space="preserve">150,000</w:t>
            </w:r>
          </w:p>
        </w:tc>
        <w:tc>
          <w:tcPr/>
          <w:p>
            <w:pPr>
              <w:pStyle w:val="Compact"/>
            </w:pPr>
            <w:r>
              <w:t xml:space="preserve">~$40</w:t>
            </w:r>
          </w:p>
        </w:tc>
      </w:tr>
      <w:tr>
        <w:tc>
          <w:tcPr/>
          <w:p>
            <w:pPr>
              <w:pStyle w:val="Compact"/>
            </w:pPr>
            <w:r>
              <w:t xml:space="preserve">Advanced Inventory</w:t>
            </w:r>
          </w:p>
        </w:tc>
        <w:tc>
          <w:tcPr/>
          <w:p>
            <w:pPr>
              <w:pStyle w:val="Compact"/>
            </w:pPr>
            <w:r>
              <w:t xml:space="preserve">150,000</w:t>
            </w:r>
          </w:p>
        </w:tc>
        <w:tc>
          <w:tcPr/>
          <w:p>
            <w:pPr>
              <w:pStyle w:val="Compact"/>
            </w:pPr>
            <w:r>
              <w:t xml:space="preserve">~$40</w:t>
            </w:r>
          </w:p>
        </w:tc>
      </w:tr>
      <w:tr>
        <w:tc>
          <w:tcPr/>
          <w:p>
            <w:pPr>
              <w:pStyle w:val="Compact"/>
            </w:pPr>
            <w:r>
              <w:t xml:space="preserve">Project Management</w:t>
            </w:r>
          </w:p>
        </w:tc>
        <w:tc>
          <w:tcPr/>
          <w:p>
            <w:pPr>
              <w:pStyle w:val="Compact"/>
            </w:pPr>
            <w:r>
              <w:t xml:space="preserve">150,000</w:t>
            </w:r>
          </w:p>
        </w:tc>
        <w:tc>
          <w:tcPr/>
          <w:p>
            <w:pPr>
              <w:pStyle w:val="Compact"/>
            </w:pPr>
            <w:r>
              <w:t xml:space="preserve">~$40</w:t>
            </w:r>
          </w:p>
        </w:tc>
      </w:tr>
      <w:tr>
        <w:tc>
          <w:tcPr/>
          <w:p>
            <w:pPr>
              <w:pStyle w:val="Compact"/>
            </w:pPr>
            <w:r>
              <w:t xml:space="preserve">Sales &amp; CRM</w:t>
            </w:r>
          </w:p>
        </w:tc>
        <w:tc>
          <w:tcPr/>
          <w:p>
            <w:pPr>
              <w:pStyle w:val="Compact"/>
            </w:pPr>
            <w:r>
              <w:t xml:space="preserve">120,000</w:t>
            </w:r>
          </w:p>
        </w:tc>
        <w:tc>
          <w:tcPr/>
          <w:p>
            <w:pPr>
              <w:pStyle w:val="Compact"/>
            </w:pPr>
            <w:r>
              <w:t xml:space="preserve">~$32</w:t>
            </w:r>
          </w:p>
        </w:tc>
      </w:tr>
      <w:tr>
        <w:tc>
          <w:tcPr/>
          <w:p>
            <w:pPr>
              <w:pStyle w:val="Compact"/>
            </w:pPr>
            <w:r>
              <w:t xml:space="preserve">Strategy &amp; BSC</w:t>
            </w:r>
          </w:p>
        </w:tc>
        <w:tc>
          <w:tcPr/>
          <w:p>
            <w:pPr>
              <w:pStyle w:val="Compact"/>
            </w:pPr>
            <w:r>
              <w:t xml:space="preserve">120,000</w:t>
            </w:r>
          </w:p>
        </w:tc>
        <w:tc>
          <w:tcPr/>
          <w:p>
            <w:pPr>
              <w:pStyle w:val="Compact"/>
            </w:pPr>
            <w:r>
              <w:t xml:space="preserve">~$32</w:t>
            </w:r>
          </w:p>
        </w:tc>
      </w:tr>
      <w:tr>
        <w:tc>
          <w:tcPr/>
          <w:p>
            <w:pPr>
              <w:pStyle w:val="Compact"/>
            </w:pPr>
            <w:r>
              <w:t xml:space="preserve">Manufacturing</w:t>
            </w:r>
          </w:p>
        </w:tc>
        <w:tc>
          <w:tcPr/>
          <w:p>
            <w:pPr>
              <w:pStyle w:val="Compact"/>
            </w:pPr>
            <w:r>
              <w:t xml:space="preserve">250,000</w:t>
            </w:r>
          </w:p>
        </w:tc>
        <w:tc>
          <w:tcPr/>
          <w:p>
            <w:pPr>
              <w:pStyle w:val="Compact"/>
            </w:pPr>
            <w:r>
              <w:t xml:space="preserve">~$67</w:t>
            </w:r>
          </w:p>
        </w:tc>
      </w:tr>
      <w:tr>
        <w:tc>
          <w:tcPr/>
          <w:p>
            <w:pPr>
              <w:pStyle w:val="Compact"/>
            </w:pPr>
            <w:r>
              <w:t xml:space="preserve">Cooperative Procurement</w:t>
            </w:r>
          </w:p>
        </w:tc>
        <w:tc>
          <w:tcPr/>
          <w:p>
            <w:pPr>
              <w:pStyle w:val="Compact"/>
            </w:pPr>
            <w:r>
              <w:t xml:space="preserve">250,000</w:t>
            </w:r>
          </w:p>
        </w:tc>
        <w:tc>
          <w:tcPr/>
          <w:p>
            <w:pPr>
              <w:pStyle w:val="Compact"/>
            </w:pPr>
            <w:r>
              <w:t xml:space="preserve">~$67</w:t>
            </w:r>
          </w:p>
        </w:tc>
      </w:tr>
      <w:tr>
        <w:tc>
          <w:tcPr/>
          <w:p>
            <w:pPr>
              <w:pStyle w:val="Compact"/>
            </w:pPr>
            <w:r>
              <w:t xml:space="preserve">Point of Sale</w:t>
            </w:r>
          </w:p>
        </w:tc>
        <w:tc>
          <w:tcPr/>
          <w:p>
            <w:pPr>
              <w:pStyle w:val="Compact"/>
            </w:pPr>
            <w:r>
              <w:t xml:space="preserve">100,000 per terminal</w:t>
            </w:r>
          </w:p>
        </w:tc>
        <w:tc>
          <w:tcPr/>
          <w:p>
            <w:pPr>
              <w:pStyle w:val="Compact"/>
            </w:pPr>
            <w:r>
              <w:t xml:space="preserve">~$27 per terminal</w:t>
            </w:r>
          </w:p>
        </w:tc>
      </w:tr>
      <w:tr>
        <w:tc>
          <w:tcPr/>
          <w:p>
            <w:pPr>
              <w:pStyle w:val="Compact"/>
            </w:pPr>
            <w:r>
              <w:t xml:space="preserve">Sales Agents &amp; Commissions</w:t>
            </w:r>
          </w:p>
        </w:tc>
        <w:tc>
          <w:tcPr/>
          <w:p>
            <w:pPr>
              <w:pStyle w:val="Compact"/>
            </w:pPr>
            <w:r>
              <w:t xml:space="preserve">100,000</w:t>
            </w:r>
          </w:p>
        </w:tc>
        <w:tc>
          <w:tcPr/>
          <w:p>
            <w:pPr>
              <w:pStyle w:val="Compact"/>
            </w:pPr>
            <w:r>
              <w:t xml:space="preserve">~$27</w:t>
            </w:r>
          </w:p>
        </w:tc>
      </w:tr>
      <w:tr>
        <w:tc>
          <w:tcPr/>
          <w:p>
            <w:pPr>
              <w:pStyle w:val="Compact"/>
            </w:pPr>
            <w:r>
              <w:t xml:space="preserve">Asset Management</w:t>
            </w:r>
          </w:p>
        </w:tc>
        <w:tc>
          <w:tcPr/>
          <w:p>
            <w:pPr>
              <w:pStyle w:val="Compact"/>
            </w:pPr>
            <w:r>
              <w:t xml:space="preserve">100,000</w:t>
            </w:r>
          </w:p>
        </w:tc>
        <w:tc>
          <w:tcPr/>
          <w:p>
            <w:pPr>
              <w:pStyle w:val="Compact"/>
            </w:pPr>
            <w:r>
              <w:t xml:space="preserve">~$27</w:t>
            </w:r>
          </w:p>
        </w:tc>
      </w:tr>
    </w:tbl>
    <w:bookmarkEnd w:id="61"/>
    <w:bookmarkStart w:id="62" w:name="add-on-stacking-upgrade-trigger"/>
    <w:p>
      <w:pPr>
        <w:pStyle w:val="Heading2"/>
      </w:pPr>
      <w:r>
        <w:t xml:space="preserve">Add-On Stacking Upgrade Trigger</w:t>
      </w:r>
    </w:p>
    <w:p>
      <w:pPr>
        <w:pStyle w:val="FirstParagraph"/>
      </w:pPr>
      <w:r>
        <w:t xml:space="preserve">A Professional plan tenant activating all 10 add-ons would pay:</w:t>
      </w:r>
    </w:p>
    <w:p>
      <w:pPr>
        <w:pStyle w:val="Compact"/>
        <w:numPr>
          <w:ilvl w:val="0"/>
          <w:numId w:val="1005"/>
        </w:numPr>
      </w:pPr>
      <w:r>
        <w:t xml:space="preserve">Professional base: UGX 1,000,000/month</w:t>
      </w:r>
    </w:p>
    <w:p>
      <w:pPr>
        <w:pStyle w:val="Compact"/>
        <w:numPr>
          <w:ilvl w:val="0"/>
          <w:numId w:val="1005"/>
        </w:numPr>
      </w:pPr>
      <w:r>
        <w:t xml:space="preserve">All add-ons (POS counted as 1 terminal): UGX 1,490,000/month</w:t>
      </w:r>
    </w:p>
    <w:p>
      <w:pPr>
        <w:pStyle w:val="Compact"/>
        <w:numPr>
          <w:ilvl w:val="0"/>
          <w:numId w:val="1005"/>
        </w:numPr>
      </w:pPr>
      <w:r>
        <w:t xml:space="preserve">Total: UGX 2,490,000/month</w:t>
      </w:r>
    </w:p>
    <w:p>
      <w:pPr>
        <w:pStyle w:val="FirstParagraph"/>
      </w:pPr>
      <w:r>
        <w:t xml:space="preserve">This is UGX 10,000 below the Enterprise plan price of UGX 2,500,000/month. The system shall detect when a tenant's combined subscription cost (base + add-ons) reaches ≥ 95% of the next tier price and display a contextual upgrade prompt offering the higher tier for the price difference, with the benefit of unlimited users, unlimited branches, dedicated onboarding, and priority support.</w:t>
      </w:r>
    </w:p>
    <w:bookmarkEnd w:id="62"/>
    <w:bookmarkStart w:id="63" w:name="payment-methods"/>
    <w:p>
      <w:pPr>
        <w:pStyle w:val="Heading2"/>
      </w:pPr>
      <w:r>
        <w:t xml:space="preserve">Payment Methods</w:t>
      </w:r>
    </w:p>
    <w:p>
      <w:pPr>
        <w:pStyle w:val="FirstParagraph"/>
      </w:pPr>
      <w:r>
        <w:t xml:space="preserve">The system shall accept payment via:</w:t>
      </w:r>
    </w:p>
    <w:p>
      <w:pPr>
        <w:pStyle w:val="Compact"/>
        <w:numPr>
          <w:ilvl w:val="0"/>
          <w:numId w:val="1006"/>
        </w:numPr>
      </w:pPr>
      <w:r>
        <w:t xml:space="preserve">Credit and debit card (Visa, Mastercard)</w:t>
      </w:r>
    </w:p>
    <w:p>
      <w:pPr>
        <w:pStyle w:val="Compact"/>
        <w:numPr>
          <w:ilvl w:val="0"/>
          <w:numId w:val="1006"/>
        </w:numPr>
      </w:pPr>
      <w:r>
        <w:t xml:space="preserve">Bank transfer (Uganda Shillings)</w:t>
      </w:r>
    </w:p>
    <w:p>
      <w:pPr>
        <w:pStyle w:val="Compact"/>
        <w:numPr>
          <w:ilvl w:val="0"/>
          <w:numId w:val="1006"/>
        </w:numPr>
      </w:pPr>
      <w:r>
        <w:t xml:space="preserve">MTN Mobile Money (Uganda, Rwanda)</w:t>
      </w:r>
    </w:p>
    <w:p>
      <w:pPr>
        <w:pStyle w:val="Compact"/>
        <w:numPr>
          <w:ilvl w:val="0"/>
          <w:numId w:val="1006"/>
        </w:numPr>
      </w:pPr>
      <w:r>
        <w:t xml:space="preserve">M-Pesa (Kenya, Tanzania)</w:t>
      </w:r>
    </w:p>
    <w:bookmarkEnd w:id="63"/>
    <w:bookmarkStart w:id="64" w:name="revenue-milestones"/>
    <w:p>
      <w:pPr>
        <w:pStyle w:val="Heading2"/>
      </w:pPr>
      <w:r>
        <w:t xml:space="preserve">Revenue Milestones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Phase</w:t>
            </w:r>
          </w:p>
        </w:tc>
        <w:tc>
          <w:tcPr/>
          <w:p>
            <w:pPr>
              <w:pStyle w:val="Compact"/>
            </w:pPr>
            <w:r>
              <w:t xml:space="preserve">Market</w:t>
            </w:r>
          </w:p>
        </w:tc>
        <w:tc>
          <w:tcPr/>
          <w:p>
            <w:pPr>
              <w:pStyle w:val="Compact"/>
            </w:pPr>
            <w:r>
              <w:t xml:space="preserve">MRR Target (UGX)</w:t>
            </w:r>
          </w:p>
        </w:tc>
        <w:tc>
          <w:tcPr/>
          <w:p>
            <w:pPr>
              <w:pStyle w:val="Compact"/>
            </w:pPr>
            <w:r>
              <w:t xml:space="preserve">MRR Target (USD equiv.)</w:t>
            </w:r>
          </w:p>
        </w:tc>
      </w:tr>
      <w:tr>
        <w:tc>
          <w:tcPr/>
          <w:p>
            <w:pPr>
              <w:pStyle w:val="Compact"/>
            </w:pPr>
            <w:r>
              <w:t xml:space="preserve">Phase 1</w:t>
            </w:r>
          </w:p>
        </w:tc>
        <w:tc>
          <w:tcPr/>
          <w:p>
            <w:pPr>
              <w:pStyle w:val="Compact"/>
            </w:pPr>
            <w:r>
              <w:t xml:space="preserve">Uganda</w:t>
            </w:r>
          </w:p>
        </w:tc>
        <w:tc>
          <w:tcPr/>
          <w:p>
            <w:pPr>
              <w:pStyle w:val="Compact"/>
            </w:pPr>
            <w:r>
              <w:t xml:space="preserve">UGX 56M</w:t>
            </w:r>
          </w:p>
        </w:tc>
        <w:tc>
          <w:tcPr/>
          <w:p>
            <w:pPr>
              <w:pStyle w:val="Compact"/>
            </w:pPr>
            <w:r>
              <w:t xml:space="preserve">~$15K</w:t>
            </w:r>
          </w:p>
        </w:tc>
      </w:tr>
      <w:tr>
        <w:tc>
          <w:tcPr/>
          <w:p>
            <w:pPr>
              <w:pStyle w:val="Compact"/>
            </w:pPr>
            <w:r>
              <w:t xml:space="preserve">Phase 2</w:t>
            </w:r>
          </w:p>
        </w:tc>
        <w:tc>
          <w:tcPr/>
          <w:p>
            <w:pPr>
              <w:pStyle w:val="Compact"/>
            </w:pPr>
            <w:r>
              <w:t xml:space="preserve">East Africa</w:t>
            </w:r>
          </w:p>
        </w:tc>
        <w:tc>
          <w:tcPr/>
          <w:p>
            <w:pPr>
              <w:pStyle w:val="Compact"/>
            </w:pPr>
            <w:r>
              <w:t xml:space="preserve">UGX 188M</w:t>
            </w:r>
          </w:p>
        </w:tc>
        <w:tc>
          <w:tcPr/>
          <w:p>
            <w:pPr>
              <w:pStyle w:val="Compact"/>
            </w:pPr>
            <w:r>
              <w:t xml:space="preserve">~$50K</w:t>
            </w:r>
          </w:p>
        </w:tc>
      </w:tr>
      <w:tr>
        <w:tc>
          <w:tcPr/>
          <w:p>
            <w:pPr>
              <w:pStyle w:val="Compact"/>
            </w:pPr>
            <w:r>
              <w:t xml:space="preserve">Phase 3</w:t>
            </w:r>
          </w:p>
        </w:tc>
        <w:tc>
          <w:tcPr/>
          <w:p>
            <w:pPr>
              <w:pStyle w:val="Compact"/>
            </w:pPr>
            <w:r>
              <w:t xml:space="preserve">Francophone Africa</w:t>
            </w:r>
          </w:p>
        </w:tc>
        <w:tc>
          <w:tcPr/>
          <w:p>
            <w:pPr>
              <w:pStyle w:val="Compact"/>
            </w:pPr>
            <w:r>
              <w:t xml:space="preserve">UGX 450M</w:t>
            </w:r>
          </w:p>
        </w:tc>
        <w:tc>
          <w:tcPr/>
          <w:p>
            <w:pPr>
              <w:pStyle w:val="Compact"/>
            </w:pPr>
            <w:r>
              <w:t xml:space="preserve">~$120K</w:t>
            </w:r>
          </w:p>
        </w:tc>
      </w:tr>
      <w:tr>
        <w:tc>
          <w:tcPr/>
          <w:p>
            <w:pPr>
              <w:pStyle w:val="Compact"/>
            </w:pPr>
            <w:r>
              <w:t xml:space="preserve">Phase 4</w:t>
            </w:r>
          </w:p>
        </w:tc>
        <w:tc>
          <w:tcPr/>
          <w:p>
            <w:pPr>
              <w:pStyle w:val="Compact"/>
            </w:pPr>
            <w:r>
              <w:t xml:space="preserve">Enterprise + Global</w:t>
            </w:r>
          </w:p>
        </w:tc>
        <w:tc>
          <w:tcPr/>
          <w:p>
            <w:pPr>
              <w:pStyle w:val="Compact"/>
            </w:pPr>
            <w:r>
              <w:t xml:space="preserve">UGX 1.1B+</w:t>
            </w:r>
          </w:p>
        </w:tc>
        <w:tc>
          <w:tcPr/>
          <w:p>
            <w:pPr>
              <w:pStyle w:val="Compact"/>
            </w:pPr>
            <w:r>
              <w:t xml:space="preserve">~$300K+</w:t>
            </w:r>
          </w:p>
        </w:tc>
      </w:tr>
    </w:tbl>
    <w:bookmarkEnd w:id="64"/>
    <w:bookmarkStart w:id="65" w:name="revenue-model-summary"/>
    <w:p>
      <w:pPr>
        <w:pStyle w:val="Heading2"/>
      </w:pPr>
      <w:r>
        <w:t xml:space="preserve">Revenue Model Summary</w:t>
      </w:r>
    </w:p>
    <w:p>
      <w:pPr>
        <w:pStyle w:val="FirstParagraph"/>
      </w:pPr>
      <w:r>
        <w:t xml:space="preserve">Longhorn ERP is a pure SaaS subscription business. There are no implementation fees, no licence fees, no module purchase costs, and no support contracts sold separately. Revenue is generated entirely from monthly or annual subscription payments. Add-on a-la-carte revenue supplements base subscription revenue and is structured to create natural upgrade paths to higher tiers.</w:t>
      </w:r>
    </w:p>
    <w:bookmarkEnd w:id="65"/>
    <w:bookmarkEnd w:id="66"/>
    <w:bookmarkStart w:id="73" w:name="success-metrics"/>
    <w:p>
      <w:pPr>
        <w:pStyle w:val="Heading1"/>
      </w:pPr>
      <w:r>
        <w:t xml:space="preserve">Success Metrics</w:t>
      </w:r>
    </w:p>
    <w:p>
      <w:pPr>
        <w:pStyle w:val="FirstParagraph"/>
      </w:pPr>
      <w:r>
        <w:t xml:space="preserve">All metrics below are measurable thresholds. Each constitutes a pass/fail criterion that must be verified before the Phase 1 launch gate is approved.</w:t>
      </w:r>
    </w:p>
    <w:bookmarkStart w:id="67" w:name="usability-unassisted-task-success-rate"/>
    <w:p>
      <w:pPr>
        <w:pStyle w:val="Heading2"/>
      </w:pPr>
      <w:r>
        <w:t xml:space="preserve">Usability: Unassisted Task Success Rate</w:t>
      </w:r>
    </w:p>
    <w:p>
      <w:pPr>
        <w:pStyle w:val="FirstParagraph"/>
      </w:pPr>
      <w:r>
        <w:t xml:space="preserve">The system shall achieve a ≥ 85% unassisted task success rate across the following 5 benchmark tasks, measured in moderated usability testing with participants who have not received prior training on the system.</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Task ID</w:t>
            </w:r>
          </w:p>
        </w:tc>
        <w:tc>
          <w:tcPr/>
          <w:p>
            <w:pPr>
              <w:pStyle w:val="Compact"/>
            </w:pPr>
            <w:r>
              <w:t xml:space="preserve">Task Description</w:t>
            </w:r>
          </w:p>
        </w:tc>
        <w:tc>
          <w:tcPr/>
          <w:p>
            <w:pPr>
              <w:pStyle w:val="Compact"/>
            </w:pPr>
            <w:r>
              <w:t xml:space="preserve">Pass Criterion</w:t>
            </w:r>
          </w:p>
        </w:tc>
      </w:tr>
      <w:tr>
        <w:tc>
          <w:tcPr/>
          <w:p>
            <w:pPr>
              <w:pStyle w:val="Compact"/>
            </w:pPr>
            <w:r>
              <w:rPr>
                <w:b/>
                <w:bCs/>
              </w:rPr>
              <w:t xml:space="preserve">UT-01</w:t>
            </w:r>
          </w:p>
        </w:tc>
        <w:tc>
          <w:tcPr/>
          <w:p>
            <w:pPr>
              <w:pStyle w:val="Compact"/>
            </w:pPr>
            <w:r>
              <w:t xml:space="preserve">Create and send a sales invoice to a customer</w:t>
            </w:r>
          </w:p>
        </w:tc>
        <w:tc>
          <w:tcPr/>
          <w:p>
            <w:pPr>
              <w:pStyle w:val="Compact"/>
            </w:pPr>
            <w:r>
              <w:t xml:space="preserve">Completed without requesting help and without dead-end navigation</w:t>
            </w:r>
          </w:p>
        </w:tc>
      </w:tr>
      <w:tr>
        <w:tc>
          <w:tcPr/>
          <w:p>
            <w:pPr>
              <w:pStyle w:val="Compact"/>
            </w:pPr>
            <w:r>
              <w:rPr>
                <w:b/>
                <w:bCs/>
              </w:rPr>
              <w:t xml:space="preserve">UT-02</w:t>
            </w:r>
          </w:p>
        </w:tc>
        <w:tc>
          <w:tcPr/>
          <w:p>
            <w:pPr>
              <w:pStyle w:val="Compact"/>
            </w:pPr>
            <w:r>
              <w:t xml:space="preserve">Record a payment received against an outstanding invoice</w:t>
            </w:r>
          </w:p>
        </w:tc>
        <w:tc>
          <w:tcPr/>
          <w:p>
            <w:pPr>
              <w:pStyle w:val="Compact"/>
            </w:pPr>
            <w:r>
              <w:t xml:space="preserve">Completed without requesting help and without dead-end navigation</w:t>
            </w:r>
          </w:p>
        </w:tc>
      </w:tr>
      <w:tr>
        <w:tc>
          <w:tcPr/>
          <w:p>
            <w:pPr>
              <w:pStyle w:val="Compact"/>
            </w:pPr>
            <w:r>
              <w:rPr>
                <w:b/>
                <w:bCs/>
              </w:rPr>
              <w:t xml:space="preserve">UT-03</w:t>
            </w:r>
          </w:p>
        </w:tc>
        <w:tc>
          <w:tcPr/>
          <w:p>
            <w:pPr>
              <w:pStyle w:val="Compact"/>
            </w:pPr>
            <w:r>
              <w:t xml:space="preserve">Check current stock level for a specified item</w:t>
            </w:r>
          </w:p>
        </w:tc>
        <w:tc>
          <w:tcPr/>
          <w:p>
            <w:pPr>
              <w:pStyle w:val="Compact"/>
            </w:pPr>
            <w:r>
              <w:t xml:space="preserve">Completed without requesting help and without dead-end navigation</w:t>
            </w:r>
          </w:p>
        </w:tc>
      </w:tr>
      <w:tr>
        <w:tc>
          <w:tcPr/>
          <w:p>
            <w:pPr>
              <w:pStyle w:val="Compact"/>
            </w:pPr>
            <w:r>
              <w:rPr>
                <w:b/>
                <w:bCs/>
              </w:rPr>
              <w:t xml:space="preserve">UT-04</w:t>
            </w:r>
          </w:p>
        </w:tc>
        <w:tc>
          <w:tcPr/>
          <w:p>
            <w:pPr>
              <w:pStyle w:val="Compact"/>
            </w:pPr>
            <w:r>
              <w:t xml:space="preserve">Submit a leave request for an employee</w:t>
            </w:r>
          </w:p>
        </w:tc>
        <w:tc>
          <w:tcPr/>
          <w:p>
            <w:pPr>
              <w:pStyle w:val="Compact"/>
            </w:pPr>
            <w:r>
              <w:t xml:space="preserve">Completed without requesting help and without dead-end navigation</w:t>
            </w:r>
          </w:p>
        </w:tc>
      </w:tr>
      <w:tr>
        <w:tc>
          <w:tcPr/>
          <w:p>
            <w:pPr>
              <w:pStyle w:val="Compact"/>
            </w:pPr>
            <w:r>
              <w:rPr>
                <w:b/>
                <w:bCs/>
              </w:rPr>
              <w:t xml:space="preserve">UT-05</w:t>
            </w:r>
          </w:p>
        </w:tc>
        <w:tc>
          <w:tcPr/>
          <w:p>
            <w:pPr>
              <w:pStyle w:val="Compact"/>
            </w:pPr>
            <w:r>
              <w:t xml:space="preserve">Run monthly payroll for a specified pay group</w:t>
            </w:r>
          </w:p>
        </w:tc>
        <w:tc>
          <w:tcPr/>
          <w:p>
            <w:pPr>
              <w:pStyle w:val="Compact"/>
            </w:pPr>
            <w:r>
              <w:t xml:space="preserve">Completed without requesting help and without dead-end navigation</w:t>
            </w:r>
          </w:p>
        </w:tc>
      </w:tr>
    </w:tbl>
    <w:p>
      <w:pPr>
        <w:pStyle w:val="BodyText"/>
      </w:pPr>
      <w:r>
        <w:rPr>
          <w:i/>
          <w:iCs/>
        </w:rPr>
        <w:t xml:space="preserve">Measurement method: moderated usability test, minimum 10 participants per task, recruited from target user personas (Finance Manager, Operations Manager, HR Officer, Sales Executive, and CEO/Owner).</w:t>
      </w:r>
    </w:p>
    <w:p>
      <w:pPr>
        <w:pStyle w:val="BodyText"/>
      </w:pPr>
      <w:r>
        <w:rPr>
          <w:i/>
          <w:iCs/>
        </w:rPr>
        <w:t xml:space="preserve">Failure definition: participant requests verbal guidance, or navigates to a dead end and requires backtracking more than once.</w:t>
      </w:r>
    </w:p>
    <w:bookmarkEnd w:id="67"/>
    <w:bookmarkStart w:id="68" w:name="performance-page-response-time"/>
    <w:p>
      <w:pPr>
        <w:pStyle w:val="Heading2"/>
      </w:pPr>
      <w:r>
        <w:t xml:space="preserve">Performance: Page Response Time</w:t>
      </w:r>
    </w:p>
    <w:p>
      <w:pPr>
        <w:pStyle w:val="FirstParagraph"/>
      </w:pPr>
      <w:r>
        <w:t xml:space="preserve">The system shall load any page in ≤ 2 seconds at the 95th percentile (P95) under a concurrent load of 100 active users, measured at the application server boundary with no client-side caching.</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Metric</w:t>
            </w:r>
          </w:p>
        </w:tc>
        <w:tc>
          <w:tcPr/>
          <w:p>
            <w:pPr>
              <w:pStyle w:val="Compact"/>
            </w:pPr>
            <w:r>
              <w:t xml:space="preserve">Threshold</w:t>
            </w:r>
          </w:p>
        </w:tc>
      </w:tr>
      <w:tr>
        <w:tc>
          <w:tcPr/>
          <w:p>
            <w:pPr>
              <w:pStyle w:val="Compact"/>
            </w:pPr>
            <w:r>
              <w:t xml:space="preserve">Page load time (P95, 100 concurrent users)</w:t>
            </w:r>
          </w:p>
        </w:tc>
        <w:tc>
          <w:tcPr/>
          <w:p>
            <w:pPr>
              <w:pStyle w:val="Compact"/>
            </w:pPr>
            <w:r>
              <w:t xml:space="preserve">≤ 2 seconds</w:t>
            </w:r>
          </w:p>
        </w:tc>
      </w:tr>
      <w:tr>
        <w:tc>
          <w:tcPr/>
          <w:p>
            <w:pPr>
              <w:pStyle w:val="Compact"/>
            </w:pPr>
            <w:r>
              <w:t xml:space="preserve">API response time for read operations (P95, 100 concurrent users)</w:t>
            </w:r>
          </w:p>
        </w:tc>
        <w:tc>
          <w:tcPr/>
          <w:p>
            <w:pPr>
              <w:pStyle w:val="Compact"/>
            </w:pPr>
            <w:r>
              <w:t xml:space="preserve">≤ 800 ms</w:t>
            </w:r>
          </w:p>
        </w:tc>
      </w:tr>
      <w:tr>
        <w:tc>
          <w:tcPr/>
          <w:p>
            <w:pPr>
              <w:pStyle w:val="Compact"/>
            </w:pPr>
            <w:r>
              <w:t xml:space="preserve">API response time for write operations (P95, 100 concurrent users)</w:t>
            </w:r>
          </w:p>
        </w:tc>
        <w:tc>
          <w:tcPr/>
          <w:p>
            <w:pPr>
              <w:pStyle w:val="Compact"/>
            </w:pPr>
            <w:r>
              <w:t xml:space="preserve">≤ 1,500 ms</w:t>
            </w:r>
          </w:p>
        </w:tc>
      </w:tr>
    </w:tbl>
    <w:p>
      <w:pPr>
        <w:pStyle w:val="BodyText"/>
      </w:pPr>
      <w:r>
        <w:rPr>
          <w:i/>
          <w:iCs/>
        </w:rPr>
        <w:t xml:space="preserve">Measurement method: load testing tool (e.g., k6 or Apache JMeter) simulating 100 concurrent users performing mixed read/write operations over a 10-minute sustained run.</w:t>
      </w:r>
    </w:p>
    <w:bookmarkEnd w:id="68"/>
    <w:bookmarkStart w:id="69" w:name="availability-platform-uptime"/>
    <w:p>
      <w:pPr>
        <w:pStyle w:val="Heading2"/>
      </w:pPr>
      <w:r>
        <w:t xml:space="preserve">Availability: Platform Uptime</w:t>
      </w:r>
    </w:p>
    <w:p>
      <w:pPr>
        <w:pStyle w:val="FirstParagraph"/>
      </w:pPr>
      <w:r>
        <w:t xml:space="preserve">The system shall maintain ≥ 99.5% uptime measured on a rolling 30-day window, excluding pre-announced maintenance windows of ≤ 4 hours per calendar month.</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Metric</w:t>
            </w:r>
          </w:p>
        </w:tc>
        <w:tc>
          <w:tcPr/>
          <w:p>
            <w:pPr>
              <w:pStyle w:val="Compact"/>
            </w:pPr>
            <w:r>
              <w:t xml:space="preserve">Threshold</w:t>
            </w:r>
          </w:p>
        </w:tc>
      </w:tr>
      <w:tr>
        <w:tc>
          <w:tcPr/>
          <w:p>
            <w:pPr>
              <w:pStyle w:val="Compact"/>
            </w:pPr>
            <w:r>
              <w:t xml:space="preserve">Rolling 30-day uptime</w:t>
            </w:r>
          </w:p>
        </w:tc>
        <w:tc>
          <w:tcPr/>
          <w:p>
            <w:pPr>
              <w:pStyle w:val="Compact"/>
            </w:pPr>
            <w:r>
              <w:t xml:space="preserve">≥ 99.5%</w:t>
            </w:r>
          </w:p>
        </w:tc>
      </w:tr>
      <w:tr>
        <w:tc>
          <w:tcPr/>
          <w:p>
            <w:pPr>
              <w:pStyle w:val="Compact"/>
            </w:pPr>
            <w:r>
              <w:t xml:space="preserve">Maximum unplanned downtime per 30 days</w:t>
            </w:r>
          </w:p>
        </w:tc>
        <w:tc>
          <w:tcPr/>
          <w:p>
            <w:pPr>
              <w:pStyle w:val="Compact"/>
            </w:pPr>
            <w:r>
              <w:t xml:space="preserve">≤ 3.6 hours</w:t>
            </w:r>
          </w:p>
        </w:tc>
      </w:tr>
      <w:tr>
        <w:tc>
          <w:tcPr/>
          <w:p>
            <w:pPr>
              <w:pStyle w:val="Compact"/>
            </w:pPr>
            <w:r>
              <w:rPr>
                <w:i/>
                <w:iCs/>
              </w:rPr>
              <w:t xml:space="preserve">Recovery Time Objective</w:t>
            </w:r>
            <w:r>
              <w:t xml:space="preserve"> </w:t>
            </w:r>
            <w:r>
              <w:t xml:space="preserve">(RTO)</w:t>
            </w:r>
          </w:p>
        </w:tc>
        <w:tc>
          <w:tcPr/>
          <w:p>
            <w:pPr>
              <w:pStyle w:val="Compact"/>
            </w:pPr>
            <w:r>
              <w:t xml:space="preserve">≤ 2 hours</w:t>
            </w:r>
          </w:p>
        </w:tc>
      </w:tr>
      <w:tr>
        <w:tc>
          <w:tcPr/>
          <w:p>
            <w:pPr>
              <w:pStyle w:val="Compact"/>
            </w:pPr>
            <w:r>
              <w:rPr>
                <w:i/>
                <w:iCs/>
              </w:rPr>
              <w:t xml:space="preserve">Recovery Point Objective</w:t>
            </w:r>
            <w:r>
              <w:t xml:space="preserve"> </w:t>
            </w:r>
            <w:r>
              <w:t xml:space="preserve">(RPO)</w:t>
            </w:r>
          </w:p>
        </w:tc>
        <w:tc>
          <w:tcPr/>
          <w:p>
            <w:pPr>
              <w:pStyle w:val="Compact"/>
            </w:pPr>
            <w:r>
              <w:t xml:space="preserve">≤ 1 hour</w:t>
            </w:r>
          </w:p>
        </w:tc>
      </w:tr>
    </w:tbl>
    <w:p>
      <w:pPr>
        <w:pStyle w:val="BodyText"/>
      </w:pPr>
      <w:r>
        <w:rPr>
          <w:i/>
          <w:iCs/>
        </w:rPr>
        <w:t xml:space="preserve">Measurement method: external uptime monitoring service polling the application health endpoint at 1-minute intervals.</w:t>
      </w:r>
    </w:p>
    <w:bookmarkEnd w:id="69"/>
    <w:bookmarkStart w:id="70" w:name="tenant-provisioning-time"/>
    <w:p>
      <w:pPr>
        <w:pStyle w:val="Heading2"/>
      </w:pPr>
      <w:r>
        <w:t xml:space="preserve">Tenant Provisioning Time</w:t>
      </w:r>
    </w:p>
    <w:p>
      <w:pPr>
        <w:pStyle w:val="FirstParagraph"/>
      </w:pPr>
      <w:r>
        <w:t xml:space="preserve">The system shall provision a new tenant — from subscription payment confirmation to first authenticated login — in ≤ 10 minutes, with no manual intervention by Chwezi operations staff.</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Metric</w:t>
            </w:r>
          </w:p>
        </w:tc>
        <w:tc>
          <w:tcPr/>
          <w:p>
            <w:pPr>
              <w:pStyle w:val="Compact"/>
            </w:pPr>
            <w:r>
              <w:t xml:space="preserve">Threshold</w:t>
            </w:r>
          </w:p>
        </w:tc>
      </w:tr>
      <w:tr>
        <w:tc>
          <w:tcPr/>
          <w:p>
            <w:pPr>
              <w:pStyle w:val="Compact"/>
            </w:pPr>
            <w:r>
              <w:t xml:space="preserve">End-to-end tenant provisioning time</w:t>
            </w:r>
          </w:p>
        </w:tc>
        <w:tc>
          <w:tcPr/>
          <w:p>
            <w:pPr>
              <w:pStyle w:val="Compact"/>
            </w:pPr>
            <w:r>
              <w:t xml:space="preserve">≤ 10 minutes</w:t>
            </w:r>
          </w:p>
        </w:tc>
      </w:tr>
      <w:tr>
        <w:tc>
          <w:tcPr/>
          <w:p>
            <w:pPr>
              <w:pStyle w:val="Compact"/>
            </w:pPr>
            <w:r>
              <w:t xml:space="preserve">Manual operations steps required</w:t>
            </w:r>
          </w:p>
        </w:tc>
        <w:tc>
          <w:tcPr/>
          <w:p>
            <w:pPr>
              <w:pStyle w:val="Compact"/>
            </w:pPr>
            <w:r>
              <w:t xml:space="preserve">0</w:t>
            </w:r>
          </w:p>
        </w:tc>
      </w:tr>
    </w:tbl>
    <w:p>
      <w:pPr>
        <w:pStyle w:val="BodyText"/>
      </w:pPr>
      <w:r>
        <w:rPr>
          <w:i/>
          <w:iCs/>
        </w:rPr>
        <w:t xml:space="preserve">Measurement method: automated provisioning test run at each deployment; time recorded from payment webhook receipt to successful first login.</w:t>
      </w:r>
    </w:p>
    <w:bookmarkEnd w:id="70"/>
    <w:bookmarkStart w:id="71" w:name="revenue-milestones-1"/>
    <w:p>
      <w:pPr>
        <w:pStyle w:val="Heading2"/>
      </w:pPr>
      <w:r>
        <w:t xml:space="preserve">Revenue Milestones</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Phase</w:t>
            </w:r>
          </w:p>
        </w:tc>
        <w:tc>
          <w:tcPr/>
          <w:p>
            <w:pPr>
              <w:pStyle w:val="Compact"/>
            </w:pPr>
            <w:r>
              <w:t xml:space="preserve">Market</w:t>
            </w:r>
          </w:p>
        </w:tc>
        <w:tc>
          <w:tcPr/>
          <w:p>
            <w:pPr>
              <w:pStyle w:val="Compact"/>
            </w:pPr>
            <w:r>
              <w:t xml:space="preserve">MRR Target (UGX)</w:t>
            </w:r>
          </w:p>
        </w:tc>
        <w:tc>
          <w:tcPr/>
          <w:p>
            <w:pPr>
              <w:pStyle w:val="Compact"/>
            </w:pPr>
            <w:r>
              <w:t xml:space="preserve">MRR Target (USD equiv.)</w:t>
            </w:r>
          </w:p>
        </w:tc>
        <w:tc>
          <w:tcPr/>
          <w:p>
            <w:pPr>
              <w:pStyle w:val="Compact"/>
            </w:pPr>
            <w:r>
              <w:t xml:space="preserve">Timeline</w:t>
            </w:r>
          </w:p>
        </w:tc>
      </w:tr>
      <w:tr>
        <w:tc>
          <w:tcPr/>
          <w:p>
            <w:pPr>
              <w:pStyle w:val="Compact"/>
            </w:pPr>
            <w:r>
              <w:t xml:space="preserve">Phase 1</w:t>
            </w:r>
          </w:p>
        </w:tc>
        <w:tc>
          <w:tcPr/>
          <w:p>
            <w:pPr>
              <w:pStyle w:val="Compact"/>
            </w:pPr>
            <w:r>
              <w:t xml:space="preserve">Uganda</w:t>
            </w:r>
          </w:p>
        </w:tc>
        <w:tc>
          <w:tcPr/>
          <w:p>
            <w:pPr>
              <w:pStyle w:val="Compact"/>
            </w:pPr>
            <w:r>
              <w:t xml:space="preserve">UGX 56M</w:t>
            </w:r>
          </w:p>
        </w:tc>
        <w:tc>
          <w:tcPr/>
          <w:p>
            <w:pPr>
              <w:pStyle w:val="Compact"/>
            </w:pPr>
            <w:r>
              <w:t xml:space="preserve">~$15K</w:t>
            </w:r>
          </w:p>
        </w:tc>
        <w:tc>
          <w:tcPr/>
          <w:p>
            <w:pPr>
              <w:pStyle w:val="Compact"/>
            </w:pPr>
            <w:r>
              <w:t xml:space="preserve">Launch year</w:t>
            </w:r>
          </w:p>
        </w:tc>
      </w:tr>
      <w:tr>
        <w:tc>
          <w:tcPr/>
          <w:p>
            <w:pPr>
              <w:pStyle w:val="Compact"/>
            </w:pPr>
            <w:r>
              <w:t xml:space="preserve">Phase 2</w:t>
            </w:r>
          </w:p>
        </w:tc>
        <w:tc>
          <w:tcPr/>
          <w:p>
            <w:pPr>
              <w:pStyle w:val="Compact"/>
            </w:pPr>
            <w:r>
              <w:t xml:space="preserve">East Africa</w:t>
            </w:r>
          </w:p>
        </w:tc>
        <w:tc>
          <w:tcPr/>
          <w:p>
            <w:pPr>
              <w:pStyle w:val="Compact"/>
            </w:pPr>
            <w:r>
              <w:t xml:space="preserve">UGX 188M</w:t>
            </w:r>
          </w:p>
        </w:tc>
        <w:tc>
          <w:tcPr/>
          <w:p>
            <w:pPr>
              <w:pStyle w:val="Compact"/>
            </w:pPr>
            <w:r>
              <w:t xml:space="preserve">~$50K</w:t>
            </w:r>
          </w:p>
        </w:tc>
        <w:tc>
          <w:tcPr/>
          <w:p>
            <w:pPr>
              <w:pStyle w:val="Compact"/>
            </w:pPr>
            <w:r>
              <w:t xml:space="preserve">24 months post-launch</w:t>
            </w:r>
          </w:p>
        </w:tc>
      </w:tr>
      <w:tr>
        <w:tc>
          <w:tcPr/>
          <w:p>
            <w:pPr>
              <w:pStyle w:val="Compact"/>
            </w:pPr>
            <w:r>
              <w:t xml:space="preserve">Phase 3</w:t>
            </w:r>
          </w:p>
        </w:tc>
        <w:tc>
          <w:tcPr/>
          <w:p>
            <w:pPr>
              <w:pStyle w:val="Compact"/>
            </w:pPr>
            <w:r>
              <w:t xml:space="preserve">Francophone Africa</w:t>
            </w:r>
          </w:p>
        </w:tc>
        <w:tc>
          <w:tcPr/>
          <w:p>
            <w:pPr>
              <w:pStyle w:val="Compact"/>
            </w:pPr>
            <w:r>
              <w:t xml:space="preserve">UGX 450M</w:t>
            </w:r>
          </w:p>
        </w:tc>
        <w:tc>
          <w:tcPr/>
          <w:p>
            <w:pPr>
              <w:pStyle w:val="Compact"/>
            </w:pPr>
            <w:r>
              <w:t xml:space="preserve">~$120K</w:t>
            </w:r>
          </w:p>
        </w:tc>
        <w:tc>
          <w:tcPr/>
          <w:p>
            <w:pPr>
              <w:pStyle w:val="Compact"/>
            </w:pPr>
            <w:r>
              <w:t xml:space="preserve">36 months post-launch</w:t>
            </w:r>
          </w:p>
        </w:tc>
      </w:tr>
      <w:tr>
        <w:tc>
          <w:tcPr/>
          <w:p>
            <w:pPr>
              <w:pStyle w:val="Compact"/>
            </w:pPr>
            <w:r>
              <w:t xml:space="preserve">Phase 4</w:t>
            </w:r>
          </w:p>
        </w:tc>
        <w:tc>
          <w:tcPr/>
          <w:p>
            <w:pPr>
              <w:pStyle w:val="Compact"/>
            </w:pPr>
            <w:r>
              <w:t xml:space="preserve">Enterprise + Global</w:t>
            </w:r>
          </w:p>
        </w:tc>
        <w:tc>
          <w:tcPr/>
          <w:p>
            <w:pPr>
              <w:pStyle w:val="Compact"/>
            </w:pPr>
            <w:r>
              <w:t xml:space="preserve">UGX 1.1B+</w:t>
            </w:r>
          </w:p>
        </w:tc>
        <w:tc>
          <w:tcPr/>
          <w:p>
            <w:pPr>
              <w:pStyle w:val="Compact"/>
            </w:pPr>
            <w:r>
              <w:t xml:space="preserve">~$300K+</w:t>
            </w:r>
          </w:p>
        </w:tc>
        <w:tc>
          <w:tcPr/>
          <w:p>
            <w:pPr>
              <w:pStyle w:val="Compact"/>
            </w:pPr>
            <w:r>
              <w:t xml:space="preserve">48–60 months post-launch</w:t>
            </w:r>
          </w:p>
        </w:tc>
      </w:tr>
    </w:tbl>
    <w:p>
      <w:pPr>
        <w:pStyle w:val="BodyText"/>
      </w:pPr>
      <w:r>
        <w:rPr>
          <w:i/>
          <w:iCs/>
        </w:rPr>
        <w:t xml:space="preserve">Revenue milestones are gate criteria for market expansion phases. Phase 2 development budget is not released until Phase 1 MRR target is achieved for two consecutive months.</w:t>
      </w:r>
    </w:p>
    <w:bookmarkEnd w:id="71"/>
    <w:bookmarkStart w:id="72" w:name="security-and-compliance"/>
    <w:p>
      <w:pPr>
        <w:pStyle w:val="Heading2"/>
      </w:pPr>
      <w:r>
        <w:t xml:space="preserve">Security and Compliance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Metric</w:t>
            </w:r>
          </w:p>
        </w:tc>
        <w:tc>
          <w:tcPr/>
          <w:p>
            <w:pPr>
              <w:pStyle w:val="Compact"/>
            </w:pPr>
            <w:r>
              <w:t xml:space="preserve">Threshold</w:t>
            </w:r>
          </w:p>
        </w:tc>
      </w:tr>
      <w:tr>
        <w:tc>
          <w:tcPr/>
          <w:p>
            <w:pPr>
              <w:pStyle w:val="Compact"/>
            </w:pPr>
            <w:r>
              <w:t xml:space="preserve">Tenant data isolation failures in penetration test</w:t>
            </w:r>
          </w:p>
        </w:tc>
        <w:tc>
          <w:tcPr/>
          <w:p>
            <w:pPr>
              <w:pStyle w:val="Compact"/>
            </w:pPr>
            <w:r>
              <w:t xml:space="preserve">0</w:t>
            </w:r>
          </w:p>
        </w:tc>
      </w:tr>
      <w:tr>
        <w:tc>
          <w:tcPr/>
          <w:p>
            <w:pPr>
              <w:pStyle w:val="Compact"/>
            </w:pPr>
            <w:r>
              <w:t xml:space="preserve">Critical security vulnerabilities unpatched for &gt; 7 days</w:t>
            </w:r>
          </w:p>
        </w:tc>
        <w:tc>
          <w:tcPr/>
          <w:p>
            <w:pPr>
              <w:pStyle w:val="Compact"/>
            </w:pPr>
            <w:r>
              <w:t xml:space="preserve">0</w:t>
            </w:r>
          </w:p>
        </w:tc>
      </w:tr>
      <w:tr>
        <w:tc>
          <w:tcPr/>
          <w:p>
            <w:pPr>
              <w:pStyle w:val="Compact"/>
            </w:pPr>
            <w:r>
              <w:t xml:space="preserve">URA EFRIS submission success rate</w:t>
            </w:r>
          </w:p>
        </w:tc>
        <w:tc>
          <w:tcPr/>
          <w:p>
            <w:pPr>
              <w:pStyle w:val="Compact"/>
            </w:pPr>
            <w:r>
              <w:t xml:space="preserve">≥ 99% of valid invoices submitted within 24 hours</w:t>
            </w:r>
          </w:p>
        </w:tc>
      </w:tr>
    </w:tbl>
    <w:bookmarkEnd w:id="72"/>
    <w:bookmarkEnd w:id="73"/>
    <w:bookmarkStart w:id="78" w:name="open-questions--internal-decision-gaps"/>
    <w:p>
      <w:pPr>
        <w:pStyle w:val="Heading1"/>
      </w:pPr>
      <w:r>
        <w:t xml:space="preserve">Open Questions — Internal Decision Gaps</w:t>
      </w:r>
    </w:p>
    <w:p>
      <w:pPr>
        <w:pStyle w:val="FirstParagraph"/>
      </w:pPr>
      <w:r>
        <w:t xml:space="preserve">The following 4 gaps are unresolved internal design decisions. Each must be resolved before the documents they block can be finalised. Recommended defaults are provided to allow work to proceed provisionally, but each default requires explicit owner sign-off before it is treated as a confirmed decision.</w:t>
      </w:r>
    </w:p>
    <w:p>
      <w:r>
        <w:pict>
          <v:rect style="width:0;height:1.5pt" o:hralign="center" o:hrstd="t" o:hr="t"/>
        </w:pict>
      </w:r>
    </w:p>
    <w:bookmarkStart w:id="74" w:name="gap-015-white-labelling-policy"/>
    <w:p>
      <w:pPr>
        <w:pStyle w:val="Heading2"/>
      </w:pPr>
      <w:r>
        <w:t xml:space="preserve">GAP-015: White-Labelling Policy</w:t>
      </w:r>
    </w:p>
    <w:p>
      <w:pPr>
        <w:pStyle w:val="FirstParagraph"/>
      </w:pPr>
      <w:r>
        <w:rPr>
          <w:b/>
          <w:bCs/>
        </w:rPr>
        <w:t xml:space="preserve">Description:</w:t>
      </w:r>
      <w:r>
        <w:t xml:space="preserve"> </w:t>
      </w:r>
      <w:r>
        <w:t xml:space="preserve">Enterprise tenants may request the ability to present Longhorn ERP under their own brand identity — their own logo, product name, domain, and login screen — rather than Chwezi Core Systems' branding. This capability, known as white-labelling, is common in SaaS platforms targeting large enterprises and resellers.</w:t>
      </w:r>
    </w:p>
    <w:p>
      <w:pPr>
        <w:pStyle w:val="BodyText"/>
      </w:pPr>
      <w:r>
        <w:rPr>
          <w:b/>
          <w:bCs/>
        </w:rPr>
        <w:t xml:space="preserve">Decision needed:</w:t>
      </w:r>
      <w:r>
        <w:t xml:space="preserve"> </w:t>
      </w:r>
      <w:r>
        <w:t xml:space="preserve">Will Enterprise tier tenants be permitted to white-label Longhorn ERP as their own product?</w:t>
      </w:r>
    </w:p>
    <w:p>
      <w:pPr>
        <w:pStyle w:val="BodyText"/>
      </w:pPr>
      <w:r>
        <w:rPr>
          <w:b/>
          <w:bCs/>
        </w:rPr>
        <w:t xml:space="preserve">Impact if unresolved:</w:t>
      </w:r>
    </w:p>
    <w:p>
      <w:pPr>
        <w:pStyle w:val="Compact"/>
        <w:numPr>
          <w:ilvl w:val="0"/>
          <w:numId w:val="1007"/>
        </w:numPr>
      </w:pPr>
      <w:r>
        <w:t xml:space="preserve">The Platform Multi-Tenancy SRS cannot specify branding configuration fields.</w:t>
      </w:r>
    </w:p>
    <w:p>
      <w:pPr>
        <w:pStyle w:val="Compact"/>
        <w:numPr>
          <w:ilvl w:val="0"/>
          <w:numId w:val="1007"/>
        </w:numPr>
      </w:pPr>
      <w:r>
        <w:t xml:space="preserve">The Business Case document cannot quantify the revenue uplift from white-label pricing premiums.</w:t>
      </w:r>
    </w:p>
    <w:p>
      <w:pPr>
        <w:pStyle w:val="Compact"/>
        <w:numPr>
          <w:ilvl w:val="0"/>
          <w:numId w:val="1007"/>
        </w:numPr>
      </w:pPr>
      <w:r>
        <w:t xml:space="preserve">A white-label capability built retrospectively is significantly more expensive than one designed in from the start.</w:t>
      </w:r>
    </w:p>
    <w:p>
      <w:pPr>
        <w:pStyle w:val="FirstParagraph"/>
      </w:pPr>
      <w:r>
        <w:rPr>
          <w:b/>
          <w:bCs/>
        </w:rPr>
        <w:t xml:space="preserve">Recommended default:</w:t>
      </w:r>
      <w:r>
        <w:t xml:space="preserve"> </w:t>
      </w:r>
      <w:r>
        <w:t xml:space="preserve">Allow white-labelling as an optional Enterprise add-on at a defined price premium (e.g., UGX 500,000/month additional). Design the tenant configuration profile to support custom logo, custom domain (</w:t>
      </w:r>
      <w:r>
        <w:rPr>
          <w:rStyle w:val="VerbatimChar"/>
        </w:rPr>
        <w:t xml:space="preserve">CNAME</w:t>
      </w:r>
      <w:r>
        <w:t xml:space="preserve"> </w:t>
      </w:r>
      <w:r>
        <w:t xml:space="preserve">— DNS alias record), and custom login page text from the outset — even if the white-label feature is not marketed until Phase 2. Provisioning this as a configuration flag costs near zero if designed in; costs significantly more if retrofitted.</w:t>
      </w:r>
    </w:p>
    <w:p>
      <w:r>
        <w:pict>
          <v:rect style="width:0;height:1.5pt" o:hralign="center" o:hrstd="t" o:hr="t"/>
        </w:pict>
      </w:r>
    </w:p>
    <w:bookmarkEnd w:id="74"/>
    <w:bookmarkStart w:id="75" w:name="gap-016-hospitality-module-scope"/>
    <w:p>
      <w:pPr>
        <w:pStyle w:val="Heading2"/>
      </w:pPr>
      <w:r>
        <w:t xml:space="preserve">GAP-016: Hospitality Module Scope</w:t>
      </w:r>
    </w:p>
    <w:p>
      <w:pPr>
        <w:pStyle w:val="FirstParagraph"/>
      </w:pPr>
      <w:r>
        <w:rPr>
          <w:b/>
          <w:bCs/>
        </w:rPr>
        <w:t xml:space="preserve">Description:</w:t>
      </w:r>
      <w:r>
        <w:t xml:space="preserve"> </w:t>
      </w:r>
      <w:r>
        <w:t xml:space="preserve">The priority sectors listed in the target market include hotels, lodges, restaurants, and bars. The Point of Sale module (</w:t>
      </w:r>
      <w:r>
        <w:rPr>
          <w:rStyle w:val="VerbatimChar"/>
        </w:rPr>
        <w:t xml:space="preserve">POS</w:t>
      </w:r>
      <w:r>
        <w:t xml:space="preserve">) includes a restaurant/bar table mode. However, full hospitality operations — room reservations, property management, housekeeping, restaurant ordering integrated with property billing — constitute a distinct functional surface that may exceed the scope of a POS table mode.</w:t>
      </w:r>
    </w:p>
    <w:p>
      <w:pPr>
        <w:pStyle w:val="BodyText"/>
      </w:pPr>
      <w:r>
        <w:rPr>
          <w:b/>
          <w:bCs/>
        </w:rPr>
        <w:t xml:space="preserve">Decision needed:</w:t>
      </w:r>
      <w:r>
        <w:t xml:space="preserve"> </w:t>
      </w:r>
      <w:r>
        <w:t xml:space="preserve">Will full hospitality functionality be delivered as a Phase 3 add-on module within Longhorn ERP, or as a separate Chwezi product (analogous to Academia Pro for schools)?</w:t>
      </w:r>
    </w:p>
    <w:p>
      <w:pPr>
        <w:pStyle w:val="BodyText"/>
      </w:pPr>
      <w:r>
        <w:rPr>
          <w:b/>
          <w:bCs/>
        </w:rPr>
        <w:t xml:space="preserve">Impact if unresolved:</w:t>
      </w:r>
    </w:p>
    <w:p>
      <w:pPr>
        <w:pStyle w:val="Compact"/>
        <w:numPr>
          <w:ilvl w:val="0"/>
          <w:numId w:val="1008"/>
        </w:numPr>
      </w:pPr>
      <w:r>
        <w:t xml:space="preserve">The module inventory and subscription tier descriptions cannot be finalised.</w:t>
      </w:r>
    </w:p>
    <w:p>
      <w:pPr>
        <w:pStyle w:val="Compact"/>
        <w:numPr>
          <w:ilvl w:val="0"/>
          <w:numId w:val="1008"/>
        </w:numPr>
      </w:pPr>
      <w:r>
        <w:t xml:space="preserve">The Phase 3 development roadmap cannot be scoped.</w:t>
      </w:r>
    </w:p>
    <w:p>
      <w:pPr>
        <w:pStyle w:val="Compact"/>
        <w:numPr>
          <w:ilvl w:val="0"/>
          <w:numId w:val="1008"/>
        </w:numPr>
      </w:pPr>
      <w:r>
        <w:t xml:space="preserve">Marketing to the hospitality sector in Phase 1 is constrained by an inability to commit to a delivery vehicle or timeline.</w:t>
      </w:r>
    </w:p>
    <w:p>
      <w:pPr>
        <w:pStyle w:val="FirstParagraph"/>
      </w:pPr>
      <w:r>
        <w:rPr>
          <w:b/>
          <w:bCs/>
        </w:rPr>
        <w:t xml:space="preserve">Recommended default:</w:t>
      </w:r>
      <w:r>
        <w:t xml:space="preserve"> </w:t>
      </w:r>
      <w:r>
        <w:t xml:space="preserve">Deliver a scoped Hospitality add-on module (</w:t>
      </w:r>
      <w:r>
        <w:rPr>
          <w:rStyle w:val="VerbatimChar"/>
        </w:rPr>
        <w:t xml:space="preserve">HOSPITALITY</w:t>
      </w:r>
      <w:r>
        <w:t xml:space="preserve">) within Longhorn ERP in Phase 3, covering: room/unit configuration, reservation calendar, check-in/check-out, folio billing integrated with Accounting, and housekeeping task assignment. Defer a full standalone property management system to a future product decision. This default avoids premature product proliferation while serving the hospitality sector within the existing platform.</w:t>
      </w:r>
    </w:p>
    <w:p>
      <w:r>
        <w:pict>
          <v:rect style="width:0;height:1.5pt" o:hralign="center" o:hrstd="t" o:hr="t"/>
        </w:pict>
      </w:r>
    </w:p>
    <w:bookmarkEnd w:id="75"/>
    <w:bookmarkStart w:id="76" w:name="Xa1dd700d3e7c29a6b86db3cd21562eacf4be287"/>
    <w:p>
      <w:pPr>
        <w:pStyle w:val="Heading2"/>
      </w:pPr>
      <w:r>
        <w:t xml:space="preserve">GAP-017: Academia Pro / Medic8 / Kulima Integration Points</w:t>
      </w:r>
    </w:p>
    <w:p>
      <w:pPr>
        <w:pStyle w:val="FirstParagraph"/>
      </w:pPr>
      <w:r>
        <w:rPr>
          <w:b/>
          <w:bCs/>
        </w:rPr>
        <w:t xml:space="preserve">Description:</w:t>
      </w:r>
      <w:r>
        <w:t xml:space="preserve"> </w:t>
      </w:r>
      <w:r>
        <w:t xml:space="preserve">Chwezi Core Systems operates 3 sibling SaaS products in addition to Longhorn ERP: Academia Pro (school management), Medic8 (healthcare), and Kulima (farm management). Each product manages financial transactions, employee records, and inventory in its own domain. Integration between these products and Longhorn ERP would allow a client operating multiple entities to consolidate financial reporting, payroll, and procurement through a single ERP instance.</w:t>
      </w:r>
    </w:p>
    <w:p>
      <w:pPr>
        <w:pStyle w:val="BodyText"/>
      </w:pPr>
      <w:r>
        <w:rPr>
          <w:b/>
          <w:bCs/>
        </w:rPr>
        <w:t xml:space="preserve">Decision needed:</w:t>
      </w:r>
      <w:r>
        <w:t xml:space="preserve"> </w:t>
      </w:r>
      <w:r>
        <w:t xml:space="preserve">What are the data flows and integration contracts between Longhorn ERP and each sibling product? Which entity owns the chart of accounts? Which system runs payroll? How are inter-company transactions handled?</w:t>
      </w:r>
    </w:p>
    <w:p>
      <w:pPr>
        <w:pStyle w:val="BodyText"/>
      </w:pPr>
      <w:r>
        <w:rPr>
          <w:b/>
          <w:bCs/>
        </w:rPr>
        <w:t xml:space="preserve">Impact if unresolved:</w:t>
      </w:r>
    </w:p>
    <w:p>
      <w:pPr>
        <w:pStyle w:val="Compact"/>
        <w:numPr>
          <w:ilvl w:val="0"/>
          <w:numId w:val="1009"/>
        </w:numPr>
      </w:pPr>
      <w:r>
        <w:t xml:space="preserve">The Integration Layer SRS (</w:t>
      </w:r>
      <w:r>
        <w:rPr>
          <w:rStyle w:val="VerbatimChar"/>
        </w:rPr>
        <w:t xml:space="preserve">INTEGRATIONS</w:t>
      </w:r>
      <w:r>
        <w:t xml:space="preserve">) cannot specify internal API contracts.</w:t>
      </w:r>
    </w:p>
    <w:p>
      <w:pPr>
        <w:pStyle w:val="Compact"/>
        <w:numPr>
          <w:ilvl w:val="0"/>
          <w:numId w:val="1009"/>
        </w:numPr>
      </w:pPr>
      <w:r>
        <w:t xml:space="preserve">Schools using Academia Pro cannot be proposed as Longhorn ERP customers without a defined integration path.</w:t>
      </w:r>
    </w:p>
    <w:p>
      <w:pPr>
        <w:pStyle w:val="Compact"/>
        <w:numPr>
          <w:ilvl w:val="0"/>
          <w:numId w:val="1009"/>
        </w:numPr>
      </w:pPr>
      <w:r>
        <w:t xml:space="preserve">Healthcare organisations using Medic8 may face data duplication if both systems manage employee records independently.</w:t>
      </w:r>
    </w:p>
    <w:p>
      <w:pPr>
        <w:pStyle w:val="FirstParagraph"/>
      </w:pPr>
      <w:r>
        <w:rPr>
          <w:b/>
          <w:bCs/>
        </w:rPr>
        <w:t xml:space="preserve">Recommended default:</w:t>
      </w:r>
      <w:r>
        <w:t xml:space="preserve"> </w:t>
      </w:r>
      <w:r>
        <w:t xml:space="preserve">Define a read-only financial data push from each sibling product to Longhorn ERP's Accounting module via the</w:t>
      </w:r>
      <w:r>
        <w:t xml:space="preserve"> </w:t>
      </w:r>
      <w:r>
        <w:rPr>
          <w:rStyle w:val="VerbatimChar"/>
        </w:rPr>
        <w:t xml:space="preserve">MOBILE_API</w:t>
      </w:r>
      <w:r>
        <w:t xml:space="preserve"> </w:t>
      </w:r>
      <w:r>
        <w:t xml:space="preserve">(v2). Each sibling product generates journal entries and pushes them to a designated Longhorn ERP GL account. Payroll remains in the sibling product; Longhorn ERP receives the payroll cost as a single GL posting per period. This avoids bidirectional sync complexity while enabling consolidated financial reporting. Document integration contracts as a separate Integration Design document before Phase 2.</w:t>
      </w:r>
    </w:p>
    <w:p>
      <w:r>
        <w:pict>
          <v:rect style="width:0;height:1.5pt" o:hralign="center" o:hrstd="t" o:hr="t"/>
        </w:pict>
      </w:r>
    </w:p>
    <w:bookmarkEnd w:id="76"/>
    <w:bookmarkStart w:id="77" w:name="gap-018-source-code-strategy"/>
    <w:p>
      <w:pPr>
        <w:pStyle w:val="Heading2"/>
      </w:pPr>
      <w:r>
        <w:t xml:space="preserve">GAP-018: Source Code Strategy</w:t>
      </w:r>
    </w:p>
    <w:p>
      <w:pPr>
        <w:pStyle w:val="FirstParagraph"/>
      </w:pPr>
      <w:r>
        <w:rPr>
          <w:b/>
          <w:bCs/>
        </w:rPr>
        <w:t xml:space="preserve">Description:</w:t>
      </w:r>
      <w:r>
        <w:t xml:space="preserve"> </w:t>
      </w:r>
      <w:r>
        <w:t xml:space="preserve">The default design intention for Longhorn ERP is a proprietary, closed-source SaaS platform. An alternative model is to release a community edition under an open-source licence (e.g., AGPL-3.0 or BSL-1.1), retaining a commercial enterprise edition with hosted services, advanced modules, and support — the model used by GitLab, Odoo, and ERPNext.</w:t>
      </w:r>
    </w:p>
    <w:p>
      <w:pPr>
        <w:pStyle w:val="BodyText"/>
      </w:pPr>
      <w:r>
        <w:rPr>
          <w:b/>
          <w:bCs/>
        </w:rPr>
        <w:t xml:space="preserve">Decision needed:</w:t>
      </w:r>
      <w:r>
        <w:t xml:space="preserve"> </w:t>
      </w:r>
      <w:r>
        <w:t xml:space="preserve">Will Longhorn ERP remain proprietary SaaS indefinitely, or will a future open-source community edition be released?</w:t>
      </w:r>
    </w:p>
    <w:p>
      <w:pPr>
        <w:pStyle w:val="BodyText"/>
      </w:pPr>
      <w:r>
        <w:rPr>
          <w:b/>
          <w:bCs/>
        </w:rPr>
        <w:t xml:space="preserve">Impact if unresolved:</w:t>
      </w:r>
    </w:p>
    <w:p>
      <w:pPr>
        <w:pStyle w:val="Compact"/>
        <w:numPr>
          <w:ilvl w:val="0"/>
          <w:numId w:val="1010"/>
        </w:numPr>
      </w:pPr>
      <w:r>
        <w:t xml:space="preserve">The Business Case document cannot model open-source community adoption as a sales funnel.</w:t>
      </w:r>
    </w:p>
    <w:p>
      <w:pPr>
        <w:pStyle w:val="Compact"/>
        <w:numPr>
          <w:ilvl w:val="0"/>
          <w:numId w:val="1010"/>
        </w:numPr>
      </w:pPr>
      <w:r>
        <w:t xml:space="preserve">The codebase architecture may need to be structured differently if a community/enterprise split is anticipated.</w:t>
      </w:r>
    </w:p>
    <w:p>
      <w:pPr>
        <w:pStyle w:val="Compact"/>
        <w:numPr>
          <w:ilvl w:val="0"/>
          <w:numId w:val="1010"/>
        </w:numPr>
      </w:pPr>
      <w:r>
        <w:t xml:space="preserve">Licensing terms in the source code and documentation must reflect the chosen strategy from the start to avoid costly relicensing.</w:t>
      </w:r>
    </w:p>
    <w:p>
      <w:pPr>
        <w:pStyle w:val="FirstParagraph"/>
      </w:pPr>
      <w:r>
        <w:rPr>
          <w:b/>
          <w:bCs/>
        </w:rPr>
        <w:t xml:space="preserve">Recommended default:</w:t>
      </w:r>
      <w:r>
        <w:t xml:space="preserve"> </w:t>
      </w:r>
      <w:r>
        <w:t xml:space="preserve">Remain proprietary for Phase 1 and Phase 2. Revisit the open-source question at Phase 3 when the competitive landscape in Francophone Africa is better understood. In the interim, design the codebase with module boundaries clean enough to support a future community/enterprise split if the decision changes. Do not embed proprietary logic in core modules that would make open-sourcing them impossible later.</w:t>
      </w:r>
    </w:p>
    <w:p>
      <w:r>
        <w:pict>
          <v:rect style="width:0;height:1.5pt" o:hralign="center" o:hrstd="t" o:hr="t"/>
        </w:pict>
      </w:r>
    </w:p>
    <w:p>
      <w:pPr>
        <w:pStyle w:val="FirstParagraph"/>
      </w:pPr>
      <w:r>
        <w:rPr>
          <w:i/>
          <w:iCs/>
        </w:rPr>
        <w:t xml:space="preserve">All 4 gaps above must be reviewed and signed off by Peter Bamuhigire before the documents they block are submitted for phase-gate approval.</w:t>
      </w:r>
    </w:p>
    <w:bookmarkEnd w:id="77"/>
    <w:bookmarkEnd w:id="78"/>
    <w:bookmarkStart w:id="86" w:name="Xb38158efe5c70268bffb632872174aebaaeea8e"/>
    <w:p>
      <w:pPr>
        <w:pStyle w:val="Heading1"/>
      </w:pPr>
      <w:r>
        <w:t xml:space="preserve">AI Intelligence Module — Intelligent Business Add-On</w:t>
      </w:r>
    </w:p>
    <w:bookmarkStart w:id="79" w:name="positioning"/>
    <w:p>
      <w:pPr>
        <w:pStyle w:val="Heading2"/>
      </w:pPr>
      <w:r>
        <w:t xml:space="preserve">Positioning</w:t>
      </w:r>
    </w:p>
    <w:p>
      <w:pPr>
        <w:pStyle w:val="FirstParagraph"/>
      </w:pPr>
      <w:r>
        <w:t xml:space="preserve">The AI Intelligence Module is a paid add-on sold separately from the core LonghornERP subscription. It is off by default. Account owners activate it — feature by feature — from</w:t>
      </w:r>
      <w:r>
        <w:t xml:space="preserve"> </w:t>
      </w:r>
      <w:r>
        <w:rPr>
          <w:b/>
          <w:bCs/>
        </w:rPr>
        <w:t xml:space="preserve">Settings → AI Intelligence</w:t>
      </w:r>
      <w:r>
        <w:t xml:space="preserve">. Every feature described here is explained in terms that a Finance Director, Managing Director, or Business Owner will understand immediately, without requiring a data science background.</w:t>
      </w:r>
    </w:p>
    <w:p>
      <w:pPr>
        <w:pStyle w:val="BodyText"/>
      </w:pPr>
      <w:r>
        <w:rPr>
          <w:b/>
          <w:bCs/>
        </w:rPr>
        <w:t xml:space="preserve">Pricing (indicative):</w:t>
      </w:r>
      <w:r>
        <w:t xml:space="preserve"> </w:t>
      </w:r>
      <w:r>
        <w:t xml:space="preserve">Professional plan add-on — UGX 100,000/month; Business plan add-on — UGX 300,000/month; Enterprise plan add-on — UGX 800,000/month. All plans include a configurable monthly token budget enforced at 80% consumption alert and 100% hard stop.</w:t>
      </w:r>
    </w:p>
    <w:p>
      <w:r>
        <w:pict>
          <v:rect style="width:0;height:1.5pt" o:hralign="center" o:hrstd="t" o:hr="t"/>
        </w:pict>
      </w:r>
    </w:p>
    <w:bookmarkEnd w:id="79"/>
    <w:bookmarkStart w:id="80" w:name="X55e2a79977ea7a1d8ff12997b8b5425d3f10854"/>
    <w:p>
      <w:pPr>
        <w:pStyle w:val="Heading2"/>
      </w:pPr>
      <w:r>
        <w:t xml:space="preserve">AI Feature 1: Know Your Cash Position for the Next 90 Days</w:t>
      </w:r>
    </w:p>
    <w:p>
      <w:pPr>
        <w:pStyle w:val="FirstParagraph"/>
      </w:pPr>
      <w:r>
        <w:rPr>
          <w:b/>
          <w:bCs/>
        </w:rPr>
        <w:t xml:space="preserve">Who benefits:</w:t>
      </w:r>
      <w:r>
        <w:t xml:space="preserve"> </w:t>
      </w:r>
      <w:r>
        <w:t xml:space="preserve">Finance Directors, Business Owners, CFOs.</w:t>
      </w:r>
    </w:p>
    <w:p>
      <w:pPr>
        <w:pStyle w:val="BodyText"/>
      </w:pPr>
      <w:r>
        <w:rPr>
          <w:b/>
          <w:bCs/>
        </w:rPr>
        <w:t xml:space="preserve">The problem it solves:</w:t>
      </w:r>
      <w:r>
        <w:t xml:space="preserve"> </w:t>
      </w:r>
      <w:r>
        <w:t xml:space="preserve">A managing director approves a large equipment purchase on Monday, not knowing that a VAT remittance is due to URA on Thursday and payroll runs on Friday. The bank account is fine today but will be negative by the weekend. Cash flow crises almost always come from a failure to look forward — not from a failure of profitability.</w:t>
      </w:r>
    </w:p>
    <w:p>
      <w:pPr>
        <w:pStyle w:val="BodyText"/>
      </w:pPr>
      <w:r>
        <w:rPr>
          <w:b/>
          <w:bCs/>
        </w:rPr>
        <w:t xml:space="preserve">What it does:</w:t>
      </w:r>
      <w:r>
        <w:t xml:space="preserve"> </w:t>
      </w:r>
      <w:r>
        <w:t xml:space="preserve">Every morning, the system reads the AR aging (when customers are expected to pay based on their payment history), the AP schedule (when supplier invoices fall due), payroll dates, loan repayment schedules, and tax payment dates. It produces a 90-day rolling cash flow forecast with three curves: Best Case, Base Case, and Worst Case. The Finance Director sees exactly which weeks are at risk — before they arrive.</w:t>
      </w:r>
    </w:p>
    <w:p>
      <w:pPr>
        <w:pStyle w:val="BodyText"/>
      </w:pPr>
      <w:r>
        <w:rPr>
          <w:b/>
          <w:bCs/>
        </w:rPr>
        <w:t xml:space="preserve">Why owners pay for it:</w:t>
      </w:r>
      <w:r>
        <w:t xml:space="preserve"> </w:t>
      </w:r>
      <w:r>
        <w:t xml:space="preserve">One cash flow crisis averted, one emergency overdraft not drawn, one supplier relationship not strained — the AI module recovers its cost in the first month.</w:t>
      </w:r>
    </w:p>
    <w:p>
      <w:pPr>
        <w:pStyle w:val="BodyText"/>
      </w:pPr>
      <w:r>
        <w:rPr>
          <w:b/>
          <w:bCs/>
        </w:rPr>
        <w:t xml:space="preserve">Pricing tier:</w:t>
      </w:r>
      <w:r>
        <w:t xml:space="preserve"> </w:t>
      </w:r>
      <w:r>
        <w:t xml:space="preserve">Professional and above.</w:t>
      </w:r>
    </w:p>
    <w:p>
      <w:pPr>
        <w:pStyle w:val="BodyText"/>
      </w:pPr>
      <w:r>
        <w:rPr>
          <w:b/>
          <w:bCs/>
        </w:rPr>
        <w:t xml:space="preserve">FR-AI-001</w:t>
      </w:r>
      <w:r>
        <w:t xml:space="preserve"> </w:t>
      </w:r>
      <w:r>
        <w:t xml:space="preserve">— see SRS Module 15, FR-AI-001 for full technical specification.</w:t>
      </w:r>
    </w:p>
    <w:p>
      <w:r>
        <w:pict>
          <v:rect style="width:0;height:1.5pt" o:hralign="center" o:hrstd="t" o:hr="t"/>
        </w:pict>
      </w:r>
    </w:p>
    <w:bookmarkEnd w:id="80"/>
    <w:bookmarkStart w:id="81" w:name="Xb20f5f86fc741c1035dac928e5245ecd5fe83da"/>
    <w:p>
      <w:pPr>
        <w:pStyle w:val="Heading2"/>
      </w:pPr>
      <w:r>
        <w:t xml:space="preserve">AI Feature 2: Catch Unusual Journal Entries Before the Auditor Does</w:t>
      </w:r>
    </w:p>
    <w:p>
      <w:pPr>
        <w:pStyle w:val="FirstParagraph"/>
      </w:pPr>
      <w:r>
        <w:rPr>
          <w:b/>
          <w:bCs/>
        </w:rPr>
        <w:t xml:space="preserve">Who benefits:</w:t>
      </w:r>
      <w:r>
        <w:t xml:space="preserve"> </w:t>
      </w:r>
      <w:r>
        <w:t xml:space="preserve">Finance Directors, External Auditors, Managing Directors.</w:t>
      </w:r>
    </w:p>
    <w:p>
      <w:pPr>
        <w:pStyle w:val="BodyText"/>
      </w:pPr>
      <w:r>
        <w:rPr>
          <w:b/>
          <w:bCs/>
        </w:rPr>
        <w:t xml:space="preserve">The problem it solves:</w:t>
      </w:r>
      <w:r>
        <w:t xml:space="preserve"> </w:t>
      </w:r>
      <w:r>
        <w:t xml:space="preserve">GL fraud typically involves small, repeated unusual journal entries: round numbers, unusual account combinations, entries posted at unusual times. Manual review of a 10,000-line journal register is impractical. Fraud is usually discovered by accident or by external auditors — not by internal controls.</w:t>
      </w:r>
    </w:p>
    <w:p>
      <w:pPr>
        <w:pStyle w:val="BodyText"/>
      </w:pPr>
      <w:r>
        <w:rPr>
          <w:b/>
          <w:bCs/>
        </w:rPr>
        <w:t xml:space="preserve">What it does:</w:t>
      </w:r>
      <w:r>
        <w:t xml:space="preserve"> </w:t>
      </w:r>
      <w:r>
        <w:t xml:space="preserve">After each posting cycle, the system analyses all new journal entries against four behavioural classifiers: unusual posting times, unusual debit/credit account combinations for this tenant, round-number amounts without a source document, and entries posted by users whose role does not normally post to those accounts. Flagged journals appear in the Finance Director's Anomaly Inbox with a brief explanation. The Finance Director reviews and clears or escalates each flag.</w:t>
      </w:r>
    </w:p>
    <w:p>
      <w:pPr>
        <w:pStyle w:val="BodyText"/>
      </w:pPr>
      <w:r>
        <w:rPr>
          <w:b/>
          <w:bCs/>
        </w:rPr>
        <w:t xml:space="preserve">Why owners pay for it:</w:t>
      </w:r>
      <w:r>
        <w:t xml:space="preserve"> </w:t>
      </w:r>
      <w:r>
        <w:t xml:space="preserve">Internal fraud detection that would otherwise require hiring an internal auditor is automated. The Audit Log module already captures every action — this module makes sense of it.</w:t>
      </w:r>
    </w:p>
    <w:p>
      <w:pPr>
        <w:pStyle w:val="BodyText"/>
      </w:pPr>
      <w:r>
        <w:rPr>
          <w:b/>
          <w:bCs/>
        </w:rPr>
        <w:t xml:space="preserve">Pricing tier:</w:t>
      </w:r>
      <w:r>
        <w:t xml:space="preserve"> </w:t>
      </w:r>
      <w:r>
        <w:t xml:space="preserve">Business and Enterprise.</w:t>
      </w:r>
    </w:p>
    <w:p>
      <w:pPr>
        <w:pStyle w:val="BodyText"/>
      </w:pPr>
      <w:r>
        <w:rPr>
          <w:b/>
          <w:bCs/>
        </w:rPr>
        <w:t xml:space="preserve">FR-AI-002</w:t>
      </w:r>
      <w:r>
        <w:t xml:space="preserve"> </w:t>
      </w:r>
      <w:r>
        <w:t xml:space="preserve">— see SRS Module 15, FR-AI-002 for full technical specification.</w:t>
      </w:r>
    </w:p>
    <w:p>
      <w:r>
        <w:pict>
          <v:rect style="width:0;height:1.5pt" o:hralign="center" o:hrstd="t" o:hr="t"/>
        </w:pict>
      </w:r>
    </w:p>
    <w:bookmarkEnd w:id="81"/>
    <w:bookmarkStart w:id="82" w:name="X6ee0b7705dc9348be3351465ebb1fbd1e778047"/>
    <w:p>
      <w:pPr>
        <w:pStyle w:val="Heading2"/>
      </w:pPr>
      <w:r>
        <w:t xml:space="preserve">AI Feature 3: Know What to Reorder Before Your Shelves Run Out</w:t>
      </w:r>
    </w:p>
    <w:p>
      <w:pPr>
        <w:pStyle w:val="FirstParagraph"/>
      </w:pPr>
      <w:r>
        <w:rPr>
          <w:b/>
          <w:bCs/>
        </w:rPr>
        <w:t xml:space="preserve">Who benefits:</w:t>
      </w:r>
      <w:r>
        <w:t xml:space="preserve"> </w:t>
      </w:r>
      <w:r>
        <w:t xml:space="preserve">Procurement Managers, Inventory Controllers, Branch Managers.</w:t>
      </w:r>
    </w:p>
    <w:p>
      <w:pPr>
        <w:pStyle w:val="BodyText"/>
      </w:pPr>
      <w:r>
        <w:rPr>
          <w:b/>
          <w:bCs/>
        </w:rPr>
        <w:t xml:space="preserve">The problem it solves:</w:t>
      </w:r>
      <w:r>
        <w:t xml:space="preserve"> </w:t>
      </w:r>
      <w:r>
        <w:t xml:space="preserve">A procurement officer orders inventory based on intuition and the last stockout they remember. They over-order slow-moving items — tying up cash — and under-order fast movers, causing stockouts. Neither problem is visible until it is already a problem.</w:t>
      </w:r>
    </w:p>
    <w:p>
      <w:pPr>
        <w:pStyle w:val="BodyText"/>
      </w:pPr>
      <w:r>
        <w:rPr>
          <w:b/>
          <w:bCs/>
        </w:rPr>
        <w:t xml:space="preserve">What it does:</w:t>
      </w:r>
      <w:r>
        <w:t xml:space="preserve"> </w:t>
      </w:r>
      <w:r>
        <w:t xml:space="preserve">Every Sunday, the system analyses the last 90 days of sales velocity per product per branch, applies a seasonal adjustment based on same-period performance in prior years, and generates a Reorder Recommendation report. For each product below or near its reorder level, the system recommends an exact order quantity calculated to cover 45 days of adjusted demand without over-ordering. The procurement officer reviews and converts recommendations to Purchase Requisitions with one click.</w:t>
      </w:r>
    </w:p>
    <w:p>
      <w:pPr>
        <w:pStyle w:val="BodyText"/>
      </w:pPr>
      <w:r>
        <w:rPr>
          <w:b/>
          <w:bCs/>
        </w:rPr>
        <w:t xml:space="preserve">Why owners pay for it:</w:t>
      </w:r>
      <w:r>
        <w:t xml:space="preserve"> </w:t>
      </w:r>
      <w:r>
        <w:t xml:space="preserve">In a 10-branch business, optimising inventory typically frees 15–25% of the working capital tied up in stock. Over-stocked slow-movers and stockout revenue losses are eliminated simultaneously.</w:t>
      </w:r>
    </w:p>
    <w:p>
      <w:pPr>
        <w:pStyle w:val="BodyText"/>
      </w:pPr>
      <w:r>
        <w:rPr>
          <w:b/>
          <w:bCs/>
        </w:rPr>
        <w:t xml:space="preserve">Pricing tier:</w:t>
      </w:r>
      <w:r>
        <w:t xml:space="preserve"> </w:t>
      </w:r>
      <w:r>
        <w:t xml:space="preserve">Professional and above.</w:t>
      </w:r>
    </w:p>
    <w:p>
      <w:pPr>
        <w:pStyle w:val="BodyText"/>
      </w:pPr>
      <w:r>
        <w:rPr>
          <w:b/>
          <w:bCs/>
        </w:rPr>
        <w:t xml:space="preserve">FR-AI-003</w:t>
      </w:r>
      <w:r>
        <w:t xml:space="preserve"> </w:t>
      </w:r>
      <w:r>
        <w:t xml:space="preserve">— see SRS Module 15, FR-AI-003 for full technical specification.</w:t>
      </w:r>
    </w:p>
    <w:p>
      <w:r>
        <w:pict>
          <v:rect style="width:0;height:1.5pt" o:hralign="center" o:hrstd="t" o:hr="t"/>
        </w:pict>
      </w:r>
    </w:p>
    <w:bookmarkEnd w:id="82"/>
    <w:bookmarkStart w:id="83" w:name="Xfb33015a467edff35a6f4c58b1a60d7813b1fa7"/>
    <w:p>
      <w:pPr>
        <w:pStyle w:val="Heading2"/>
      </w:pPr>
      <w:r>
        <w:t xml:space="preserve">AI Feature 4: Flag the Customers Most Likely to Pay Late — Before You Give Them More Credit</w:t>
      </w:r>
    </w:p>
    <w:p>
      <w:pPr>
        <w:pStyle w:val="FirstParagraph"/>
      </w:pPr>
      <w:r>
        <w:rPr>
          <w:b/>
          <w:bCs/>
        </w:rPr>
        <w:t xml:space="preserve">Who benefits:</w:t>
      </w:r>
      <w:r>
        <w:t xml:space="preserve"> </w:t>
      </w:r>
      <w:r>
        <w:t xml:space="preserve">Credit Controllers, Sales Managers, Finance Directors.</w:t>
      </w:r>
    </w:p>
    <w:p>
      <w:pPr>
        <w:pStyle w:val="BodyText"/>
      </w:pPr>
      <w:r>
        <w:rPr>
          <w:b/>
          <w:bCs/>
        </w:rPr>
        <w:t xml:space="preserve">The problem it solves:</w:t>
      </w:r>
      <w:r>
        <w:t xml:space="preserve"> </w:t>
      </w:r>
      <w:r>
        <w:t xml:space="preserve">A salesperson opens a new sales order for a customer with a credit limit. Unknown to the salesperson, this customer has paid late repeatedly and currently has a 60-day overdue invoice. The credit controller only finds out when the order is already confirmed.</w:t>
      </w:r>
    </w:p>
    <w:p>
      <w:pPr>
        <w:pStyle w:val="BodyText"/>
      </w:pPr>
      <w:r>
        <w:rPr>
          <w:b/>
          <w:bCs/>
        </w:rPr>
        <w:t xml:space="preserve">What it does:</w:t>
      </w:r>
      <w:r>
        <w:t xml:space="preserve"> </w:t>
      </w:r>
      <w:r>
        <w:t xml:space="preserve">Before a new credit sale is confirmed for any customer, the system runs the customer through a Risk Scorecard — payment history, average days-to-pay, current overdue balance, and trend direction — and produces a Green / Amber / Red rating. Amber ratings display a warning that the sales team can acknowledge. Red ratings require explicit Sales Manager approval before the order is confirmed; the approval reason is logged in the audit trail.</w:t>
      </w:r>
    </w:p>
    <w:p>
      <w:pPr>
        <w:pStyle w:val="BodyText"/>
      </w:pPr>
      <w:r>
        <w:rPr>
          <w:b/>
          <w:bCs/>
        </w:rPr>
        <w:t xml:space="preserve">Why owners pay for it:</w:t>
      </w:r>
      <w:r>
        <w:t xml:space="preserve"> </w:t>
      </w:r>
      <w:r>
        <w:t xml:space="preserve">Bad debt reduction. One prevented bad debt can cover 12 months of subscription fees. Credit teams use the weekly risk ranking to prioritise collection calls.</w:t>
      </w:r>
    </w:p>
    <w:p>
      <w:pPr>
        <w:pStyle w:val="BodyText"/>
      </w:pPr>
      <w:r>
        <w:rPr>
          <w:b/>
          <w:bCs/>
        </w:rPr>
        <w:t xml:space="preserve">Pricing tier:</w:t>
      </w:r>
      <w:r>
        <w:t xml:space="preserve"> </w:t>
      </w:r>
      <w:r>
        <w:t xml:space="preserve">Growth and above.</w:t>
      </w:r>
    </w:p>
    <w:p>
      <w:pPr>
        <w:pStyle w:val="BodyText"/>
      </w:pPr>
      <w:r>
        <w:rPr>
          <w:b/>
          <w:bCs/>
        </w:rPr>
        <w:t xml:space="preserve">FR-AI-004</w:t>
      </w:r>
      <w:r>
        <w:t xml:space="preserve"> </w:t>
      </w:r>
      <w:r>
        <w:t xml:space="preserve">— see SRS Module 15, FR-AI-004 for full technical specification.</w:t>
      </w:r>
    </w:p>
    <w:p>
      <w:r>
        <w:pict>
          <v:rect style="width:0;height:1.5pt" o:hralign="center" o:hrstd="t" o:hr="t"/>
        </w:pict>
      </w:r>
    </w:p>
    <w:bookmarkEnd w:id="83"/>
    <w:bookmarkStart w:id="84" w:name="Xf899a5ad0e538e65599cf5dd64375d3e3dbbf43"/>
    <w:p>
      <w:pPr>
        <w:pStyle w:val="Heading2"/>
      </w:pPr>
      <w:r>
        <w:t xml:space="preserve">AI Feature 5: Get a Plain-English Explanation of What the Numbers Mean</w:t>
      </w:r>
    </w:p>
    <w:p>
      <w:pPr>
        <w:pStyle w:val="FirstParagraph"/>
      </w:pPr>
      <w:r>
        <w:rPr>
          <w:b/>
          <w:bCs/>
        </w:rPr>
        <w:t xml:space="preserve">Who benefits:</w:t>
      </w:r>
      <w:r>
        <w:t xml:space="preserve"> </w:t>
      </w:r>
      <w:r>
        <w:t xml:space="preserve">Managing Directors, Board Members, Business Owners who are not accountants.</w:t>
      </w:r>
    </w:p>
    <w:p>
      <w:pPr>
        <w:pStyle w:val="BodyText"/>
      </w:pPr>
      <w:r>
        <w:rPr>
          <w:b/>
          <w:bCs/>
        </w:rPr>
        <w:t xml:space="preserve">The problem it solves:</w:t>
      </w:r>
      <w:r>
        <w:t xml:space="preserve"> </w:t>
      </w:r>
      <w:r>
        <w:t xml:space="preserve">A business owner receives a 12-page financial report every month. They read the revenue line and the profit line, skip the rest, and sign the acknowledgement. They are missing important signals buried in the numbers — signals that would prompt them to act.</w:t>
      </w:r>
    </w:p>
    <w:p>
      <w:pPr>
        <w:pStyle w:val="BodyText"/>
      </w:pPr>
      <w:r>
        <w:rPr>
          <w:b/>
          <w:bCs/>
        </w:rPr>
        <w:t xml:space="preserve">What it does:</w:t>
      </w:r>
      <w:r>
        <w:t xml:space="preserve"> </w:t>
      </w:r>
      <w:r>
        <w:t xml:space="preserve">On the 5th of each month, after the preceding month's accounts are finalised, the system reads the P&amp;L, Balance Sheet, and Cash Flow and generates a 3-paragraph Management Commentary in plain English: what changed versus last month, what changed versus the same month last year, and the 3 most important things the owner should act on this month. No accounting jargon. The commentary is sent as a push notification to the Finance Director and Managing Director, with a link to the full report.</w:t>
      </w:r>
    </w:p>
    <w:p>
      <w:pPr>
        <w:pStyle w:val="BodyText"/>
      </w:pPr>
      <w:r>
        <w:rPr>
          <w:b/>
          <w:bCs/>
        </w:rPr>
        <w:t xml:space="preserve">Why owners pay for it:</w:t>
      </w:r>
      <w:r>
        <w:t xml:space="preserve"> </w:t>
      </w:r>
      <w:r>
        <w:t xml:space="preserve">It makes the monthly accounts intelligible to every level of management. Board packs become readable. The owner can discuss the business with confidence.</w:t>
      </w:r>
    </w:p>
    <w:p>
      <w:pPr>
        <w:pStyle w:val="BodyText"/>
      </w:pPr>
      <w:r>
        <w:rPr>
          <w:b/>
          <w:bCs/>
        </w:rPr>
        <w:t xml:space="preserve">Pricing tier:</w:t>
      </w:r>
      <w:r>
        <w:t xml:space="preserve"> </w:t>
      </w:r>
      <w:r>
        <w:t xml:space="preserve">Business and Enterprise.</w:t>
      </w:r>
    </w:p>
    <w:p>
      <w:pPr>
        <w:pStyle w:val="BodyText"/>
      </w:pPr>
      <w:r>
        <w:rPr>
          <w:b/>
          <w:bCs/>
        </w:rPr>
        <w:t xml:space="preserve">FR-AI-005</w:t>
      </w:r>
      <w:r>
        <w:t xml:space="preserve"> </w:t>
      </w:r>
      <w:r>
        <w:t xml:space="preserve">— see SRS Module 15, FR-AI-005 for full technical specification.</w:t>
      </w:r>
    </w:p>
    <w:p>
      <w:r>
        <w:pict>
          <v:rect style="width:0;height:1.5pt" o:hralign="center" o:hrstd="t" o:hr="t"/>
        </w:pict>
      </w:r>
    </w:p>
    <w:bookmarkEnd w:id="84"/>
    <w:bookmarkStart w:id="85" w:name="ai-intelligence-module-packaging-summary"/>
    <w:p>
      <w:pPr>
        <w:pStyle w:val="Heading2"/>
      </w:pPr>
      <w:r>
        <w:t xml:space="preserve">AI Intelligence Module Packaging Summary</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Feature</w:t>
            </w:r>
          </w:p>
        </w:tc>
        <w:tc>
          <w:tcPr/>
          <w:p>
            <w:pPr>
              <w:pStyle w:val="Compact"/>
            </w:pPr>
            <w:r>
              <w:t xml:space="preserve">Professional (UGX 100K/mo)</w:t>
            </w:r>
          </w:p>
        </w:tc>
        <w:tc>
          <w:tcPr/>
          <w:p>
            <w:pPr>
              <w:pStyle w:val="Compact"/>
            </w:pPr>
            <w:r>
              <w:t xml:space="preserve">Business (UGX 300K/mo)</w:t>
            </w:r>
          </w:p>
        </w:tc>
        <w:tc>
          <w:tcPr/>
          <w:p>
            <w:pPr>
              <w:pStyle w:val="Compact"/>
            </w:pPr>
            <w:r>
              <w:t xml:space="preserve">Enterprise (UGX 800K/mo)</w:t>
            </w:r>
          </w:p>
        </w:tc>
      </w:tr>
      <w:tr>
        <w:tc>
          <w:tcPr/>
          <w:p>
            <w:pPr>
              <w:pStyle w:val="Compact"/>
            </w:pPr>
            <w:r>
              <w:t xml:space="preserve">Cash Flow Intelligence</w:t>
            </w:r>
          </w:p>
        </w:tc>
        <w:tc>
          <w:tcPr/>
          <w:p>
            <w:pPr>
              <w:pStyle w:val="Compact"/>
            </w:pPr>
            <w:r>
              <w:t xml:space="preserve">Yes</w:t>
            </w:r>
          </w:p>
        </w:tc>
        <w:tc>
          <w:tcPr/>
          <w:p>
            <w:pPr>
              <w:pStyle w:val="Compact"/>
            </w:pPr>
            <w:r>
              <w:t xml:space="preserve">Yes</w:t>
            </w:r>
          </w:p>
        </w:tc>
        <w:tc>
          <w:tcPr/>
          <w:p>
            <w:pPr>
              <w:pStyle w:val="Compact"/>
            </w:pPr>
            <w:r>
              <w:t xml:space="preserve">Yes</w:t>
            </w:r>
          </w:p>
        </w:tc>
      </w:tr>
      <w:tr>
        <w:tc>
          <w:tcPr/>
          <w:p>
            <w:pPr>
              <w:pStyle w:val="Compact"/>
            </w:pPr>
            <w:r>
              <w:t xml:space="preserve">Demand Forecasting and Reorder</w:t>
            </w:r>
          </w:p>
        </w:tc>
        <w:tc>
          <w:tcPr/>
          <w:p>
            <w:pPr>
              <w:pStyle w:val="Compact"/>
            </w:pPr>
            <w:r>
              <w:t xml:space="preserve">Yes</w:t>
            </w:r>
          </w:p>
        </w:tc>
        <w:tc>
          <w:tcPr/>
          <w:p>
            <w:pPr>
              <w:pStyle w:val="Compact"/>
            </w:pPr>
            <w:r>
              <w:t xml:space="preserve">Yes</w:t>
            </w:r>
          </w:p>
        </w:tc>
        <w:tc>
          <w:tcPr/>
          <w:p>
            <w:pPr>
              <w:pStyle w:val="Compact"/>
            </w:pPr>
            <w:r>
              <w:t xml:space="preserve">Yes</w:t>
            </w:r>
          </w:p>
        </w:tc>
      </w:tr>
      <w:tr>
        <w:tc>
          <w:tcPr/>
          <w:p>
            <w:pPr>
              <w:pStyle w:val="Compact"/>
            </w:pPr>
            <w:r>
              <w:t xml:space="preserve">Debtor Default Risk Scoring</w:t>
            </w:r>
          </w:p>
        </w:tc>
        <w:tc>
          <w:tcPr/>
          <w:p>
            <w:pPr>
              <w:pStyle w:val="Compact"/>
            </w:pPr>
            <w:r>
              <w:t xml:space="preserve">Yes</w:t>
            </w:r>
          </w:p>
        </w:tc>
        <w:tc>
          <w:tcPr/>
          <w:p>
            <w:pPr>
              <w:pStyle w:val="Compact"/>
            </w:pPr>
            <w:r>
              <w:t xml:space="preserve">Yes</w:t>
            </w:r>
          </w:p>
        </w:tc>
        <w:tc>
          <w:tcPr/>
          <w:p>
            <w:pPr>
              <w:pStyle w:val="Compact"/>
            </w:pPr>
            <w:r>
              <w:t xml:space="preserve">Yes</w:t>
            </w:r>
          </w:p>
        </w:tc>
      </w:tr>
      <w:tr>
        <w:tc>
          <w:tcPr/>
          <w:p>
            <w:pPr>
              <w:pStyle w:val="Compact"/>
            </w:pPr>
            <w:r>
              <w:t xml:space="preserve">GL Anomaly Detection</w:t>
            </w:r>
          </w:p>
        </w:tc>
        <w:tc>
          <w:tcPr/>
          <w:p>
            <w:pPr>
              <w:pStyle w:val="Compact"/>
            </w:pPr>
            <w:r>
              <w:t xml:space="preserve">—</w:t>
            </w:r>
          </w:p>
        </w:tc>
        <w:tc>
          <w:tcPr/>
          <w:p>
            <w:pPr>
              <w:pStyle w:val="Compact"/>
            </w:pPr>
            <w:r>
              <w:t xml:space="preserve">Yes</w:t>
            </w:r>
          </w:p>
        </w:tc>
        <w:tc>
          <w:tcPr/>
          <w:p>
            <w:pPr>
              <w:pStyle w:val="Compact"/>
            </w:pPr>
            <w:r>
              <w:t xml:space="preserve">Yes</w:t>
            </w:r>
          </w:p>
        </w:tc>
      </w:tr>
      <w:tr>
        <w:tc>
          <w:tcPr/>
          <w:p>
            <w:pPr>
              <w:pStyle w:val="Compact"/>
            </w:pPr>
            <w:r>
              <w:t xml:space="preserve">Narrative Financial Reports</w:t>
            </w:r>
          </w:p>
        </w:tc>
        <w:tc>
          <w:tcPr/>
          <w:p>
            <w:pPr>
              <w:pStyle w:val="Compact"/>
            </w:pPr>
            <w:r>
              <w:t xml:space="preserve">—</w:t>
            </w:r>
          </w:p>
        </w:tc>
        <w:tc>
          <w:tcPr/>
          <w:p>
            <w:pPr>
              <w:pStyle w:val="Compact"/>
            </w:pPr>
            <w:r>
              <w:t xml:space="preserve">Yes</w:t>
            </w:r>
          </w:p>
        </w:tc>
        <w:tc>
          <w:tcPr/>
          <w:p>
            <w:pPr>
              <w:pStyle w:val="Compact"/>
            </w:pPr>
            <w:r>
              <w:t xml:space="preserve">Yes</w:t>
            </w:r>
          </w:p>
        </w:tc>
      </w:tr>
    </w:tbl>
    <w:p>
      <w:pPr>
        <w:pStyle w:val="BodyText"/>
      </w:pPr>
      <w:r>
        <w:rPr>
          <w:b/>
          <w:bCs/>
        </w:rPr>
        <w:t xml:space="preserve">All features are off by default within the purchased plan.</w:t>
      </w:r>
      <w:r>
        <w:t xml:space="preserve"> </w:t>
      </w:r>
      <w:r>
        <w:t xml:space="preserve">The account owner enables each feature individually from</w:t>
      </w:r>
      <w:r>
        <w:t xml:space="preserve"> </w:t>
      </w:r>
      <w:r>
        <w:rPr>
          <w:b/>
          <w:bCs/>
        </w:rPr>
        <w:t xml:space="preserve">Settings → AI Intelligence</w:t>
      </w:r>
      <w:r>
        <w:t xml:space="preserve">.</w:t>
      </w:r>
    </w:p>
    <w:bookmarkEnd w:id="85"/>
    <w:bookmarkEnd w:id="86"/>
    <w:bookmarkStart w:id="93" w:name="Xf8227227ae81cf775b96b824b0c2b3d248f77e6"/>
    <w:p>
      <w:pPr>
        <w:pStyle w:val="Heading1"/>
      </w:pPr>
      <w:r>
        <w:t xml:space="preserve">Industrial Lifecycle, Manufacturing Execution, and Transportation Depth</w:t>
      </w:r>
    </w:p>
    <w:bookmarkStart w:id="87" w:name="positioning-1"/>
    <w:p>
      <w:pPr>
        <w:pStyle w:val="Heading2"/>
      </w:pPr>
      <w:r>
        <w:t xml:space="preserve">Positioning</w:t>
      </w:r>
    </w:p>
    <w:p>
      <w:pPr>
        <w:pStyle w:val="FirstParagraph"/>
      </w:pPr>
      <w:r>
        <w:t xml:space="preserve">Longhorn ERP shall be positioned as an African ERP that can serve both growing SMEs and larger, operationally complex organisations without forcing them to leave the platform once they outgrow basic accounting and inventory controls. That means Longhorn ERP must not stop at financial ERP depth. It must also govern how products are designed, how factories execute work, and how goods move through transport networks.</w:t>
      </w:r>
    </w:p>
    <w:p>
      <w:pPr>
        <w:pStyle w:val="BodyText"/>
      </w:pPr>
      <w:r>
        <w:t xml:space="preserve">This strategic extension introduces three explicit capability layers:</w:t>
      </w:r>
    </w:p>
    <w:p>
      <w:pPr>
        <w:pStyle w:val="Compact"/>
        <w:numPr>
          <w:ilvl w:val="0"/>
          <w:numId w:val="1011"/>
        </w:numPr>
      </w:pPr>
      <w:r>
        <w:rPr>
          <w:b/>
          <w:bCs/>
        </w:rPr>
        <w:t xml:space="preserve">Product Lifecycle Management (PLM)</w:t>
      </w:r>
      <w:r>
        <w:t xml:space="preserve"> </w:t>
      </w:r>
      <w:r>
        <w:t xml:space="preserve">- engineering truth, revision control, engineering change, effectivity, and NPI governance</w:t>
      </w:r>
    </w:p>
    <w:p>
      <w:pPr>
        <w:pStyle w:val="Compact"/>
        <w:numPr>
          <w:ilvl w:val="0"/>
          <w:numId w:val="1011"/>
        </w:numPr>
      </w:pPr>
      <w:r>
        <w:rPr>
          <w:b/>
          <w:bCs/>
        </w:rPr>
        <w:t xml:space="preserve">MES-grade Manufacturing Execution</w:t>
      </w:r>
      <w:r>
        <w:t xml:space="preserve"> </w:t>
      </w:r>
      <w:r>
        <w:t xml:space="preserve">- routings, work centres, operation tracking, genealogy, in-process quality, downtime, and OEE</w:t>
      </w:r>
    </w:p>
    <w:p>
      <w:pPr>
        <w:pStyle w:val="Compact"/>
        <w:numPr>
          <w:ilvl w:val="0"/>
          <w:numId w:val="1011"/>
        </w:numPr>
      </w:pPr>
      <w:r>
        <w:rPr>
          <w:b/>
          <w:bCs/>
        </w:rPr>
        <w:t xml:space="preserve">Transportation and Fleet Operations</w:t>
      </w:r>
      <w:r>
        <w:t xml:space="preserve"> </w:t>
      </w:r>
      <w:r>
        <w:t xml:space="preserve">- shipment planning, dispatch, route execution, ETA visibility, freight audit, and fleet operations control</w:t>
      </w:r>
    </w:p>
    <w:p>
      <w:pPr>
        <w:pStyle w:val="FirstParagraph"/>
      </w:pPr>
      <w:r>
        <w:t xml:space="preserve">These capabilities are modular. A small company can activate only the layers it needs. A large manufacturer or distributor can activate all of them and run one coherent digital operating system inside Longhorn ERP.</w:t>
      </w:r>
    </w:p>
    <w:p>
      <w:r>
        <w:pict>
          <v:rect style="width:0;height:1.5pt" o:hralign="center" o:hrstd="t" o:hr="t"/>
        </w:pict>
      </w:r>
    </w:p>
    <w:bookmarkEnd w:id="87"/>
    <w:bookmarkStart w:id="88" w:name="Xd0b0d03c0071c3f3e0e467c5dd714c3d98adad1"/>
    <w:p>
      <w:pPr>
        <w:pStyle w:val="Heading2"/>
      </w:pPr>
      <w:r>
        <w:t xml:space="preserve">Capability 1: Product Lifecycle Management (PLM)</w:t>
      </w:r>
    </w:p>
    <w:p>
      <w:pPr>
        <w:pStyle w:val="FirstParagraph"/>
      </w:pPr>
      <w:r>
        <w:rPr>
          <w:b/>
          <w:bCs/>
        </w:rPr>
        <w:t xml:space="preserve">Who benefits:</w:t>
      </w:r>
      <w:r>
        <w:t xml:space="preserve"> </w:t>
      </w:r>
      <w:r>
        <w:t xml:space="preserve">Engineering managers, product development teams, quality managers, compliance officers, operations leaders.</w:t>
      </w:r>
    </w:p>
    <w:p>
      <w:pPr>
        <w:pStyle w:val="BodyText"/>
      </w:pPr>
      <w:r>
        <w:rPr>
          <w:b/>
          <w:bCs/>
        </w:rPr>
        <w:t xml:space="preserve">The problem it solves:</w:t>
      </w:r>
      <w:r>
        <w:t xml:space="preserve"> </w:t>
      </w:r>
      <w:r>
        <w:t xml:space="preserve">Many manufacturers lose control long before production starts. The wrong drawing is emailed to procurement. A BOM is changed informally. A plant builds to an obsolete revision. A compliance certificate expires and nobody notices until an audit or customer complaint. Inventory and production systems can only execute correctly if engineering truth is governed first.</w:t>
      </w:r>
    </w:p>
    <w:p>
      <w:pPr>
        <w:pStyle w:val="BodyText"/>
      </w:pPr>
      <w:r>
        <w:rPr>
          <w:b/>
          <w:bCs/>
        </w:rPr>
        <w:t xml:space="preserve">What it does:</w:t>
      </w:r>
      <w:r>
        <w:t xml:space="preserve"> </w:t>
      </w:r>
      <w:r>
        <w:t xml:space="preserve">The PLM module maintains a controlled engineering item master with revision status, engineering BOMs, document control, engineering change workflows, effectivity rules, stage-gate progression, and compliance evidence. Only released and effective structures are published downstream for procurement, inventory, and manufacturing use.</w:t>
      </w:r>
    </w:p>
    <w:p>
      <w:pPr>
        <w:pStyle w:val="BodyText"/>
      </w:pPr>
      <w:r>
        <w:rPr>
          <w:b/>
          <w:bCs/>
        </w:rPr>
        <w:t xml:space="preserve">Why owners pay for it:</w:t>
      </w:r>
      <w:r>
        <w:t xml:space="preserve"> </w:t>
      </w:r>
      <w:r>
        <w:t xml:space="preserve">Fewer engineering errors, fewer wrong-build incidents, faster NPI cycles, stronger audit readiness, and lower cost of change across product lines.</w:t>
      </w:r>
    </w:p>
    <w:p>
      <w:pPr>
        <w:pStyle w:val="BodyText"/>
      </w:pPr>
      <w:r>
        <w:rPr>
          <w:b/>
          <w:bCs/>
        </w:rPr>
        <w:t xml:space="preserve">Pricing tier:</w:t>
      </w:r>
      <w:r>
        <w:t xml:space="preserve"> </w:t>
      </w:r>
      <w:r>
        <w:t xml:space="preserve">Packaging and standalone pricing to be finalised.</w:t>
      </w:r>
    </w:p>
    <w:p>
      <w:pPr>
        <w:pStyle w:val="BodyText"/>
      </w:pPr>
      <w:r>
        <w:rPr>
          <w:b/>
          <w:bCs/>
        </w:rPr>
        <w:t xml:space="preserve">FR-PLM-001 to FR-PLM-006</w:t>
      </w:r>
      <w:r>
        <w:t xml:space="preserve"> </w:t>
      </w:r>
      <w:r>
        <w:t xml:space="preserve">- see SRS Module 16 for full technical specification.</w:t>
      </w:r>
    </w:p>
    <w:p>
      <w:r>
        <w:pict>
          <v:rect style="width:0;height:1.5pt" o:hralign="center" o:hrstd="t" o:hr="t"/>
        </w:pict>
      </w:r>
    </w:p>
    <w:bookmarkEnd w:id="88"/>
    <w:bookmarkStart w:id="89" w:name="X13f49fd4699712dbe2b9c2d929fcd469a871e88"/>
    <w:p>
      <w:pPr>
        <w:pStyle w:val="Heading2"/>
      </w:pPr>
      <w:r>
        <w:t xml:space="preserve">Capability 2: MES-Grade Manufacturing Execution</w:t>
      </w:r>
    </w:p>
    <w:p>
      <w:pPr>
        <w:pStyle w:val="FirstParagraph"/>
      </w:pPr>
      <w:r>
        <w:rPr>
          <w:b/>
          <w:bCs/>
        </w:rPr>
        <w:t xml:space="preserve">Who benefits:</w:t>
      </w:r>
      <w:r>
        <w:t xml:space="preserve"> </w:t>
      </w:r>
      <w:r>
        <w:t xml:space="preserve">Plant managers, production supervisors, quality leads, operations directors, cost accountants.</w:t>
      </w:r>
    </w:p>
    <w:p>
      <w:pPr>
        <w:pStyle w:val="BodyText"/>
      </w:pPr>
      <w:r>
        <w:rPr>
          <w:b/>
          <w:bCs/>
        </w:rPr>
        <w:t xml:space="preserve">The problem it solves:</w:t>
      </w:r>
      <w:r>
        <w:t xml:space="preserve"> </w:t>
      </w:r>
      <w:r>
        <w:t xml:space="preserve">A production order may exist in ERP, but that does not mean the plant is under control. Without operation-level dispatch, material validation, genealogy, in-process quality, downtime capture, and governed rework, management only sees results after waste, delay, or nonconformance has already occurred.</w:t>
      </w:r>
    </w:p>
    <w:p>
      <w:pPr>
        <w:pStyle w:val="BodyText"/>
      </w:pPr>
      <w:r>
        <w:rPr>
          <w:b/>
          <w:bCs/>
        </w:rPr>
        <w:t xml:space="preserve">What it does:</w:t>
      </w:r>
      <w:r>
        <w:t xml:space="preserve"> </w:t>
      </w:r>
      <w:r>
        <w:t xml:space="preserve">The Manufacturing module is extended beyond planning and costing into execution discipline. It governs routings, work centres, operation start and completion, lot-level material traceability, stage-specific quality checks, rework loops, downtime classification, and OEE-style performance reporting.</w:t>
      </w:r>
    </w:p>
    <w:p>
      <w:pPr>
        <w:pStyle w:val="BodyText"/>
      </w:pPr>
      <w:r>
        <w:rPr>
          <w:b/>
          <w:bCs/>
        </w:rPr>
        <w:t xml:space="preserve">Why owners pay for it:</w:t>
      </w:r>
      <w:r>
        <w:t xml:space="preserve"> </w:t>
      </w:r>
      <w:r>
        <w:t xml:space="preserve">Better plant visibility, lower scrap, faster root-cause analysis, stronger traceability for food, agro-processing, and industrial manufacturers, and more reliable production costing.</w:t>
      </w:r>
    </w:p>
    <w:p>
      <w:pPr>
        <w:pStyle w:val="BodyText"/>
      </w:pPr>
      <w:r>
        <w:rPr>
          <w:b/>
          <w:bCs/>
        </w:rPr>
        <w:t xml:space="preserve">Pricing tier:</w:t>
      </w:r>
      <w:r>
        <w:t xml:space="preserve"> </w:t>
      </w:r>
      <w:r>
        <w:t xml:space="preserve">Manufacturing add-on; detailed packaging to be refined as MES-grade capabilities are staged into release waves.</w:t>
      </w:r>
    </w:p>
    <w:p>
      <w:pPr>
        <w:pStyle w:val="BodyText"/>
      </w:pPr>
      <w:r>
        <w:rPr>
          <w:b/>
          <w:bCs/>
        </w:rPr>
        <w:t xml:space="preserve">FR-MFG-MES</w:t>
      </w:r>
      <w:r>
        <w:t xml:space="preserve"> </w:t>
      </w:r>
      <w:r>
        <w:t xml:space="preserve">- detailed requirements uplift to be added into the Manufacturing SRS stream.</w:t>
      </w:r>
    </w:p>
    <w:p>
      <w:r>
        <w:pict>
          <v:rect style="width:0;height:1.5pt" o:hralign="center" o:hrstd="t" o:hr="t"/>
        </w:pict>
      </w:r>
    </w:p>
    <w:bookmarkEnd w:id="89"/>
    <w:bookmarkStart w:id="90" w:name="Xa22881436a94f03bf8d5882337a9f7298ad818a"/>
    <w:p>
      <w:pPr>
        <w:pStyle w:val="Heading2"/>
      </w:pPr>
      <w:r>
        <w:t xml:space="preserve">Capability 3: Transportation Planning and Dispatch</w:t>
      </w:r>
    </w:p>
    <w:p>
      <w:pPr>
        <w:pStyle w:val="FirstParagraph"/>
      </w:pPr>
      <w:r>
        <w:rPr>
          <w:b/>
          <w:bCs/>
        </w:rPr>
        <w:t xml:space="preserve">Who benefits:</w:t>
      </w:r>
      <w:r>
        <w:t xml:space="preserve"> </w:t>
      </w:r>
      <w:r>
        <w:t xml:space="preserve">Transport managers, logistics planners, dispatch teams, branch managers, operations directors.</w:t>
      </w:r>
    </w:p>
    <w:p>
      <w:pPr>
        <w:pStyle w:val="BodyText"/>
      </w:pPr>
      <w:r>
        <w:rPr>
          <w:b/>
          <w:bCs/>
        </w:rPr>
        <w:t xml:space="preserve">The problem it solves:</w:t>
      </w:r>
      <w:r>
        <w:t xml:space="preserve"> </w:t>
      </w:r>
      <w:r>
        <w:t xml:space="preserve">A delivery note records that goods left a warehouse. It does not decide how to consolidate loads, which route to use, which vehicle or carrier to assign, how to recover from a late shipment, or how to control freight cost. Businesses moving goods at scale need transport operations, not just shipping records.</w:t>
      </w:r>
    </w:p>
    <w:p>
      <w:pPr>
        <w:pStyle w:val="BodyText"/>
      </w:pPr>
      <w:r>
        <w:rPr>
          <w:b/>
          <w:bCs/>
        </w:rPr>
        <w:t xml:space="preserve">What it does:</w:t>
      </w:r>
      <w:r>
        <w:t xml:space="preserve"> </w:t>
      </w:r>
      <w:r>
        <w:t xml:space="preserve">The Transportation module creates shipment orders from sales, procurement, and stock-transfer demand; plans routes and loads; assigns internal fleet or third-party carriers; manages dispatch; tracks milestones and ETA; and raises exceptions when execution deviates from plan.</w:t>
      </w:r>
    </w:p>
    <w:p>
      <w:pPr>
        <w:pStyle w:val="BodyText"/>
      </w:pPr>
      <w:r>
        <w:rPr>
          <w:b/>
          <w:bCs/>
        </w:rPr>
        <w:t xml:space="preserve">Why owners pay for it:</w:t>
      </w:r>
      <w:r>
        <w:t xml:space="preserve"> </w:t>
      </w:r>
      <w:r>
        <w:t xml:space="preserve">Lower freight cost, fewer delivery failures, tighter branch coordination, better customer service, and a single control tower for physical movement.</w:t>
      </w:r>
    </w:p>
    <w:p>
      <w:pPr>
        <w:pStyle w:val="BodyText"/>
      </w:pPr>
      <w:r>
        <w:rPr>
          <w:b/>
          <w:bCs/>
        </w:rPr>
        <w:t xml:space="preserve">Pricing tier:</w:t>
      </w:r>
      <w:r>
        <w:t xml:space="preserve"> </w:t>
      </w:r>
      <w:r>
        <w:t xml:space="preserve">Packaging and standalone pricing to be finalised.</w:t>
      </w:r>
    </w:p>
    <w:p>
      <w:pPr>
        <w:pStyle w:val="BodyText"/>
      </w:pPr>
      <w:r>
        <w:rPr>
          <w:b/>
          <w:bCs/>
        </w:rPr>
        <w:t xml:space="preserve">FR-TMS-001 to FR-TMS-006</w:t>
      </w:r>
      <w:r>
        <w:t xml:space="preserve"> </w:t>
      </w:r>
      <w:r>
        <w:t xml:space="preserve">- see SRS Module 17 for full technical specification.</w:t>
      </w:r>
    </w:p>
    <w:p>
      <w:r>
        <w:pict>
          <v:rect style="width:0;height:1.5pt" o:hralign="center" o:hrstd="t" o:hr="t"/>
        </w:pict>
      </w:r>
    </w:p>
    <w:bookmarkEnd w:id="90"/>
    <w:bookmarkStart w:id="91" w:name="capability-4-fleet-operations-control"/>
    <w:p>
      <w:pPr>
        <w:pStyle w:val="Heading2"/>
      </w:pPr>
      <w:r>
        <w:t xml:space="preserve">Capability 4: Fleet Operations Control</w:t>
      </w:r>
    </w:p>
    <w:p>
      <w:pPr>
        <w:pStyle w:val="FirstParagraph"/>
      </w:pPr>
      <w:r>
        <w:rPr>
          <w:b/>
          <w:bCs/>
        </w:rPr>
        <w:t xml:space="preserve">Who benefits:</w:t>
      </w:r>
      <w:r>
        <w:t xml:space="preserve"> </w:t>
      </w:r>
      <w:r>
        <w:t xml:space="preserve">Fleet managers, transport coordinators, driver supervisors, finance teams tracking vehicle utilisation.</w:t>
      </w:r>
    </w:p>
    <w:p>
      <w:pPr>
        <w:pStyle w:val="BodyText"/>
      </w:pPr>
      <w:r>
        <w:rPr>
          <w:b/>
          <w:bCs/>
        </w:rPr>
        <w:t xml:space="preserve">The problem it solves:</w:t>
      </w:r>
      <w:r>
        <w:t xml:space="preserve"> </w:t>
      </w:r>
      <w:r>
        <w:t xml:space="preserve">Asset registers can tell the business what a vehicle cost and when it is due for service. They do not manage live dispatch, route adherence, driver assignment, trip closure, or telematics events. When fleet operations are handled in spreadsheets and calls, service quality and utilisation both degrade.</w:t>
      </w:r>
    </w:p>
    <w:p>
      <w:pPr>
        <w:pStyle w:val="BodyText"/>
      </w:pPr>
      <w:r>
        <w:rPr>
          <w:b/>
          <w:bCs/>
        </w:rPr>
        <w:t xml:space="preserve">What it does:</w:t>
      </w:r>
      <w:r>
        <w:t xml:space="preserve"> </w:t>
      </w:r>
      <w:r>
        <w:t xml:space="preserve">Transportation extends fleet management into daily operations: vehicle and driver availability checks, trip assignment, proof of pickup and delivery capture, route deviation handling, fuel-event reconciliation, and telematics-ready ingestion of location and status signals.</w:t>
      </w:r>
    </w:p>
    <w:p>
      <w:pPr>
        <w:pStyle w:val="BodyText"/>
      </w:pPr>
      <w:r>
        <w:rPr>
          <w:b/>
          <w:bCs/>
        </w:rPr>
        <w:t xml:space="preserve">Why owners pay for it:</w:t>
      </w:r>
      <w:r>
        <w:t xml:space="preserve"> </w:t>
      </w:r>
      <w:r>
        <w:t xml:space="preserve">Better asset utilisation, fewer unauthorised trips, stronger delivery execution, and better linkage between operational fleet use and financial fleet ownership.</w:t>
      </w:r>
    </w:p>
    <w:p>
      <w:pPr>
        <w:pStyle w:val="BodyText"/>
      </w:pPr>
      <w:r>
        <w:rPr>
          <w:b/>
          <w:bCs/>
        </w:rPr>
        <w:t xml:space="preserve">Pricing tier:</w:t>
      </w:r>
      <w:r>
        <w:t xml:space="preserve"> </w:t>
      </w:r>
      <w:r>
        <w:t xml:space="preserve">Included within Transportation and Fleet Operations packaging.</w:t>
      </w:r>
    </w:p>
    <w:p>
      <w:pPr>
        <w:pStyle w:val="BodyText"/>
      </w:pPr>
      <w:r>
        <w:rPr>
          <w:b/>
          <w:bCs/>
        </w:rPr>
        <w:t xml:space="preserve">FR-TMS-003 to FR-TMS-005</w:t>
      </w:r>
      <w:r>
        <w:t xml:space="preserve"> </w:t>
      </w:r>
      <w:r>
        <w:t xml:space="preserve">- see SRS Module 17 for full technical specification.</w:t>
      </w:r>
    </w:p>
    <w:p>
      <w:r>
        <w:pict>
          <v:rect style="width:0;height:1.5pt" o:hralign="center" o:hrstd="t" o:hr="t"/>
        </w:pict>
      </w:r>
    </w:p>
    <w:bookmarkEnd w:id="91"/>
    <w:bookmarkStart w:id="92" w:name="product-boundary-rule"/>
    <w:p>
      <w:pPr>
        <w:pStyle w:val="Heading2"/>
      </w:pPr>
      <w:r>
        <w:t xml:space="preserve">Product Boundary Rule</w:t>
      </w:r>
    </w:p>
    <w:p>
      <w:pPr>
        <w:pStyle w:val="FirstParagraph"/>
      </w:pPr>
      <w:r>
        <w:t xml:space="preserve">Longhorn ERP uses the following boundary rule to remain world-class rather than bloated:</w:t>
      </w:r>
    </w:p>
    <w:p>
      <w:pPr>
        <w:pStyle w:val="Compact"/>
        <w:numPr>
          <w:ilvl w:val="0"/>
          <w:numId w:val="1012"/>
        </w:numPr>
      </w:pPr>
      <w:r>
        <w:rPr>
          <w:rStyle w:val="VerbatimChar"/>
        </w:rPr>
        <w:t xml:space="preserve">PLM</w:t>
      </w:r>
      <w:r>
        <w:t xml:space="preserve"> </w:t>
      </w:r>
      <w:r>
        <w:t xml:space="preserve">owns engineering truth.</w:t>
      </w:r>
    </w:p>
    <w:p>
      <w:pPr>
        <w:pStyle w:val="Compact"/>
        <w:numPr>
          <w:ilvl w:val="0"/>
          <w:numId w:val="1012"/>
        </w:numPr>
      </w:pPr>
      <w:r>
        <w:rPr>
          <w:rStyle w:val="VerbatimChar"/>
        </w:rPr>
        <w:t xml:space="preserve">MANUFACTURING</w:t>
      </w:r>
      <w:r>
        <w:t xml:space="preserve"> </w:t>
      </w:r>
      <w:r>
        <w:t xml:space="preserve">owns plant execution and production economics.</w:t>
      </w:r>
    </w:p>
    <w:p>
      <w:pPr>
        <w:pStyle w:val="Compact"/>
        <w:numPr>
          <w:ilvl w:val="0"/>
          <w:numId w:val="1012"/>
        </w:numPr>
      </w:pPr>
      <w:r>
        <w:rPr>
          <w:rStyle w:val="VerbatimChar"/>
        </w:rPr>
        <w:t xml:space="preserve">TRANSPORTATION</w:t>
      </w:r>
      <w:r>
        <w:t xml:space="preserve"> </w:t>
      </w:r>
      <w:r>
        <w:t xml:space="preserve">owns shipment and fleet operations.</w:t>
      </w:r>
    </w:p>
    <w:p>
      <w:pPr>
        <w:pStyle w:val="Compact"/>
        <w:numPr>
          <w:ilvl w:val="0"/>
          <w:numId w:val="1012"/>
        </w:numPr>
      </w:pPr>
      <w:r>
        <w:rPr>
          <w:rStyle w:val="VerbatimChar"/>
        </w:rPr>
        <w:t xml:space="preserve">ASSETS</w:t>
      </w:r>
      <w:r>
        <w:t xml:space="preserve"> </w:t>
      </w:r>
      <w:r>
        <w:t xml:space="preserve">owns vehicle capital-asset accounting and maintenance history.</w:t>
      </w:r>
    </w:p>
    <w:p>
      <w:pPr>
        <w:pStyle w:val="FirstParagraph"/>
      </w:pPr>
      <w:r>
        <w:t xml:space="preserve">This separation keeps decision rights clear while still giving the customer one integrated ERP platform.</w:t>
      </w:r>
    </w:p>
    <w:bookmarkEnd w:id="92"/>
    <w:bookmarkEnd w:id="93"/>
    <w:bookmarkStart w:id="102" w:name="finance-erp-excellence"/>
    <w:p>
      <w:pPr>
        <w:pStyle w:val="Heading1"/>
      </w:pPr>
      <w:r>
        <w:t xml:space="preserve">Finance ERP Excellence</w:t>
      </w:r>
    </w:p>
    <w:bookmarkStart w:id="94" w:name="positioning-2"/>
    <w:p>
      <w:pPr>
        <w:pStyle w:val="Heading2"/>
      </w:pPr>
      <w:r>
        <w:t xml:space="preserve">Positioning</w:t>
      </w:r>
    </w:p>
    <w:p>
      <w:pPr>
        <w:pStyle w:val="FirstParagraph"/>
      </w:pPr>
      <w:r>
        <w:t xml:space="preserve">Longhorn ERP aims to be a world-class African ERP for organisations that must control money, risk, operations, and growth from a single platform. In that positioning, finance is not a back-office afterthought. It is the control tower for trust, capital discipline, operational visibility, and board-level decision-making.</w:t>
      </w:r>
    </w:p>
    <w:p>
      <w:pPr>
        <w:pStyle w:val="BodyText"/>
      </w:pPr>
      <w:r>
        <w:t xml:space="preserve">Longhorn ERP keeps</w:t>
      </w:r>
      <w:r>
        <w:t xml:space="preserve"> </w:t>
      </w:r>
      <w:r>
        <w:rPr>
          <w:rStyle w:val="VerbatimChar"/>
        </w:rPr>
        <w:t xml:space="preserve">ACCOUNTING</w:t>
      </w:r>
      <w:r>
        <w:t xml:space="preserve"> </w:t>
      </w:r>
      <w:r>
        <w:t xml:space="preserve">as the core finance module. The product does not fragment finance into disconnected mini-products. Instead, it deepens</w:t>
      </w:r>
      <w:r>
        <w:t xml:space="preserve"> </w:t>
      </w:r>
      <w:r>
        <w:rPr>
          <w:rStyle w:val="VerbatimChar"/>
        </w:rPr>
        <w:t xml:space="preserve">ACCOUNTING</w:t>
      </w:r>
      <w:r>
        <w:t xml:space="preserve"> </w:t>
      </w:r>
      <w:r>
        <w:t xml:space="preserve">so the same financial core can serve:</w:t>
      </w:r>
    </w:p>
    <w:p>
      <w:pPr>
        <w:pStyle w:val="Compact"/>
        <w:numPr>
          <w:ilvl w:val="0"/>
          <w:numId w:val="1013"/>
        </w:numPr>
      </w:pPr>
      <w:r>
        <w:t xml:space="preserve">small businesses that need strong controls early</w:t>
      </w:r>
    </w:p>
    <w:p>
      <w:pPr>
        <w:pStyle w:val="Compact"/>
        <w:numPr>
          <w:ilvl w:val="0"/>
          <w:numId w:val="1013"/>
        </w:numPr>
      </w:pPr>
      <w:r>
        <w:t xml:space="preserve">mid-market organisations that need faster close and better management reporting</w:t>
      </w:r>
    </w:p>
    <w:p>
      <w:pPr>
        <w:pStyle w:val="Compact"/>
        <w:numPr>
          <w:ilvl w:val="0"/>
          <w:numId w:val="1013"/>
        </w:numPr>
      </w:pPr>
      <w:r>
        <w:t xml:space="preserve">larger multi-entity groups that need consolidation foundations, finance governance, and audit-ready evidence</w:t>
      </w:r>
    </w:p>
    <w:bookmarkEnd w:id="94"/>
    <w:bookmarkStart w:id="100" w:name="world-class-finance-capability-themes"/>
    <w:p>
      <w:pPr>
        <w:pStyle w:val="Heading2"/>
      </w:pPr>
      <w:r>
        <w:t xml:space="preserve">World-Class Finance Capability Themes</w:t>
      </w:r>
    </w:p>
    <w:bookmarkStart w:id="95" w:name="X09df0a9dee15f5e7f9eca8102801b6591576de1"/>
    <w:p>
      <w:pPr>
        <w:pStyle w:val="Heading3"/>
      </w:pPr>
      <w:r>
        <w:t xml:space="preserve">1. Record-to-Report Discipline</w:t>
      </w:r>
    </w:p>
    <w:p>
      <w:pPr>
        <w:pStyle w:val="FirstParagraph"/>
      </w:pPr>
      <w:r>
        <w:t xml:space="preserve">Longhorn ERP must support a disciplined record-to-report operating model rather than loose transaction capture. Finance teams should be able to move from source transactions to trusted books and formal reporting with clear controls at each stage.</w:t>
      </w:r>
    </w:p>
    <w:p>
      <w:pPr>
        <w:pStyle w:val="BodyText"/>
      </w:pPr>
      <w:r>
        <w:t xml:space="preserve">Core expectations include:</w:t>
      </w:r>
    </w:p>
    <w:p>
      <w:pPr>
        <w:pStyle w:val="Compact"/>
        <w:numPr>
          <w:ilvl w:val="0"/>
          <w:numId w:val="1014"/>
        </w:numPr>
      </w:pPr>
      <w:r>
        <w:t xml:space="preserve">chart of accounts governance with dimensional reporting support</w:t>
      </w:r>
    </w:p>
    <w:p>
      <w:pPr>
        <w:pStyle w:val="Compact"/>
        <w:numPr>
          <w:ilvl w:val="0"/>
          <w:numId w:val="1014"/>
        </w:numPr>
      </w:pPr>
      <w:r>
        <w:t xml:space="preserve">controlled journals with maker-checker review where configured</w:t>
      </w:r>
    </w:p>
    <w:p>
      <w:pPr>
        <w:pStyle w:val="Compact"/>
        <w:numPr>
          <w:ilvl w:val="0"/>
          <w:numId w:val="1014"/>
        </w:numPr>
      </w:pPr>
      <w:r>
        <w:t xml:space="preserve">accounting period management with open, soft-close, hard-close, and re-open controls</w:t>
      </w:r>
    </w:p>
    <w:p>
      <w:pPr>
        <w:pStyle w:val="Compact"/>
        <w:numPr>
          <w:ilvl w:val="0"/>
          <w:numId w:val="1014"/>
        </w:numPr>
      </w:pPr>
      <w:r>
        <w:t xml:space="preserve">subledger-to-GL reconciliation support across receivables, payables, inventory, payroll, banking, fixed assets, and manufacturing cost flows</w:t>
      </w:r>
    </w:p>
    <w:p>
      <w:pPr>
        <w:pStyle w:val="Compact"/>
        <w:numPr>
          <w:ilvl w:val="0"/>
          <w:numId w:val="1014"/>
        </w:numPr>
      </w:pPr>
      <w:r>
        <w:t xml:space="preserve">accrual, prepayment, adjustment, and reclassification discipline</w:t>
      </w:r>
    </w:p>
    <w:p>
      <w:pPr>
        <w:pStyle w:val="Compact"/>
        <w:numPr>
          <w:ilvl w:val="0"/>
          <w:numId w:val="1014"/>
        </w:numPr>
      </w:pPr>
      <w:r>
        <w:t xml:space="preserve">audit-ready evidence for postings, reversals, overrides, and late adjustments</w:t>
      </w:r>
    </w:p>
    <w:bookmarkEnd w:id="95"/>
    <w:bookmarkStart w:id="96" w:name="Xa5a01402f503996e742a4ccc292d5b22a0fb1ec"/>
    <w:p>
      <w:pPr>
        <w:pStyle w:val="Heading3"/>
      </w:pPr>
      <w:r>
        <w:t xml:space="preserve">2. Close Orchestration</w:t>
      </w:r>
    </w:p>
    <w:p>
      <w:pPr>
        <w:pStyle w:val="FirstParagraph"/>
      </w:pPr>
      <w:r>
        <w:t xml:space="preserve">Longhorn ERP must help finance teams run a repeatable monthly, quarterly, and annual close, not just post entries into the ledger. Close should be visible, accountable, and measurable.</w:t>
      </w:r>
    </w:p>
    <w:p>
      <w:pPr>
        <w:pStyle w:val="BodyText"/>
      </w:pPr>
      <w:r>
        <w:t xml:space="preserve">Core expectations include:</w:t>
      </w:r>
    </w:p>
    <w:p>
      <w:pPr>
        <w:pStyle w:val="Compact"/>
        <w:numPr>
          <w:ilvl w:val="0"/>
          <w:numId w:val="1015"/>
        </w:numPr>
      </w:pPr>
      <w:r>
        <w:t xml:space="preserve">close calendars and period-specific close checklists</w:t>
      </w:r>
    </w:p>
    <w:p>
      <w:pPr>
        <w:pStyle w:val="Compact"/>
        <w:numPr>
          <w:ilvl w:val="0"/>
          <w:numId w:val="1015"/>
        </w:numPr>
      </w:pPr>
      <w:r>
        <w:t xml:space="preserve">assigned close tasks with owners, due dates, status, and blockers</w:t>
      </w:r>
    </w:p>
    <w:p>
      <w:pPr>
        <w:pStyle w:val="Compact"/>
        <w:numPr>
          <w:ilvl w:val="0"/>
          <w:numId w:val="1015"/>
        </w:numPr>
      </w:pPr>
      <w:r>
        <w:t xml:space="preserve">dependency-aware close sequencing across branches, business units, and entities</w:t>
      </w:r>
    </w:p>
    <w:p>
      <w:pPr>
        <w:pStyle w:val="Compact"/>
        <w:numPr>
          <w:ilvl w:val="0"/>
          <w:numId w:val="1015"/>
        </w:numPr>
      </w:pPr>
      <w:r>
        <w:t xml:space="preserve">review and sign-off workflow for critical close activities</w:t>
      </w:r>
    </w:p>
    <w:p>
      <w:pPr>
        <w:pStyle w:val="Compact"/>
        <w:numPr>
          <w:ilvl w:val="0"/>
          <w:numId w:val="1015"/>
        </w:numPr>
      </w:pPr>
      <w:r>
        <w:t xml:space="preserve">issue and exception tracking for unresolved reconciling items</w:t>
      </w:r>
    </w:p>
    <w:p>
      <w:pPr>
        <w:pStyle w:val="Compact"/>
        <w:numPr>
          <w:ilvl w:val="0"/>
          <w:numId w:val="1015"/>
        </w:numPr>
      </w:pPr>
      <w:r>
        <w:t xml:space="preserve">close dashboards for CFO, controller, and finance manager oversight</w:t>
      </w:r>
    </w:p>
    <w:bookmarkEnd w:id="96"/>
    <w:bookmarkStart w:id="97" w:name="X14170d31aef46dfa8cebb56c689ed01ad39bbb8"/>
    <w:p>
      <w:pPr>
        <w:pStyle w:val="Heading3"/>
      </w:pPr>
      <w:r>
        <w:t xml:space="preserve">3. Consolidation Foundations</w:t>
      </w:r>
    </w:p>
    <w:p>
      <w:pPr>
        <w:pStyle w:val="FirstParagraph"/>
      </w:pPr>
      <w:r>
        <w:t xml:space="preserve">Longhorn ERP should support growth into group finance without forcing customers to replace the financial core once they expand. The system should therefore provide consolidation foundations even where full advanced consolidation is phased in over time.</w:t>
      </w:r>
    </w:p>
    <w:p>
      <w:pPr>
        <w:pStyle w:val="BodyText"/>
      </w:pPr>
      <w:r>
        <w:t xml:space="preserve">Core expectations include:</w:t>
      </w:r>
    </w:p>
    <w:p>
      <w:pPr>
        <w:pStyle w:val="Compact"/>
        <w:numPr>
          <w:ilvl w:val="0"/>
          <w:numId w:val="1016"/>
        </w:numPr>
      </w:pPr>
      <w:r>
        <w:t xml:space="preserve">legal-entity and branch structures aligned to finance reporting needs</w:t>
      </w:r>
    </w:p>
    <w:p>
      <w:pPr>
        <w:pStyle w:val="Compact"/>
        <w:numPr>
          <w:ilvl w:val="0"/>
          <w:numId w:val="1016"/>
        </w:numPr>
      </w:pPr>
      <w:r>
        <w:t xml:space="preserve">multi-company and multi-currency foundations</w:t>
      </w:r>
    </w:p>
    <w:p>
      <w:pPr>
        <w:pStyle w:val="Compact"/>
        <w:numPr>
          <w:ilvl w:val="0"/>
          <w:numId w:val="1016"/>
        </w:numPr>
      </w:pPr>
      <w:r>
        <w:t xml:space="preserve">intercompany transaction discipline and reconciliation readiness</w:t>
      </w:r>
    </w:p>
    <w:p>
      <w:pPr>
        <w:pStyle w:val="Compact"/>
        <w:numPr>
          <w:ilvl w:val="0"/>
          <w:numId w:val="1016"/>
        </w:numPr>
      </w:pPr>
      <w:r>
        <w:t xml:space="preserve">elimination support foundations for group reporting</w:t>
      </w:r>
    </w:p>
    <w:p>
      <w:pPr>
        <w:pStyle w:val="Compact"/>
        <w:numPr>
          <w:ilvl w:val="0"/>
          <w:numId w:val="1016"/>
        </w:numPr>
      </w:pPr>
      <w:r>
        <w:t xml:space="preserve">common dimensional design to support entity, branch, department, project, and product-line reporting</w:t>
      </w:r>
    </w:p>
    <w:p>
      <w:pPr>
        <w:pStyle w:val="Compact"/>
        <w:numPr>
          <w:ilvl w:val="0"/>
          <w:numId w:val="1016"/>
        </w:numPr>
      </w:pPr>
      <w:r>
        <w:t xml:space="preserve">group pack preparation for board, lender, investor, and statutory reporting</w:t>
      </w:r>
    </w:p>
    <w:bookmarkEnd w:id="97"/>
    <w:bookmarkStart w:id="98" w:name="X1f4ff391e5add7e26faf81aa846ee5581848876"/>
    <w:p>
      <w:pPr>
        <w:pStyle w:val="Heading3"/>
      </w:pPr>
      <w:r>
        <w:t xml:space="preserve">4. Finance Controls, Workflow, and Approvals</w:t>
      </w:r>
    </w:p>
    <w:p>
      <w:pPr>
        <w:pStyle w:val="FirstParagraph"/>
      </w:pPr>
      <w:r>
        <w:t xml:space="preserve">Longhorn ERP must make control design a product capability, not a consulting afterthought. African organisations often operate in environments where fraud resistance, policy compliance, and delegated authority discipline materially affect survival and growth.</w:t>
      </w:r>
    </w:p>
    <w:p>
      <w:pPr>
        <w:pStyle w:val="BodyText"/>
      </w:pPr>
      <w:r>
        <w:t xml:space="preserve">Core expectations include:</w:t>
      </w:r>
    </w:p>
    <w:p>
      <w:pPr>
        <w:pStyle w:val="Compact"/>
        <w:numPr>
          <w:ilvl w:val="0"/>
          <w:numId w:val="1017"/>
        </w:numPr>
      </w:pPr>
      <w:r>
        <w:t xml:space="preserve">maker-checker workflows for sensitive finance actions</w:t>
      </w:r>
    </w:p>
    <w:p>
      <w:pPr>
        <w:pStyle w:val="Compact"/>
        <w:numPr>
          <w:ilvl w:val="0"/>
          <w:numId w:val="1017"/>
        </w:numPr>
      </w:pPr>
      <w:r>
        <w:t xml:space="preserve">configurable approval thresholds by transaction type, amount, entity, and role</w:t>
      </w:r>
    </w:p>
    <w:p>
      <w:pPr>
        <w:pStyle w:val="Compact"/>
        <w:numPr>
          <w:ilvl w:val="0"/>
          <w:numId w:val="1017"/>
        </w:numPr>
      </w:pPr>
      <w:r>
        <w:t xml:space="preserve">segregation-of-duties-aware workflow design</w:t>
      </w:r>
    </w:p>
    <w:p>
      <w:pPr>
        <w:pStyle w:val="Compact"/>
        <w:numPr>
          <w:ilvl w:val="0"/>
          <w:numId w:val="1017"/>
        </w:numPr>
      </w:pPr>
      <w:r>
        <w:t xml:space="preserve">controlled overrides with reason capture and audit logging</w:t>
      </w:r>
    </w:p>
    <w:p>
      <w:pPr>
        <w:pStyle w:val="Compact"/>
        <w:numPr>
          <w:ilvl w:val="0"/>
          <w:numId w:val="1017"/>
        </w:numPr>
      </w:pPr>
      <w:r>
        <w:t xml:space="preserve">posting and period-lock controls to reduce unauthorised back-dated changes</w:t>
      </w:r>
    </w:p>
    <w:p>
      <w:pPr>
        <w:pStyle w:val="Compact"/>
        <w:numPr>
          <w:ilvl w:val="0"/>
          <w:numId w:val="1017"/>
        </w:numPr>
      </w:pPr>
      <w:r>
        <w:t xml:space="preserve">exception queues for finance review, escalation, and remediation</w:t>
      </w:r>
    </w:p>
    <w:bookmarkEnd w:id="98"/>
    <w:bookmarkStart w:id="99" w:name="X963125afec8492fd01bf9b1358ab11d7e7cf0e2"/>
    <w:p>
      <w:pPr>
        <w:pStyle w:val="Heading3"/>
      </w:pPr>
      <w:r>
        <w:t xml:space="preserve">5. Reporting Foundations</w:t>
      </w:r>
    </w:p>
    <w:p>
      <w:pPr>
        <w:pStyle w:val="FirstParagraph"/>
      </w:pPr>
      <w:r>
        <w:t xml:space="preserve">Longhorn ERP must make finance reporting trustworthy, timely, and reusable. Reporting foundations should support daily operational finance use as well as formal management and statutory reporting.</w:t>
      </w:r>
    </w:p>
    <w:p>
      <w:pPr>
        <w:pStyle w:val="BodyText"/>
      </w:pPr>
      <w:r>
        <w:t xml:space="preserve">Core expectations include:</w:t>
      </w:r>
    </w:p>
    <w:p>
      <w:pPr>
        <w:pStyle w:val="Compact"/>
        <w:numPr>
          <w:ilvl w:val="0"/>
          <w:numId w:val="1018"/>
        </w:numPr>
      </w:pPr>
      <w:r>
        <w:t xml:space="preserve">trial balance, ledger, and subledger reporting that reconciles cleanly</w:t>
      </w:r>
    </w:p>
    <w:p>
      <w:pPr>
        <w:pStyle w:val="Compact"/>
        <w:numPr>
          <w:ilvl w:val="0"/>
          <w:numId w:val="1018"/>
        </w:numPr>
      </w:pPr>
      <w:r>
        <w:t xml:space="preserve">board-ready management packs built from governed finance data</w:t>
      </w:r>
    </w:p>
    <w:p>
      <w:pPr>
        <w:pStyle w:val="Compact"/>
        <w:numPr>
          <w:ilvl w:val="0"/>
          <w:numId w:val="1018"/>
        </w:numPr>
      </w:pPr>
      <w:r>
        <w:t xml:space="preserve">statutory statements and tax-supporting schedules</w:t>
      </w:r>
    </w:p>
    <w:p>
      <w:pPr>
        <w:pStyle w:val="Compact"/>
        <w:numPr>
          <w:ilvl w:val="0"/>
          <w:numId w:val="1018"/>
        </w:numPr>
      </w:pPr>
      <w:r>
        <w:t xml:space="preserve">cash, working-capital, margin, and cost analytics foundations</w:t>
      </w:r>
    </w:p>
    <w:p>
      <w:pPr>
        <w:pStyle w:val="Compact"/>
        <w:numPr>
          <w:ilvl w:val="0"/>
          <w:numId w:val="1018"/>
        </w:numPr>
      </w:pPr>
      <w:r>
        <w:t xml:space="preserve">dimensional reporting for branches, cost centres, projects, products, and channels</w:t>
      </w:r>
    </w:p>
    <w:p>
      <w:pPr>
        <w:pStyle w:val="Compact"/>
        <w:numPr>
          <w:ilvl w:val="0"/>
          <w:numId w:val="1018"/>
        </w:numPr>
      </w:pPr>
      <w:r>
        <w:t xml:space="preserve">export and integration readiness for BI, audit, and external reporting workflows</w:t>
      </w:r>
    </w:p>
    <w:bookmarkEnd w:id="99"/>
    <w:bookmarkEnd w:id="100"/>
    <w:bookmarkStart w:id="101" w:name="strategic-implication-for-longhorn-erp"/>
    <w:p>
      <w:pPr>
        <w:pStyle w:val="Heading2"/>
      </w:pPr>
      <w:r>
        <w:t xml:space="preserve">Strategic Implication for Longhorn ERP</w:t>
      </w:r>
    </w:p>
    <w:p>
      <w:pPr>
        <w:pStyle w:val="FirstParagraph"/>
      </w:pPr>
      <w:r>
        <w:t xml:space="preserve">This finance positioning strengthens Longhorn ERP's credibility across African markets because it matches the real maturity path of ambitious organisations:</w:t>
      </w:r>
    </w:p>
    <w:p>
      <w:pPr>
        <w:pStyle w:val="Compact"/>
        <w:numPr>
          <w:ilvl w:val="0"/>
          <w:numId w:val="1019"/>
        </w:numPr>
      </w:pPr>
      <w:r>
        <w:t xml:space="preserve">they start by needing reliable books</w:t>
      </w:r>
    </w:p>
    <w:p>
      <w:pPr>
        <w:pStyle w:val="Compact"/>
        <w:numPr>
          <w:ilvl w:val="0"/>
          <w:numId w:val="1019"/>
        </w:numPr>
      </w:pPr>
      <w:r>
        <w:t xml:space="preserve">they then need faster close and better controls</w:t>
      </w:r>
    </w:p>
    <w:p>
      <w:pPr>
        <w:pStyle w:val="Compact"/>
        <w:numPr>
          <w:ilvl w:val="0"/>
          <w:numId w:val="1019"/>
        </w:numPr>
      </w:pPr>
      <w:r>
        <w:t xml:space="preserve">they later need multi-entity governance, stronger reporting, and investor-grade finance discipline</w:t>
      </w:r>
    </w:p>
    <w:p>
      <w:pPr>
        <w:pStyle w:val="FirstParagraph"/>
      </w:pPr>
      <w:r>
        <w:t xml:space="preserve">Longhorn ERP should meet that journey on one coherent finance architecture. The strategic standard is therefore clear:</w:t>
      </w:r>
      <w:r>
        <w:t xml:space="preserve"> </w:t>
      </w:r>
      <w:r>
        <w:rPr>
          <w:rStyle w:val="VerbatimChar"/>
        </w:rPr>
        <w:t xml:space="preserve">ACCOUNTING</w:t>
      </w:r>
      <w:r>
        <w:t xml:space="preserve"> </w:t>
      </w:r>
      <w:r>
        <w:t xml:space="preserve">remains the core module, but it must operate at a level that can credibly support controller, CFO, auditor, and board expectations.</w:t>
      </w:r>
    </w:p>
    <w:bookmarkEnd w:id="101"/>
    <w:bookmarkEnd w:id="102"/>
    <w:bookmarkStart w:id="110" w:name="Xc44d29bef89c4c8e3916317b504a4557aafdeb6"/>
    <w:p>
      <w:pPr>
        <w:pStyle w:val="Heading1"/>
      </w:pPr>
      <w:r>
        <w:t xml:space="preserve">13. Treasury, Capital, and Group Finance</w:t>
      </w:r>
    </w:p>
    <w:bookmarkStart w:id="103" w:name="X41570d66f4a055e742c23a6d74e744e64363043"/>
    <w:p>
      <w:pPr>
        <w:pStyle w:val="Heading2"/>
      </w:pPr>
      <w:r>
        <w:t xml:space="preserve">13.1 Strategic Intent</w:t>
      </w:r>
    </w:p>
    <w:p>
      <w:pPr>
        <w:pStyle w:val="FirstParagraph"/>
      </w:pPr>
      <w:r>
        <w:t xml:space="preserve">LonghornERP finance must extend beyond core bookkeeping into disciplined cash, capital, and group-finance control. The platform should serve as the transactional core of record for finance operations while also providing the governance, evidence, and reporting layer needed by organizations that are scaling from single-entity operations into multi-bank, multi-asset, and multi-entity groups.</w:t>
      </w:r>
    </w:p>
    <w:p>
      <w:pPr>
        <w:pStyle w:val="BodyText"/>
      </w:pPr>
      <w:r>
        <w:t xml:space="preserve">This positioning is critical for African businesses that operate across multiple legal entities, currencies, banks, tax regimes, and operating environments. LonghornERP should help them move from founder-led cash management and spreadsheet close processes to controlled, auditable, and repeatable finance operations.</w:t>
      </w:r>
    </w:p>
    <w:bookmarkEnd w:id="103"/>
    <w:bookmarkStart w:id="104" w:name="Xa3b2207f5037ea25b5255ec8396b6e6585330c4"/>
    <w:p>
      <w:pPr>
        <w:pStyle w:val="Heading2"/>
      </w:pPr>
      <w:r>
        <w:t xml:space="preserve">13.2 Treasury and Bank Control Positioning</w:t>
      </w:r>
    </w:p>
    <w:p>
      <w:pPr>
        <w:pStyle w:val="FirstParagraph"/>
      </w:pPr>
      <w:r>
        <w:t xml:space="preserve">LonghornERP shall position treasury as a first-class finance capability focused on cash visibility, payment governance, and bank-operating discipline.</w:t>
      </w:r>
    </w:p>
    <w:p>
      <w:pPr>
        <w:pStyle w:val="BodyText"/>
      </w:pPr>
      <w:r>
        <w:t xml:space="preserve">The treasury posture for LonghornERP includes:</w:t>
      </w:r>
    </w:p>
    <w:p>
      <w:pPr>
        <w:pStyle w:val="Compact"/>
        <w:numPr>
          <w:ilvl w:val="0"/>
          <w:numId w:val="1020"/>
        </w:numPr>
      </w:pPr>
      <w:r>
        <w:t xml:space="preserve">centralized bank account registry and signer governance</w:t>
      </w:r>
    </w:p>
    <w:p>
      <w:pPr>
        <w:pStyle w:val="Compact"/>
        <w:numPr>
          <w:ilvl w:val="0"/>
          <w:numId w:val="1020"/>
        </w:numPr>
      </w:pPr>
      <w:r>
        <w:t xml:space="preserve">cash-position visibility by bank, entity, currency, and value date</w:t>
      </w:r>
    </w:p>
    <w:p>
      <w:pPr>
        <w:pStyle w:val="Compact"/>
        <w:numPr>
          <w:ilvl w:val="0"/>
          <w:numId w:val="1020"/>
        </w:numPr>
      </w:pPr>
      <w:r>
        <w:t xml:space="preserve">payment-request, approval, release, and confirmation controls</w:t>
      </w:r>
    </w:p>
    <w:p>
      <w:pPr>
        <w:pStyle w:val="Compact"/>
        <w:numPr>
          <w:ilvl w:val="0"/>
          <w:numId w:val="1020"/>
        </w:numPr>
      </w:pPr>
      <w:r>
        <w:t xml:space="preserve">bank connectivity foundations for statement ingestion, reconciliation, and payment-status feedback</w:t>
      </w:r>
    </w:p>
    <w:p>
      <w:pPr>
        <w:pStyle w:val="Compact"/>
        <w:numPr>
          <w:ilvl w:val="0"/>
          <w:numId w:val="1020"/>
        </w:numPr>
      </w:pPr>
      <w:r>
        <w:t xml:space="preserve">segregation of duties across payment preparation, approval, release, and posting</w:t>
      </w:r>
    </w:p>
    <w:p>
      <w:pPr>
        <w:pStyle w:val="Compact"/>
        <w:numPr>
          <w:ilvl w:val="0"/>
          <w:numId w:val="1020"/>
        </w:numPr>
      </w:pPr>
      <w:r>
        <w:t xml:space="preserve">support for bank fees, charges, reversals, rejects, and exception handling</w:t>
      </w:r>
    </w:p>
    <w:p>
      <w:pPr>
        <w:pStyle w:val="Compact"/>
        <w:numPr>
          <w:ilvl w:val="0"/>
          <w:numId w:val="1020"/>
        </w:numPr>
      </w:pPr>
      <w:r>
        <w:t xml:space="preserve">treasury audit evidence for who initiated, approved, transmitted, and confirmed each payment</w:t>
      </w:r>
    </w:p>
    <w:p>
      <w:pPr>
        <w:pStyle w:val="FirstParagraph"/>
      </w:pPr>
      <w:r>
        <w:t xml:space="preserve">LonghornERP should be the operational control layer for payment governance even where specialized treasury connectivity or enterprise payment hubs are used. Where a client requires advanced cash forecasting, in-country connectivity adapters, dealing, hedging, or complex liquidity structures, LonghornERP should define explicit integration boundaries with best-of-breed treasury systems rather than attempting to absorb every treasury-specialist workflow into the ERP core.</w:t>
      </w:r>
    </w:p>
    <w:bookmarkEnd w:id="104"/>
    <w:bookmarkStart w:id="105" w:name="Xd97be0bbe6ff56e6503dbe02796602c32bd52a5"/>
    <w:p>
      <w:pPr>
        <w:pStyle w:val="Heading2"/>
      </w:pPr>
      <w:r>
        <w:t xml:space="preserve">13.3 Capital and Fixed-Asset Accounting Positioning</w:t>
      </w:r>
    </w:p>
    <w:p>
      <w:pPr>
        <w:pStyle w:val="FirstParagraph"/>
      </w:pPr>
      <w:r>
        <w:t xml:space="preserve">LonghornERP shall position fixed-asset and capital accounting as a disciplined finance capability, not merely a static asset register.</w:t>
      </w:r>
    </w:p>
    <w:p>
      <w:pPr>
        <w:pStyle w:val="BodyText"/>
      </w:pPr>
      <w:r>
        <w:t xml:space="preserve">The capital-accounting posture for LonghornERP includes:</w:t>
      </w:r>
    </w:p>
    <w:p>
      <w:pPr>
        <w:pStyle w:val="Compact"/>
        <w:numPr>
          <w:ilvl w:val="0"/>
          <w:numId w:val="1021"/>
        </w:numPr>
      </w:pPr>
      <w:r>
        <w:t xml:space="preserve">acquisition, capitalization, transfer, impairment, revaluation, and disposal accounting</w:t>
      </w:r>
    </w:p>
    <w:p>
      <w:pPr>
        <w:pStyle w:val="Compact"/>
        <w:numPr>
          <w:ilvl w:val="0"/>
          <w:numId w:val="1021"/>
        </w:numPr>
      </w:pPr>
      <w:r>
        <w:t xml:space="preserve">capitalization project and asset-under-construction support</w:t>
      </w:r>
    </w:p>
    <w:p>
      <w:pPr>
        <w:pStyle w:val="Compact"/>
        <w:numPr>
          <w:ilvl w:val="0"/>
          <w:numId w:val="1021"/>
        </w:numPr>
      </w:pPr>
      <w:r>
        <w:t xml:space="preserve">book-versus-tax treatment where local policy or statutory reporting requires separate views</w:t>
      </w:r>
    </w:p>
    <w:p>
      <w:pPr>
        <w:pStyle w:val="Compact"/>
        <w:numPr>
          <w:ilvl w:val="0"/>
          <w:numId w:val="1021"/>
        </w:numPr>
      </w:pPr>
      <w:r>
        <w:t xml:space="preserve">depreciation policy management by asset class, entity, and accounting basis</w:t>
      </w:r>
    </w:p>
    <w:p>
      <w:pPr>
        <w:pStyle w:val="Compact"/>
        <w:numPr>
          <w:ilvl w:val="0"/>
          <w:numId w:val="1021"/>
        </w:numPr>
      </w:pPr>
      <w:r>
        <w:t xml:space="preserve">capitalization controls for threshold policies, approvals, and supporting evidence</w:t>
      </w:r>
    </w:p>
    <w:p>
      <w:pPr>
        <w:pStyle w:val="Compact"/>
        <w:numPr>
          <w:ilvl w:val="0"/>
          <w:numId w:val="1021"/>
        </w:numPr>
      </w:pPr>
      <w:r>
        <w:t xml:space="preserve">maintenance of finance-grade asset history tied to source transactions and approvals</w:t>
      </w:r>
    </w:p>
    <w:p>
      <w:pPr>
        <w:pStyle w:val="Compact"/>
        <w:numPr>
          <w:ilvl w:val="0"/>
          <w:numId w:val="1021"/>
        </w:numPr>
      </w:pPr>
      <w:r>
        <w:t xml:space="preserve">alignment between operational asset lifecycle events and accounting consequences</w:t>
      </w:r>
    </w:p>
    <w:p>
      <w:pPr>
        <w:pStyle w:val="FirstParagraph"/>
      </w:pPr>
      <w:r>
        <w:t xml:space="preserve">LonghornERP should support organizations that need strong capital discipline for factories, fleets, infrastructure, energy assets, property, equipment, and distributed branch operations. The ERP must provide a defensible accounting record for capital spend and asset lifecycle changes, while allowing specialized maintenance, engineering, or asset-performance tools to remain system-of-execution where appropriate.</w:t>
      </w:r>
    </w:p>
    <w:bookmarkEnd w:id="105"/>
    <w:bookmarkStart w:id="106" w:name="X60b06c6b9cfad84e13e817a79a0a4d31db4e5a4"/>
    <w:p>
      <w:pPr>
        <w:pStyle w:val="Heading2"/>
      </w:pPr>
      <w:r>
        <w:t xml:space="preserve">13.4 Multi-Entity Group Finance Positioning</w:t>
      </w:r>
    </w:p>
    <w:p>
      <w:pPr>
        <w:pStyle w:val="FirstParagraph"/>
      </w:pPr>
      <w:r>
        <w:t xml:space="preserve">LonghornERP shall position group finance as a deliberate capability for organizations operating subsidiaries, branches, regional entities, and holding-company structures.</w:t>
      </w:r>
    </w:p>
    <w:p>
      <w:pPr>
        <w:pStyle w:val="BodyText"/>
      </w:pPr>
      <w:r>
        <w:t xml:space="preserve">The group-finance posture for LonghornERP includes:</w:t>
      </w:r>
    </w:p>
    <w:p>
      <w:pPr>
        <w:pStyle w:val="Compact"/>
        <w:numPr>
          <w:ilvl w:val="0"/>
          <w:numId w:val="1022"/>
        </w:numPr>
      </w:pPr>
      <w:r>
        <w:t xml:space="preserve">shared chart-of-accounts governance with local flexibility where required</w:t>
      </w:r>
    </w:p>
    <w:p>
      <w:pPr>
        <w:pStyle w:val="Compact"/>
        <w:numPr>
          <w:ilvl w:val="0"/>
          <w:numId w:val="1022"/>
        </w:numPr>
      </w:pPr>
      <w:r>
        <w:t xml:space="preserve">intercompany transaction discipline with reciprocal-account structure and mismatch visibility</w:t>
      </w:r>
    </w:p>
    <w:p>
      <w:pPr>
        <w:pStyle w:val="Compact"/>
        <w:numPr>
          <w:ilvl w:val="0"/>
          <w:numId w:val="1022"/>
        </w:numPr>
      </w:pPr>
      <w:r>
        <w:t xml:space="preserve">elimination-ready journals and group-adjustment workflows</w:t>
      </w:r>
    </w:p>
    <w:p>
      <w:pPr>
        <w:pStyle w:val="Compact"/>
        <w:numPr>
          <w:ilvl w:val="0"/>
          <w:numId w:val="1022"/>
        </w:numPr>
      </w:pPr>
      <w:r>
        <w:t xml:space="preserve">consolidation-ready period structures and entity hierarchies</w:t>
      </w:r>
    </w:p>
    <w:p>
      <w:pPr>
        <w:pStyle w:val="Compact"/>
        <w:numPr>
          <w:ilvl w:val="0"/>
          <w:numId w:val="1022"/>
        </w:numPr>
      </w:pPr>
      <w:r>
        <w:t xml:space="preserve">support for management and statutory reporting across entity and group views</w:t>
      </w:r>
    </w:p>
    <w:p>
      <w:pPr>
        <w:pStyle w:val="Compact"/>
        <w:numPr>
          <w:ilvl w:val="0"/>
          <w:numId w:val="1022"/>
        </w:numPr>
      </w:pPr>
      <w:r>
        <w:t xml:space="preserve">traceable movement from transactional postings to entity trial balances, consolidation inputs, eliminations, and certified outputs</w:t>
      </w:r>
    </w:p>
    <w:p>
      <w:pPr>
        <w:pStyle w:val="FirstParagraph"/>
      </w:pPr>
      <w:r>
        <w:t xml:space="preserve">LonghornERP should provide strong multi-entity foundations inside the ERP. Where a customer requires highly complex external consolidation tooling, advanced disclosure management, or listed-company reporting workflows, LonghornERP should integrate cleanly with best-of-breed consolidation and reporting platforms while remaining the trusted source of operational finance data and close evidence.</w:t>
      </w:r>
    </w:p>
    <w:bookmarkEnd w:id="106"/>
    <w:bookmarkStart w:id="107" w:name="X067fcae43ee13f4eb617da34e54d0c32eb4b7a1"/>
    <w:p>
      <w:pPr>
        <w:pStyle w:val="Heading2"/>
      </w:pPr>
      <w:r>
        <w:t xml:space="preserve">13.5 Results, Governance, and First-Close Discipline</w:t>
      </w:r>
    </w:p>
    <w:p>
      <w:pPr>
        <w:pStyle w:val="FirstParagraph"/>
      </w:pPr>
      <w:r>
        <w:t xml:space="preserve">LonghornERP shall treat finance not only as a transaction-processing domain but also as a results and governance discipline.</w:t>
      </w:r>
    </w:p>
    <w:p>
      <w:pPr>
        <w:pStyle w:val="BodyText"/>
      </w:pPr>
      <w:r>
        <w:t xml:space="preserve">This means the product should support:</w:t>
      </w:r>
    </w:p>
    <w:p>
      <w:pPr>
        <w:pStyle w:val="Compact"/>
        <w:numPr>
          <w:ilvl w:val="0"/>
          <w:numId w:val="1023"/>
        </w:numPr>
      </w:pPr>
      <w:r>
        <w:t xml:space="preserve">first-close discipline through governed close checklists, ownership, deadlines, blockers, and evidence</w:t>
      </w:r>
    </w:p>
    <w:p>
      <w:pPr>
        <w:pStyle w:val="Compact"/>
        <w:numPr>
          <w:ilvl w:val="0"/>
          <w:numId w:val="1023"/>
        </w:numPr>
      </w:pPr>
      <w:r>
        <w:t xml:space="preserve">certified reporting processes with controlled reporting packs and reproducible close outputs</w:t>
      </w:r>
    </w:p>
    <w:p>
      <w:pPr>
        <w:pStyle w:val="Compact"/>
        <w:numPr>
          <w:ilvl w:val="0"/>
          <w:numId w:val="1023"/>
        </w:numPr>
      </w:pPr>
      <w:r>
        <w:t xml:space="preserve">journal governance with maker-checker controls, approval thresholds, and audit trails</w:t>
      </w:r>
    </w:p>
    <w:p>
      <w:pPr>
        <w:pStyle w:val="Compact"/>
        <w:numPr>
          <w:ilvl w:val="0"/>
          <w:numId w:val="1023"/>
        </w:numPr>
      </w:pPr>
      <w:r>
        <w:t xml:space="preserve">policy-backed finance operations where every sensitive workflow leaves structured evidence</w:t>
      </w:r>
    </w:p>
    <w:p>
      <w:pPr>
        <w:pStyle w:val="Compact"/>
        <w:numPr>
          <w:ilvl w:val="0"/>
          <w:numId w:val="1023"/>
        </w:numPr>
      </w:pPr>
      <w:r>
        <w:t xml:space="preserve">management visibility into close status, control exceptions, unresolved reconciliations, and reporting readiness</w:t>
      </w:r>
    </w:p>
    <w:p>
      <w:pPr>
        <w:pStyle w:val="FirstParagraph"/>
      </w:pPr>
      <w:r>
        <w:t xml:space="preserve">The intended product outcome is that finance leaders can rely on LonghornERP to answer two questions with confidence:</w:t>
      </w:r>
    </w:p>
    <w:p>
      <w:pPr>
        <w:pStyle w:val="Compact"/>
        <w:numPr>
          <w:ilvl w:val="0"/>
          <w:numId w:val="1024"/>
        </w:numPr>
      </w:pPr>
      <w:r>
        <w:t xml:space="preserve">What happened financially?</w:t>
      </w:r>
    </w:p>
    <w:p>
      <w:pPr>
        <w:pStyle w:val="Compact"/>
        <w:numPr>
          <w:ilvl w:val="0"/>
          <w:numId w:val="1024"/>
        </w:numPr>
      </w:pPr>
      <w:r>
        <w:t xml:space="preserve">Was it processed, approved, and reported under controlled conditions?</w:t>
      </w:r>
    </w:p>
    <w:bookmarkEnd w:id="107"/>
    <w:bookmarkStart w:id="108" w:name="Xa37c5c7cb94516b5cc1a1fe4710605b39547c53"/>
    <w:p>
      <w:pPr>
        <w:pStyle w:val="Heading2"/>
      </w:pPr>
      <w:r>
        <w:t xml:space="preserve">13.6 Product Boundary Principles</w:t>
      </w:r>
    </w:p>
    <w:p>
      <w:pPr>
        <w:pStyle w:val="FirstParagraph"/>
      </w:pPr>
      <w:r>
        <w:t xml:space="preserve">LonghornERP should be strong enough to run the finance core for SMEs, mid-market groups, and control-conscious enterprises, but it should remain disciplined about product boundaries.</w:t>
      </w:r>
    </w:p>
    <w:p>
      <w:pPr>
        <w:pStyle w:val="BodyText"/>
      </w:pPr>
      <w:r>
        <w:t xml:space="preserve">LonghornERP should own:</w:t>
      </w:r>
    </w:p>
    <w:p>
      <w:pPr>
        <w:pStyle w:val="Compact"/>
        <w:numPr>
          <w:ilvl w:val="0"/>
          <w:numId w:val="1025"/>
        </w:numPr>
      </w:pPr>
      <w:r>
        <w:t xml:space="preserve">operational transaction capture</w:t>
      </w:r>
    </w:p>
    <w:p>
      <w:pPr>
        <w:pStyle w:val="Compact"/>
        <w:numPr>
          <w:ilvl w:val="0"/>
          <w:numId w:val="1025"/>
        </w:numPr>
      </w:pPr>
      <w:r>
        <w:t xml:space="preserve">subledger and general-ledger control</w:t>
      </w:r>
    </w:p>
    <w:p>
      <w:pPr>
        <w:pStyle w:val="Compact"/>
        <w:numPr>
          <w:ilvl w:val="0"/>
          <w:numId w:val="1025"/>
        </w:numPr>
      </w:pPr>
      <w:r>
        <w:t xml:space="preserve">reconciliations and period close</w:t>
      </w:r>
    </w:p>
    <w:p>
      <w:pPr>
        <w:pStyle w:val="Compact"/>
        <w:numPr>
          <w:ilvl w:val="0"/>
          <w:numId w:val="1025"/>
        </w:numPr>
      </w:pPr>
      <w:r>
        <w:t xml:space="preserve">payment governance and bank-operating controls</w:t>
      </w:r>
    </w:p>
    <w:p>
      <w:pPr>
        <w:pStyle w:val="Compact"/>
        <w:numPr>
          <w:ilvl w:val="0"/>
          <w:numId w:val="1025"/>
        </w:numPr>
      </w:pPr>
      <w:r>
        <w:t xml:space="preserve">fixed-asset and capital-accounting discipline</w:t>
      </w:r>
    </w:p>
    <w:p>
      <w:pPr>
        <w:pStyle w:val="Compact"/>
        <w:numPr>
          <w:ilvl w:val="0"/>
          <w:numId w:val="1025"/>
        </w:numPr>
      </w:pPr>
      <w:r>
        <w:t xml:space="preserve">intercompany and elimination-ready finance structure</w:t>
      </w:r>
    </w:p>
    <w:p>
      <w:pPr>
        <w:pStyle w:val="Compact"/>
        <w:numPr>
          <w:ilvl w:val="0"/>
          <w:numId w:val="1025"/>
        </w:numPr>
      </w:pPr>
      <w:r>
        <w:t xml:space="preserve">management and statutory reporting foundations</w:t>
      </w:r>
    </w:p>
    <w:p>
      <w:pPr>
        <w:pStyle w:val="Compact"/>
        <w:numPr>
          <w:ilvl w:val="0"/>
          <w:numId w:val="1025"/>
        </w:numPr>
      </w:pPr>
      <w:r>
        <w:t xml:space="preserve">finance workflow evidence and auditability</w:t>
      </w:r>
    </w:p>
    <w:p>
      <w:pPr>
        <w:pStyle w:val="FirstParagraph"/>
      </w:pPr>
      <w:r>
        <w:t xml:space="preserve">LonghornERP should integrate rather than overextend where clients require:</w:t>
      </w:r>
    </w:p>
    <w:p>
      <w:pPr>
        <w:pStyle w:val="Compact"/>
        <w:numPr>
          <w:ilvl w:val="0"/>
          <w:numId w:val="1026"/>
        </w:numPr>
      </w:pPr>
      <w:r>
        <w:t xml:space="preserve">advanced treasury dealing and liquidity optimization</w:t>
      </w:r>
    </w:p>
    <w:p>
      <w:pPr>
        <w:pStyle w:val="Compact"/>
        <w:numPr>
          <w:ilvl w:val="0"/>
          <w:numId w:val="1026"/>
        </w:numPr>
      </w:pPr>
      <w:r>
        <w:t xml:space="preserve">highly specialized bank connectivity networks</w:t>
      </w:r>
    </w:p>
    <w:p>
      <w:pPr>
        <w:pStyle w:val="Compact"/>
        <w:numPr>
          <w:ilvl w:val="0"/>
          <w:numId w:val="1026"/>
        </w:numPr>
      </w:pPr>
      <w:r>
        <w:t xml:space="preserve">complex listed-company consolidation and external disclosure tooling</w:t>
      </w:r>
    </w:p>
    <w:p>
      <w:pPr>
        <w:pStyle w:val="Compact"/>
        <w:numPr>
          <w:ilvl w:val="0"/>
          <w:numId w:val="1026"/>
        </w:numPr>
      </w:pPr>
      <w:r>
        <w:t xml:space="preserve">niche local compliance engines beyond the ERP core</w:t>
      </w:r>
    </w:p>
    <w:bookmarkEnd w:id="108"/>
    <w:bookmarkStart w:id="109" w:name="Xc15918a0dbcfecc839acab8bb3363b8365b9200"/>
    <w:p>
      <w:pPr>
        <w:pStyle w:val="Heading2"/>
      </w:pPr>
      <w:r>
        <w:t xml:space="preserve">13.7 Strategic Outcome</w:t>
      </w:r>
    </w:p>
    <w:p>
      <w:pPr>
        <w:pStyle w:val="FirstParagraph"/>
      </w:pPr>
      <w:r>
        <w:t xml:space="preserve">This positioning makes LonghornERP suitable for organizations that need more than accounting software but do not want fragmented finance operations. It establishes LonghornERP as a finance platform that can grow from single-entity operational accounting into controlled treasury operations, disciplined capital accounting, and multi-entity group finance without losing clarity of ownership between ERP core capabilities and specialist extensions.</w:t>
      </w:r>
    </w:p>
    <w:bookmarkEnd w:id="109"/>
    <w:bookmarkEnd w:id="110"/>
    <w:sectPr w:rsidR="00FC693F" w:rsidRPr="0006063C" w:rsidSect="00034616">
      <w:footerReference r:id="rId9" w:type="default"/>
      <w:headerReference r:id="rId10" w:type="default"/>
      <w:pgSz w:h="16838" w:w="11906"/>
      <w:pgMar w:bottom="1134" w:footer="720" w:gutter="0" w:header="720" w:left="1440" w:right="1440" w:top="1440"/>
      <w:cols w:space="720"/>
      <w:titlePg/>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rFonts w:ascii="Calibri" w:hAnsi="Calibri"/>
        <w:color w:val="595959"/>
        <w:sz w:val="18"/>
      </w:rPr>
      <w:fldChar w:fldCharType="begin"/>
      <w:instrText xml:space="preserve"> PAGE </w:instrText>
      <w:fldChar w:fldCharType="separate"/>
      <w:fldChar w:fldCharType="end"/>
    </w:r>
    <w:r>
      <w:rPr>
        <w:rFonts w:ascii="Calibri" w:hAnsi="Calibri"/>
        <w:color w:val="595959"/>
        <w:sz w:val="18"/>
      </w:rPr>
      <w:t xml:space="preserve"> of </w:t>
    </w:r>
    <w:r>
      <w:rPr>
        <w:rFonts w:ascii="Calibri" w:hAnsi="Calibri"/>
        <w:color w:val="595959"/>
        <w:sz w:val="18"/>
      </w:rPr>
      <w:fldChar w:fldCharType="begin"/>
      <w:instrText xml:space="preserve"> NUMPAGES </w:instrText>
      <w:fldChar w:fldCharType="separate"/>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right"/>
      <w:pBdr>
        <w:bottom w:val="single" w:sz="4" w:space="4" w:color="CCCCCC"/>
      </w:pBdr>
    </w:pPr>
    <w:r>
      <w:rPr>
        <w:rFonts w:ascii="Calibri" w:hAnsi="Calibri"/>
        <w:color w:val="595959"/>
        <w:sz w:val="18"/>
      </w:rPr>
      <w:fldChar w:fldCharType="begin"/>
      <w:instrText xml:space="preserve"> TITLE </w:instrText>
      <w:fldChar w:fldCharType="separate"/>
      <w:fldChar w:fldCharType="end"/>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1"/>
  </w:num>
  <w:num w:numId="102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keepLines/>
      <w:widowControl/>
      <w:spacing w:after="120" w:before="0" w:line="276" w:lineRule="auto"/>
    </w:pPr>
    <w:rPr>
      <w:rFonts w:ascii="Calibri" w:hAnsi="Calibri"/>
      <w:color w:val="262626"/>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pageBreakBefore/>
      <w:spacing w:after="120" w:before="400"/>
      <w:outlineLvl w:val="0"/>
      <w:pBdr>
        <w:left w:color="1F3864" w:space="8" w:sz="18" w:val="single"/>
      </w:pBdr>
    </w:pPr>
    <w:rPr>
      <w:rFonts w:ascii="Calibri Light" w:asciiTheme="majorHAnsi" w:cstheme="majorBidi" w:eastAsiaTheme="majorEastAsia" w:hAnsi="Calibri Light" w:hAnsiTheme="majorHAnsi"/>
      <w:b/>
      <w:bCs/>
      <w:color w:val="1F3864"/>
      <w:sz w:val="32"/>
      <w:szCs w:val="28"/>
    </w:rPr>
  </w:style>
  <w:style w:styleId="Heading2" w:type="paragraph">
    <w:name w:val="heading 2"/>
    <w:basedOn w:val="Normal"/>
    <w:next w:val="Normal"/>
    <w:link w:val="Heading2Char"/>
    <w:uiPriority w:val="9"/>
    <w:unhideWhenUsed/>
    <w:qFormat/>
    <w:rsid w:val="00FC693F"/>
    <w:pPr>
      <w:keepNext/>
      <w:keepLines/>
      <w:spacing w:after="80" w:before="280"/>
      <w:outlineLvl w:val="1"/>
    </w:pPr>
    <w:rPr>
      <w:rFonts w:ascii="Calibri Light" w:asciiTheme="majorHAnsi" w:cstheme="majorBidi" w:eastAsiaTheme="majorEastAsia" w:hAnsi="Calibri Light" w:hAnsiTheme="majorHAnsi"/>
      <w:b/>
      <w:bCs/>
      <w:color w:val="2E5D8A"/>
      <w:sz w:val="26"/>
      <w:szCs w:val="26"/>
    </w:rPr>
  </w:style>
  <w:style w:styleId="Heading3" w:type="paragraph">
    <w:name w:val="heading 3"/>
    <w:basedOn w:val="Normal"/>
    <w:next w:val="Normal"/>
    <w:link w:val="Heading3Char"/>
    <w:uiPriority w:val="9"/>
    <w:unhideWhenUsed/>
    <w:qFormat/>
    <w:rsid w:val="00FC693F"/>
    <w:pPr>
      <w:keepNext/>
      <w:keepLines/>
      <w:spacing w:after="60" w:before="200"/>
      <w:outlineLvl w:val="2"/>
    </w:pPr>
    <w:rPr>
      <w:rFonts w:ascii="Calibri" w:asciiTheme="majorHAnsi" w:cstheme="majorBidi" w:eastAsiaTheme="majorEastAsia" w:hAnsi="Calibri" w:hAnsiTheme="majorHAnsi"/>
      <w:b/>
      <w:bCs/>
      <w:i w:val="0"/>
      <w:color w:val="4472C4"/>
      <w:sz w:val="22"/>
    </w:rPr>
  </w:style>
  <w:style w:styleId="Heading4" w:type="paragraph">
    <w:name w:val="heading 4"/>
    <w:basedOn w:val="Normal"/>
    <w:next w:val="Normal"/>
    <w:link w:val="Heading4Char"/>
    <w:uiPriority w:val="9"/>
    <w:semiHidden/>
    <w:unhideWhenUsed/>
    <w:qFormat/>
    <w:rsid w:val="00FC693F"/>
    <w:pPr>
      <w:keepNext/>
      <w:keepLines/>
      <w:spacing w:after="40" w:before="160"/>
      <w:outlineLvl w:val="3"/>
    </w:pPr>
    <w:rPr>
      <w:rFonts w:ascii="Calibri" w:asciiTheme="majorHAnsi" w:cstheme="majorBidi" w:eastAsiaTheme="majorEastAsia" w:hAnsi="Calibri" w:hAnsiTheme="majorHAnsi"/>
      <w:b/>
      <w:bCs/>
      <w:i/>
      <w:iCs/>
      <w:color w:val="262626"/>
      <w:sz w:val="22"/>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160" w:before="0" w:line="240" w:lineRule="auto"/>
      <w:contextualSpacing/>
      <w:jc w:val="left"/>
    </w:pPr>
    <w:rPr>
      <w:rFonts w:ascii="Calibri Light" w:asciiTheme="majorHAnsi" w:cstheme="majorBidi" w:eastAsiaTheme="majorEastAsia" w:hAnsi="Calibri Light" w:hAnsiTheme="majorHAnsi"/>
      <w:b/>
      <w:color w:val="1F3864"/>
      <w:spacing w:val="5"/>
      <w:kern w:val="28"/>
      <w:sz w:val="56"/>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spacing w:after="480" w:before="0"/>
    </w:pPr>
    <w:rPr>
      <w:rFonts w:ascii="Calibri" w:asciiTheme="majorHAnsi" w:cstheme="majorBidi" w:eastAsiaTheme="majorEastAsia" w:hAnsi="Calibri" w:hAnsiTheme="majorHAnsi"/>
      <w:i/>
      <w:iCs/>
      <w:color w:val="595959"/>
      <w:spacing w:val="15"/>
      <w:sz w:val="26"/>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60" w:before="0"/>
    </w:pPr>
    <w:rPr>
      <w:rFonts w:ascii="Calibri" w:hAnsi="Calibri"/>
      <w:sz w:val="22"/>
    </w:r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after="160" w:before="40" w:line="240" w:lineRule="auto"/>
      <w:jc w:val="center"/>
    </w:pPr>
    <w:rPr>
      <w:rFonts w:ascii="Calibri" w:hAnsi="Calibri"/>
      <w:b/>
      <w:bCs/>
      <w:i/>
      <w:color w:val="595959"/>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customStyle="1" w:styleId="FirstParagraph" w:type="paragraph">
    <w:name w:val="First Paragraph"/>
    <w:basedOn w:val="Normal"/>
    <w:pPr>
      <w:ind w:firstLine="0"/>
    </w:pPr>
  </w:style>
  <w:style w:customStyle="1" w:styleId="VerbatimChar" w:type="character">
    <w:name w:val="Verbatim Char"/>
    <w:rPr>
      <w:rFonts w:ascii="Consolas" w:hAnsi="Consolas"/>
      <w:color w:val="1A1A1A"/>
      <w:sz w:val="19"/>
    </w:rPr>
  </w:style>
  <w:style w:customStyle="1" w:styleId="Verbatim" w:type="paragraph">
    <w:name w:val="Verbatim"/>
    <w:pPr>
      <w:spacing w:after="80" w:before="80"/>
    </w:pPr>
    <w:rPr>
      <w:rFonts w:ascii="Consolas" w:hAnsi="Consolas"/>
      <w:color w:val="1A1A1A"/>
      <w:sz w:val="19"/>
    </w:rPr>
  </w:style>
  <w:style w:customStyle="1" w:styleId="SourceCode" w:type="paragraph">
    <w:name w:val="Source Code"/>
    <w:pPr>
      <w:spacing w:after="80" w:before="80"/>
    </w:pPr>
    <w:rPr>
      <w:rFonts w:ascii="Consolas" w:hAnsi="Consolas"/>
      <w:color w:val="1A1A1A"/>
      <w:sz w:val="19"/>
    </w:rPr>
  </w:style>
  <w:style w:customStyle="1" w:styleId="BlockText" w:type="paragraph">
    <w:name w:val="Block Text"/>
    <w:pPr>
      <w:spacing w:after="120" w:before="120"/>
      <w:ind w:left="567" w:right="567"/>
    </w:pPr>
    <w:rPr>
      <w:rFonts w:ascii="Calibri" w:hAnsi="Calibri"/>
      <w:i/>
      <w:color w:val="595959"/>
      <w:sz w:val="22"/>
    </w:r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8" Target="numbering.xml" /><Relationship Type="http://schemas.openxmlformats.org/officeDocument/2006/relationships/styles" Id="rId17" Target="styles.xml" /><Relationship Type="http://schemas.openxmlformats.org/officeDocument/2006/relationships/settings" Id="rId16" Target="settings.xml" /><Relationship Type="http://schemas.openxmlformats.org/officeDocument/2006/relationships/webSettings" Id="rId15" Target="webSettings.xml" /><Relationship Type="http://schemas.openxmlformats.org/officeDocument/2006/relationships/fontTable" Id="rId14" Target="fontTable.xml" /><Relationship Type="http://schemas.openxmlformats.org/officeDocument/2006/relationships/theme" Id="rId13" Target="theme/theme1.xml" /><Relationship Type="http://schemas.openxmlformats.org/officeDocument/2006/relationships/footnotes" Id="rId12" Target="footnotes.xml" /><Relationship Type="http://schemas.openxmlformats.org/officeDocument/2006/relationships/comments" Id="rId11" Target="comments.xml" /><Relationship Id="rId9" Target="footer1.xml" Type="http://schemas.openxmlformats.org/officeDocument/2006/relationships/footer" /><Relationship Id="rId10" Target="header1.xml" Type="http://schemas.openxmlformats.org/officeDocument/2006/relationships/header" /><Relationship Type="http://schemas.openxmlformats.org/officeDocument/2006/relationships/hyperlink" Id="rId19" Target="mailto:info@chwezicore.com" TargetMode="External" /><Relationship Type="http://schemas.openxmlformats.org/officeDocument/2006/relationships/hyperlink" Id="rId20" Target="mailto:peter@techguypeter.com" TargetMode="External" /></Relationships>
</file>

<file path=word/_rels/footnotes.xml.rels><?xml version="1.0" encoding="UTF-8"?><Relationships xmlns="http://schemas.openxmlformats.org/package/2006/relationships"><Relationship Type="http://schemas.openxmlformats.org/officeDocument/2006/relationships/hyperlink" Id="rId19" Target="mailto:info@chwezicore.com" TargetMode="External" /><Relationship Type="http://schemas.openxmlformats.org/officeDocument/2006/relationships/hyperlink" Id="rId20" Target="mailto:peter@techguypeter.co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Product Requirements Document</dc:title>
  <dc:creator/>
  <cp:keywords/>
  <dcterms:created xsi:type="dcterms:W3CDTF">2026-04-22T21:25:55Z</dcterms:created>
  <dcterms:modified xsi:type="dcterms:W3CDTF">2026-04-22T21:25:55Z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2026-04-05</vt:lpwstr>
  </property>
  <property fmtid="{D5CDD505-2E9C-101B-9397-08002B2CF9AE}" pid="3" name="version">
    <vt:lpwstr>1.0</vt:lpwstr>
  </property>
</Properties>
</file>