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test-report--medic8"/>
    <w:p>
      <w:pPr>
        <w:pStyle w:val="Heading1"/>
      </w:pPr>
      <w:r>
        <w:t xml:space="preserve">Test Report — Medic8</w:t>
      </w:r>
    </w:p>
    <w:p>
      <w:pPr>
        <w:pStyle w:val="FirstParagraph"/>
      </w:pPr>
      <w:r>
        <w:rPr>
          <w:b/>
          <w:bCs/>
        </w:rPr>
        <w:t xml:space="preserve">Document standard:</w:t>
      </w:r>
      <w:r>
        <w:t xml:space="preserve"> </w:t>
      </w:r>
      <w:r>
        <w:t xml:space="preserve">IEEE 829-2008, IEEE 29119-3:2013</w:t>
      </w:r>
    </w:p>
    <w:p>
      <w:r>
        <w:pict>
          <v:rect style="width:0;height:1.5pt" o:hralign="center" o:hrstd="t" o:hr="t"/>
        </w:pict>
      </w:r>
    </w:p>
    <w:bookmarkStart w:id="19" w:name="X6a1f8be90b24f59bd557ec32837be2ad36de6a1"/>
    <w:p>
      <w:pPr>
        <w:pStyle w:val="Heading2"/>
      </w:pPr>
      <w:r>
        <w:t xml:space="preserve">1 Report Header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Medic8 Multi-Tenant SaaS Healthcare Management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[Phase number: 1 / 2 / 3 / 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cycle</w:t>
            </w:r>
          </w:p>
        </w:tc>
        <w:tc>
          <w:tcPr/>
          <w:p>
            <w:pPr>
              <w:pStyle w:val="Compact"/>
            </w:pPr>
            <w:r>
              <w:t xml:space="preserve">[Cycle number: 1 / 2 / 3 / ...]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range</w:t>
            </w:r>
          </w:p>
        </w:tc>
        <w:tc>
          <w:tcPr/>
          <w:p>
            <w:pPr>
              <w:pStyle w:val="Compact"/>
            </w:pPr>
            <w:r>
              <w:t xml:space="preserve">[YYYY-MM-DD] — [YYYY-MM-DD]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[Local / CI / Staging / UAT]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version</w:t>
            </w:r>
          </w:p>
        </w:tc>
        <w:tc>
          <w:tcPr/>
          <w:p>
            <w:pPr>
              <w:pStyle w:val="Compact"/>
            </w:pPr>
            <w:r>
              <w:t xml:space="preserve">[Git commit hash or release tag]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date</w:t>
            </w:r>
          </w:p>
        </w:tc>
        <w:tc>
          <w:tcPr/>
          <w:p>
            <w:pPr>
              <w:pStyle w:val="Compact"/>
            </w:pPr>
            <w:r>
              <w:t xml:space="preserve">[YYYY-MM-DD]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e953b631dd05c3510b73f5dbca870ff4a7b022c"/>
    <w:p>
      <w:pPr>
        <w:pStyle w:val="Heading2"/>
      </w:pPr>
      <w:r>
        <w:t xml:space="preserve">2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test cases executed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 run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Pass rate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Critical (S1) defects found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(S2) defects found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(S3) defects found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(S4) defects found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defects found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0" w:name="X37b02884d049aa89c141933ff6a9f73ea33211f"/>
    <w:p>
      <w:pPr>
        <w:pStyle w:val="Heading3"/>
      </w:pPr>
      <w:r>
        <w:t xml:space="preserve">2.1 Pass Rate 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Not run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0dc0b758bbc0010762168c9072a580562a7ee60"/>
    <w:p>
      <w:pPr>
        <w:pStyle w:val="Heading3"/>
      </w:pPr>
      <w:r>
        <w:t xml:space="preserve">2.2 Pass Rate by Module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FR-AUTH: Authentication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FR-TNT: Tenant Management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FR-REG: Patient Registration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FR-OPD: Outpatient Department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FR-LAB: Laboratory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FR-PHR: Pharmacy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FR-BIL: Billing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FR-APT: Appointments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FR-RBAC: Access Control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NFR: Non-Functional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31" w:name="Xed921b4fbbd93013f66cd49c3237a53d156136d"/>
    <w:p>
      <w:pPr>
        <w:pStyle w:val="Heading2"/>
      </w:pPr>
      <w:r>
        <w:t xml:space="preserve">3 Clinical Safety Test Results</w:t>
      </w:r>
    </w:p>
    <w:p>
      <w:pPr>
        <w:pStyle w:val="FirstParagraph"/>
      </w:pPr>
      <w:r>
        <w:t xml:space="preserve">Clinical safety tests are reported separately due to their patient-impact classification. All failures in this section are treated as Critical (S1) defects.</w:t>
      </w:r>
    </w:p>
    <w:bookmarkStart w:id="23" w:name="X3475f098512014e8d577f6a64e8f0d639083819"/>
    <w:p>
      <w:pPr>
        <w:pStyle w:val="Heading3"/>
      </w:pPr>
      <w:r>
        <w:t xml:space="preserve">3.1 Drug Interaction Alert Tests (CDS)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TC-CDS-001</w:t>
            </w:r>
          </w:p>
        </w:tc>
        <w:tc>
          <w:tcPr/>
          <w:p>
            <w:pPr>
              <w:pStyle w:val="Compact"/>
            </w:pPr>
            <w:r>
              <w:t xml:space="preserve">Tier 1 (Info) interaction display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TC-CDS-002</w:t>
            </w:r>
          </w:p>
        </w:tc>
        <w:tc>
          <w:tcPr/>
          <w:p>
            <w:pPr>
              <w:pStyle w:val="Compact"/>
            </w:pPr>
            <w:r>
              <w:t xml:space="preserve">Tier 2 (Warning) interaction display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TC-CDS-003</w:t>
            </w:r>
          </w:p>
        </w:tc>
        <w:tc>
          <w:tcPr/>
          <w:p>
            <w:pPr>
              <w:pStyle w:val="Compact"/>
            </w:pPr>
            <w:r>
              <w:t xml:space="preserve">Tier 3 (Serious) workflow block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TC-CDS-004</w:t>
            </w:r>
          </w:p>
        </w:tc>
        <w:tc>
          <w:tcPr/>
          <w:p>
            <w:pPr>
              <w:pStyle w:val="Compact"/>
            </w:pPr>
            <w:r>
              <w:t xml:space="preserve">Tier 3 override with documented reason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TC-CDS-005</w:t>
            </w:r>
          </w:p>
        </w:tc>
        <w:tc>
          <w:tcPr/>
          <w:p>
            <w:pPr>
              <w:pStyle w:val="Compact"/>
            </w:pPr>
            <w:r>
              <w:t xml:space="preserve">Tier 4 (Fatal) hard stop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TC-CDS-006</w:t>
            </w:r>
          </w:p>
        </w:tc>
        <w:tc>
          <w:tcPr/>
          <w:p>
            <w:pPr>
              <w:pStyle w:val="Compact"/>
            </w:pPr>
            <w:r>
              <w:t xml:space="preserve">Tier 4 pharmacist resolution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TC-CDS-007</w:t>
            </w:r>
          </w:p>
        </w:tc>
        <w:tc>
          <w:tcPr/>
          <w:p>
            <w:pPr>
              <w:pStyle w:val="Compact"/>
            </w:pPr>
            <w:r>
              <w:t xml:space="preserve">Multi-drug multi-tier interaction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TC-CDS-008</w:t>
            </w:r>
          </w:p>
        </w:tc>
        <w:tc>
          <w:tcPr/>
          <w:p>
            <w:pPr>
              <w:pStyle w:val="Compact"/>
            </w:pPr>
            <w:r>
              <w:t xml:space="preserve">Alert cleared on drug cancellation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TC-CDS-009</w:t>
            </w:r>
          </w:p>
        </w:tc>
        <w:tc>
          <w:tcPr/>
          <w:p>
            <w:pPr>
              <w:pStyle w:val="Compact"/>
            </w:pPr>
            <w:r>
              <w:t xml:space="preserve">Override rate tracking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TC-CDS-010</w:t>
            </w:r>
          </w:p>
        </w:tc>
        <w:tc>
          <w:tcPr/>
          <w:p>
            <w:pPr>
              <w:pStyle w:val="Compact"/>
            </w:pPr>
            <w:r>
              <w:t xml:space="preserve">Audit log completeness (all 4 tiers)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5a1038547b46a2f0fbfeee61ea63f7d93789cdc"/>
    <w:p>
      <w:pPr>
        <w:pStyle w:val="Heading3"/>
      </w:pPr>
      <w:r>
        <w:t xml:space="preserve">3.2 Paediatric Dosing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TC-PED-001</w:t>
            </w:r>
          </w:p>
        </w:tc>
        <w:tc>
          <w:tcPr/>
          <w:p>
            <w:pPr>
              <w:pStyle w:val="Compact"/>
            </w:pPr>
            <w:r>
              <w:t xml:space="preserve">Weight-based dose calculation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TC-PED-002</w:t>
            </w:r>
          </w:p>
        </w:tc>
        <w:tc>
          <w:tcPr/>
          <w:p>
            <w:pPr>
              <w:pStyle w:val="Compact"/>
            </w:pPr>
            <w:r>
              <w:t xml:space="preserve">Adult ceiling dose rejection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TC-PED-003</w:t>
            </w:r>
          </w:p>
        </w:tc>
        <w:tc>
          <w:tcPr/>
          <w:p>
            <w:pPr>
              <w:pStyle w:val="Compact"/>
            </w:pPr>
            <w:r>
              <w:t xml:space="preserve">Decimal error guard (10x deviation)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TC-PED-004</w:t>
            </w:r>
          </w:p>
        </w:tc>
        <w:tc>
          <w:tcPr/>
          <w:p>
            <w:pPr>
              <w:pStyle w:val="Compact"/>
            </w:pPr>
            <w:r>
              <w:t xml:space="preserve">No weight within 24 hours block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TC-PED-005</w:t>
            </w:r>
          </w:p>
        </w:tc>
        <w:tc>
          <w:tcPr/>
          <w:p>
            <w:pPr>
              <w:pStyle w:val="Compact"/>
            </w:pPr>
            <w:r>
              <w:t xml:space="preserve">Age 11 boundary (under 12)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TC-PED-006</w:t>
            </w:r>
          </w:p>
        </w:tc>
        <w:tc>
          <w:tcPr/>
          <w:p>
            <w:pPr>
              <w:pStyle w:val="Compact"/>
            </w:pPr>
            <w:r>
              <w:t xml:space="preserve">Age 12 boundary (adult)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TC-PED-007</w:t>
            </w:r>
          </w:p>
        </w:tc>
        <w:tc>
          <w:tcPr/>
          <w:p>
            <w:pPr>
              <w:pStyle w:val="Compact"/>
            </w:pPr>
            <w:r>
              <w:t xml:space="preserve">Weight exactly 24 hours old (valid)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TC-PED-008</w:t>
            </w:r>
          </w:p>
        </w:tc>
        <w:tc>
          <w:tcPr/>
          <w:p>
            <w:pPr>
              <w:pStyle w:val="Compact"/>
            </w:pPr>
            <w:r>
              <w:t xml:space="preserve">Weight 24h01m old (expired)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TC-PED-009</w:t>
            </w:r>
          </w:p>
        </w:tc>
        <w:tc>
          <w:tcPr/>
          <w:p>
            <w:pPr>
              <w:pStyle w:val="Compact"/>
            </w:pPr>
            <w:r>
              <w:t xml:space="preserve">Dose equals ceiling (inclusive)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TC-PED-010</w:t>
            </w:r>
          </w:p>
        </w:tc>
        <w:tc>
          <w:tcPr/>
          <w:p>
            <w:pPr>
              <w:pStyle w:val="Compact"/>
            </w:pPr>
            <w:r>
              <w:t xml:space="preserve">Dose 1 mg above ceiling (rejected)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X4fe5f7409c6e73777fde819f2eb446453ee4d76"/>
    <w:p>
      <w:pPr>
        <w:pStyle w:val="Heading3"/>
      </w:pPr>
      <w:r>
        <w:t xml:space="preserve">3.3 Critical Value Escalation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TC-ESC-001</w:t>
            </w:r>
          </w:p>
        </w:tc>
        <w:tc>
          <w:tcPr/>
          <w:p>
            <w:pPr>
              <w:pStyle w:val="Compact"/>
            </w:pPr>
            <w:r>
              <w:t xml:space="preserve">Immediate notification to requesting doctor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TC-ESC-002</w:t>
            </w:r>
          </w:p>
        </w:tc>
        <w:tc>
          <w:tcPr/>
          <w:p>
            <w:pPr>
              <w:pStyle w:val="Compact"/>
            </w:pPr>
            <w:r>
              <w:t xml:space="preserve">30-minute escalation to ward sister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TC-ESC-003</w:t>
            </w:r>
          </w:p>
        </w:tc>
        <w:tc>
          <w:tcPr/>
          <w:p>
            <w:pPr>
              <w:pStyle w:val="Compact"/>
            </w:pPr>
            <w:r>
              <w:t xml:space="preserve">60-minute escalation to Facility Admin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TC-ESC-004</w:t>
            </w:r>
          </w:p>
        </w:tc>
        <w:tc>
          <w:tcPr/>
          <w:p>
            <w:pPr>
              <w:pStyle w:val="Compact"/>
            </w:pPr>
            <w:r>
              <w:t xml:space="preserve">Doctor acknowledgment stops escalation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TC-ESC-005</w:t>
            </w:r>
          </w:p>
        </w:tc>
        <w:tc>
          <w:tcPr/>
          <w:p>
            <w:pPr>
              <w:pStyle w:val="Compact"/>
            </w:pPr>
            <w:r>
              <w:t xml:space="preserve">Audit trail timestamps for all steps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TC-ESC-006</w:t>
            </w:r>
          </w:p>
        </w:tc>
        <w:tc>
          <w:tcPr/>
          <w:p>
            <w:pPr>
              <w:pStyle w:val="Compact"/>
            </w:pPr>
            <w:r>
              <w:t xml:space="preserve">Multiple simultaneous critical values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TC-ESC-007</w:t>
            </w:r>
          </w:p>
        </w:tc>
        <w:tc>
          <w:tcPr/>
          <w:p>
            <w:pPr>
              <w:pStyle w:val="Compact"/>
            </w:pPr>
            <w:r>
              <w:t xml:space="preserve">Lower bound panic value escalation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X9b9f57bd3a5d399264909d5e8e4a10759ed3515"/>
    <w:p>
      <w:pPr>
        <w:pStyle w:val="Heading3"/>
      </w:pPr>
      <w:r>
        <w:t xml:space="preserve">3.4 Five Rights CPOE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TC-5R-001</w:t>
            </w:r>
          </w:p>
        </w:tc>
        <w:tc>
          <w:tcPr/>
          <w:p>
            <w:pPr>
              <w:pStyle w:val="Compact"/>
            </w:pPr>
            <w:r>
              <w:t xml:space="preserve">All 5 rights correct — accepted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TC-5R-002</w:t>
            </w:r>
          </w:p>
        </w:tc>
        <w:tc>
          <w:tcPr/>
          <w:p>
            <w:pPr>
              <w:pStyle w:val="Compact"/>
            </w:pPr>
            <w:r>
              <w:t xml:space="preserve">Wrong patient — blocked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TC-5R-003</w:t>
            </w:r>
          </w:p>
        </w:tc>
        <w:tc>
          <w:tcPr/>
          <w:p>
            <w:pPr>
              <w:pStyle w:val="Compact"/>
            </w:pPr>
            <w:r>
              <w:t xml:space="preserve">Wrong drug — blocked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TC-5R-004</w:t>
            </w:r>
          </w:p>
        </w:tc>
        <w:tc>
          <w:tcPr/>
          <w:p>
            <w:pPr>
              <w:pStyle w:val="Compact"/>
            </w:pPr>
            <w:r>
              <w:t xml:space="preserve">Wrong dose — blocked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TC-5R-005</w:t>
            </w:r>
          </w:p>
        </w:tc>
        <w:tc>
          <w:tcPr/>
          <w:p>
            <w:pPr>
              <w:pStyle w:val="Compact"/>
            </w:pPr>
            <w:r>
              <w:t xml:space="preserve">Wrong route — blocked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TC-5R-006</w:t>
            </w:r>
          </w:p>
        </w:tc>
        <w:tc>
          <w:tcPr/>
          <w:p>
            <w:pPr>
              <w:pStyle w:val="Compact"/>
            </w:pPr>
            <w:r>
              <w:t xml:space="preserve">Wrong time — blocked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TC-5R-007</w:t>
            </w:r>
          </w:p>
        </w:tc>
        <w:tc>
          <w:tcPr/>
          <w:p>
            <w:pPr>
              <w:pStyle w:val="Compact"/>
            </w:pPr>
            <w:r>
              <w:t xml:space="preserve">Multiple rights violated — all reported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Xa754e8dde3a9c979ea85f4794dea87f2e433cb0"/>
    <w:p>
      <w:pPr>
        <w:pStyle w:val="Heading3"/>
      </w:pPr>
      <w:r>
        <w:t xml:space="preserve">3.5 Medication Reconciliation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TC-MR-001</w:t>
            </w:r>
          </w:p>
        </w:tc>
        <w:tc>
          <w:tcPr/>
          <w:p>
            <w:pPr>
              <w:pStyle w:val="Compact"/>
            </w:pPr>
            <w:r>
              <w:t xml:space="preserve">OPD to IPD reconciliation form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TC-MR-002</w:t>
            </w:r>
          </w:p>
        </w:tc>
        <w:tc>
          <w:tcPr/>
          <w:p>
            <w:pPr>
              <w:pStyle w:val="Compact"/>
            </w:pPr>
            <w:r>
              <w:t xml:space="preserve">Ward-to-ward transfer reconciliation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TC-MR-003</w:t>
            </w:r>
          </w:p>
        </w:tc>
        <w:tc>
          <w:tcPr/>
          <w:p>
            <w:pPr>
              <w:pStyle w:val="Compact"/>
            </w:pPr>
            <w:r>
              <w:t xml:space="preserve">IPD to discharge reconciliation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TC-MR-004</w:t>
            </w:r>
          </w:p>
        </w:tc>
        <w:tc>
          <w:tcPr/>
          <w:p>
            <w:pPr>
              <w:pStyle w:val="Compact"/>
            </w:pPr>
            <w:r>
              <w:t xml:space="preserve">Facility-to-facility referral reconciliation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TC-MR-005</w:t>
            </w:r>
          </w:p>
        </w:tc>
        <w:tc>
          <w:tcPr/>
          <w:p>
            <w:pPr>
              <w:pStyle w:val="Compact"/>
            </w:pPr>
            <w:r>
              <w:t xml:space="preserve">Transition blocked without reconciliation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445047ac7db0e937fcb5c69d145ed66b6e47fe4"/>
    <w:p>
      <w:pPr>
        <w:pStyle w:val="Heading3"/>
      </w:pPr>
      <w:r>
        <w:t xml:space="preserve">3.6 NEWS2 Calculation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TC-NEWS-001</w:t>
            </w:r>
          </w:p>
        </w:tc>
        <w:tc>
          <w:tcPr/>
          <w:p>
            <w:pPr>
              <w:pStyle w:val="Compact"/>
            </w:pPr>
            <w:r>
              <w:t xml:space="preserve">Score 0 — routine monitoring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TC-NEWS-002</w:t>
            </w:r>
          </w:p>
        </w:tc>
        <w:tc>
          <w:tcPr/>
          <w:p>
            <w:pPr>
              <w:pStyle w:val="Compact"/>
            </w:pPr>
            <w:r>
              <w:t xml:space="preserve">Score 4 — low risk boundary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TC-NEWS-003</w:t>
            </w:r>
          </w:p>
        </w:tc>
        <w:tc>
          <w:tcPr/>
          <w:p>
            <w:pPr>
              <w:pStyle w:val="Compact"/>
            </w:pPr>
            <w:r>
              <w:t xml:space="preserve">Score 5 — medium risk trigger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TC-NEWS-004</w:t>
            </w:r>
          </w:p>
        </w:tc>
        <w:tc>
          <w:tcPr/>
          <w:p>
            <w:pPr>
              <w:pStyle w:val="Compact"/>
            </w:pPr>
            <w:r>
              <w:t xml:space="preserve">Score 6 — medium risk upper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TC-NEWS-005</w:t>
            </w:r>
          </w:p>
        </w:tc>
        <w:tc>
          <w:tcPr/>
          <w:p>
            <w:pPr>
              <w:pStyle w:val="Compact"/>
            </w:pPr>
            <w:r>
              <w:t xml:space="preserve">Score 7 — high risk trigger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TC-NEWS-006</w:t>
            </w:r>
          </w:p>
        </w:tc>
        <w:tc>
          <w:tcPr/>
          <w:p>
            <w:pPr>
              <w:pStyle w:val="Compact"/>
            </w:pPr>
            <w:r>
              <w:t xml:space="preserve">Score 12 — maximum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TC-NEWS-007</w:t>
            </w:r>
          </w:p>
        </w:tc>
        <w:tc>
          <w:tcPr/>
          <w:p>
            <w:pPr>
              <w:pStyle w:val="Compact"/>
            </w:pPr>
            <w:r>
              <w:t xml:space="preserve">Sub-Saharan Africa adjusted thresholds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a61daa105ed3ed4d286422e0cbf5e0168b82fc6"/>
    <w:p>
      <w:pPr>
        <w:pStyle w:val="Heading3"/>
      </w:pPr>
      <w:r>
        <w:t xml:space="preserve">3.7 Tall Man Lettering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TC-TML-001</w:t>
            </w:r>
          </w:p>
        </w:tc>
        <w:tc>
          <w:tcPr/>
          <w:p>
            <w:pPr>
              <w:pStyle w:val="Compact"/>
            </w:pPr>
            <w:r>
              <w:t xml:space="preserve">hydrOXYzine display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TC-TML-002</w:t>
            </w:r>
          </w:p>
        </w:tc>
        <w:tc>
          <w:tcPr/>
          <w:p>
            <w:pPr>
              <w:pStyle w:val="Compact"/>
            </w:pPr>
            <w:r>
              <w:t xml:space="preserve">hydrALAZINE display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TC-TML-003</w:t>
            </w:r>
          </w:p>
        </w:tc>
        <w:tc>
          <w:tcPr/>
          <w:p>
            <w:pPr>
              <w:pStyle w:val="Compact"/>
            </w:pPr>
            <w:r>
              <w:t xml:space="preserve">Non-LASA drug normal casing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TC-TML-004</w:t>
            </w:r>
          </w:p>
        </w:tc>
        <w:tc>
          <w:tcPr/>
          <w:p>
            <w:pPr>
              <w:pStyle w:val="Compact"/>
            </w:pPr>
            <w:r>
              <w:t xml:space="preserve">LASA list update takes effect</w:t>
            </w:r>
          </w:p>
        </w:tc>
        <w:tc>
          <w:tcPr/>
          <w:p>
            <w:pPr>
              <w:pStyle w:val="Compact"/>
            </w:pPr>
            <w:r>
              <w:t xml:space="preserve">[Pass/Fail]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X15397fe080acd64f0233e943f74772435fd7419"/>
    <w:p>
      <w:pPr>
        <w:pStyle w:val="Heading3"/>
      </w:pPr>
      <w:r>
        <w:t xml:space="preserve">3.8 Clinical Safety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Total 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interaction alerts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Paediatric dosing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Critical value escalation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Five Rights CPOE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Medication reconciliation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NEWS2 calculation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Tall Man Lettering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clinical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Clinical safety pass rate required for release: 100%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7a1a90f485f2116702bc2684d218a113bf9c1a2"/>
    <w:p>
      <w:pPr>
        <w:pStyle w:val="Heading2"/>
      </w:pPr>
      <w:r>
        <w:t xml:space="preserve">4 Defect Summary</w:t>
      </w:r>
    </w:p>
    <w:bookmarkStart w:id="32" w:name="X64b4822cb2eeefc5f0fa5560e611ba3a35e937d"/>
    <w:p>
      <w:pPr>
        <w:pStyle w:val="Heading3"/>
      </w:pPr>
      <w:r>
        <w:t xml:space="preserve">4.1 Defect 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Defect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Resolution date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Xf792dd68896652e50e3b02ca06af660fc3fd0fe"/>
    <w:p>
      <w:pPr>
        <w:pStyle w:val="Heading3"/>
      </w:pPr>
      <w:r>
        <w:t xml:space="preserve">4.2 Defect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defects found this cycle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Critical (S1) open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(S2) open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(S3) open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(S4) open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Defects fixed and verified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Defects deferred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time to resolution (Critical)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time to resolution (High)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107b53879f2487d754c30708ebc30294f611fe8"/>
    <w:p>
      <w:pPr>
        <w:pStyle w:val="Heading3"/>
      </w:pPr>
      <w:r>
        <w:t xml:space="preserve">4.3 Defect Distribution by Module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FR-AUTH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FR-TNT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FR-REG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FR-OPD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FR-LAB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FR-PHR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FR-BIL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FR-APT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FR-RBAC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X9ccb804e7f124608c4995af9c7a054008d109f1"/>
    <w:p>
      <w:pPr>
        <w:pStyle w:val="Heading3"/>
      </w:pPr>
      <w:r>
        <w:t xml:space="preserve">4.4 Clinical Safety Defects (Mandatory Detail)</w:t>
      </w:r>
    </w:p>
    <w:p>
      <w:pPr>
        <w:pStyle w:val="FirstParagraph"/>
      </w:pPr>
      <w:r>
        <w:t xml:space="preserve">For each clinical safety defect, the following additional fields are required: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Patient safety impact assessment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Root cause analysis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Corrective action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Regression test added (Y/N)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Clinical advisor review (Y/N)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Post-incident report filed (Y/N)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48f2a6cb38c787ca67e2d7babfac807f8c1b219"/>
    <w:p>
      <w:pPr>
        <w:pStyle w:val="Heading2"/>
      </w:pPr>
      <w:r>
        <w:t xml:space="preserve">5 Exit Criteria Assessment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Met?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test cases passed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test cases passed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test cases passed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Critical (S1) defects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High (S2) defects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patient safety defects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CDS engine line coverage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CDS engine branch coverage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Auth/RBAC line coverage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 line coverage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P95 response time</w:t>
            </w:r>
          </w:p>
        </w:tc>
        <w:tc>
          <w:tcPr/>
          <w:p>
            <w:pPr>
              <w:pStyle w:val="Compact"/>
            </w:pPr>
            <w:r>
              <w:t xml:space="preserve">&lt; 500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load time (1 Mbps)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full workflow</w:t>
            </w:r>
          </w:p>
        </w:tc>
        <w:tc>
          <w:tcPr/>
          <w:p>
            <w:pPr>
              <w:pStyle w:val="Compact"/>
            </w:pPr>
            <w:r>
              <w:t xml:space="preserve">5/5 operations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sync</w:t>
            </w:r>
          </w:p>
        </w:tc>
        <w:tc>
          <w:tcPr/>
          <w:p>
            <w:pPr>
              <w:pStyle w:val="Compact"/>
            </w:pPr>
            <w:r>
              <w:t xml:space="preserve">All records within 5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 clinical advisor sign-off</w:t>
            </w:r>
          </w:p>
        </w:tc>
        <w:tc>
          <w:tcPr/>
          <w:p>
            <w:pPr>
              <w:pStyle w:val="Compact"/>
            </w:pPr>
            <w:r>
              <w:t xml:space="preserve">Received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 pilot facility sign-off</w:t>
            </w:r>
          </w:p>
        </w:tc>
        <w:tc>
          <w:tcPr/>
          <w:p>
            <w:pPr>
              <w:pStyle w:val="Compact"/>
            </w:pPr>
            <w:r>
              <w:t xml:space="preserve">3 of 3 received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 exit criteria met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[Yes/No]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42" w:name="X4c325e063942492498d8007cb9a0aae94481910"/>
    <w:p>
      <w:pPr>
        <w:pStyle w:val="Heading2"/>
      </w:pPr>
      <w:r>
        <w:t xml:space="preserve">6 Recommendations</w:t>
      </w:r>
    </w:p>
    <w:bookmarkStart w:id="38" w:name="Xadab4c0060230da9ea02671b3492aba57afa390"/>
    <w:p>
      <w:pPr>
        <w:pStyle w:val="Heading3"/>
      </w:pPr>
      <w:r>
        <w:t xml:space="preserve">6.1 Release Decision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[Go / No-Go / Conditional Go]</w:t>
      </w:r>
    </w:p>
    <w:p>
      <w:pPr>
        <w:pStyle w:val="BodyText"/>
      </w:pPr>
      <w:r>
        <w:rPr>
          <w:b/>
          <w:bCs/>
        </w:rPr>
        <w:t xml:space="preserve">Justification:</w:t>
      </w:r>
    </w:p>
    <w:p>
      <w:pPr>
        <w:pStyle w:val="BodyText"/>
      </w:pPr>
      <w:r>
        <w:t xml:space="preserve">[Provide a summary of the test results, exit criteria assessment, and clinical safety status that supports the recommendation.]</w:t>
      </w:r>
    </w:p>
    <w:bookmarkEnd w:id="38"/>
    <w:bookmarkStart w:id="39" w:name="Xa9d4615ce74469f11132a3726e9d29d38988e19"/>
    <w:p>
      <w:pPr>
        <w:pStyle w:val="Heading3"/>
      </w:pPr>
      <w:r>
        <w:t xml:space="preserve">6.2 Outstanding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Accepted by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40" w:name="X6478554566b17b6ed71c67ceec7e48da7a6ecab"/>
    <w:p>
      <w:pPr>
        <w:pStyle w:val="Heading3"/>
      </w:pPr>
      <w:r>
        <w:t xml:space="preserve">6.3 Known Issues Accepted for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Workaround</w:t>
            </w:r>
          </w:p>
        </w:tc>
        <w:tc>
          <w:tcPr/>
          <w:p>
            <w:pPr>
              <w:pStyle w:val="Compact"/>
            </w:pPr>
            <w:r>
              <w:t xml:space="preserve">Accepted by</w:t>
            </w:r>
          </w:p>
        </w:tc>
        <w:tc>
          <w:tcPr/>
          <w:p>
            <w:pPr>
              <w:pStyle w:val="Compact"/>
            </w:pPr>
            <w:r>
              <w:t xml:space="preserve">Target fix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X2fccfe9bd068dbcada325529857567fec64feaa"/>
    <w:p>
      <w:pPr>
        <w:pStyle w:val="Heading3"/>
      </w:pPr>
      <w:r>
        <w:t xml:space="preserve">6.4 Deferred Test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Reason for deferral</w:t>
            </w:r>
          </w:p>
        </w:tc>
        <w:tc>
          <w:tcPr/>
          <w:p>
            <w:pPr>
              <w:pStyle w:val="Compact"/>
            </w:pPr>
            <w:r>
              <w:t xml:space="preserve">Target test cycle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X289b8c6fc7ec0ab5e7d184f964117dce10f2187"/>
    <w:p>
      <w:pPr>
        <w:pStyle w:val="Heading2"/>
      </w:pPr>
      <w:r>
        <w:t xml:space="preserve">7 AI Intelligence Test Suite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TC-AI-001</w:t>
            </w:r>
          </w:p>
        </w:tc>
        <w:tc>
          <w:tcPr/>
          <w:p>
            <w:pPr>
              <w:pStyle w:val="Compact"/>
            </w:pPr>
            <w:r>
              <w:t xml:space="preserve">Draft note generated — no write to patient record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TC-AI-002</w:t>
            </w:r>
          </w:p>
        </w:tc>
        <w:tc>
          <w:tcPr/>
          <w:p>
            <w:pPr>
              <w:pStyle w:val="Compact"/>
            </w:pPr>
            <w:r>
              <w:t xml:space="preserve">Draft approved and saved to patient record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TC-AI-003</w:t>
            </w:r>
          </w:p>
        </w:tc>
        <w:tc>
          <w:tcPr/>
          <w:p>
            <w:pPr>
              <w:pStyle w:val="Compact"/>
            </w:pPr>
            <w:r>
              <w:t xml:space="preserve">Draft discarded — no write after session expiry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TC-AI-004</w:t>
            </w:r>
          </w:p>
        </w:tc>
        <w:tc>
          <w:tcPr/>
          <w:p>
            <w:pPr>
              <w:pStyle w:val="Compact"/>
            </w:pPr>
            <w:r>
              <w:t xml:space="preserve">Provider unavailable — HTTP 503; clinical workflow unaffected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TC-AI-005</w:t>
            </w:r>
          </w:p>
        </w:tc>
        <w:tc>
          <w:tcPr/>
          <w:p>
            <w:pPr>
              <w:pStyle w:val="Compact"/>
            </w:pPr>
            <w:r>
              <w:t xml:space="preserve">Fever and cough — J22 or J06 in top 3 suggestions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TC-AI-006</w:t>
            </w:r>
          </w:p>
        </w:tc>
        <w:tc>
          <w:tcPr/>
          <w:p>
            <w:pPr>
              <w:pStyle w:val="Compact"/>
            </w:pPr>
            <w:r>
              <w:t xml:space="preserve">Confidence scores returned in range [0.0, 1.0]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TC-AI-007</w:t>
            </w:r>
          </w:p>
        </w:tc>
        <w:tc>
          <w:tcPr/>
          <w:p>
            <w:pPr>
              <w:pStyle w:val="Compact"/>
            </w:pPr>
            <w:r>
              <w:t xml:space="preserve">Credit exhausted — HTTP 402; no API call made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TC-AI-008</w:t>
            </w:r>
          </w:p>
        </w:tc>
        <w:tc>
          <w:tcPr/>
          <w:p>
            <w:pPr>
              <w:pStyle w:val="Compact"/>
            </w:pPr>
            <w:r>
              <w:t xml:space="preserve">Ranked differential list — Meningitis in top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TC-AI-009</w:t>
            </w:r>
          </w:p>
        </w:tc>
        <w:tc>
          <w:tcPr/>
          <w:p>
            <w:pPr>
              <w:pStyle w:val="Compact"/>
            </w:pPr>
            <w:r>
              <w:t xml:space="preserve">Differential not written to record without clinician selection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TC-AI-010</w:t>
            </w:r>
          </w:p>
        </w:tc>
        <w:tc>
          <w:tcPr/>
          <w:p>
            <w:pPr>
              <w:pStyle w:val="Compact"/>
            </w:pPr>
            <w:r>
              <w:t xml:space="preserve">AI disclosure label visible on differential list screen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TC-AI-011</w:t>
            </w:r>
          </w:p>
        </w:tc>
        <w:tc>
          <w:tcPr/>
          <w:p>
            <w:pPr>
              <w:pStyle w:val="Compact"/>
            </w:pPr>
            <w:r>
              <w:t xml:space="preserve">Kiswahili patient plain-language summary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TC-AI-012</w:t>
            </w:r>
          </w:p>
        </w:tc>
        <w:tc>
          <w:tcPr/>
          <w:p>
            <w:pPr>
              <w:pStyle w:val="Compact"/>
            </w:pPr>
            <w:r>
              <w:t xml:space="preserve">French patient plain-language summary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TC-AI-013</w:t>
            </w:r>
          </w:p>
        </w:tc>
        <w:tc>
          <w:tcPr/>
          <w:p>
            <w:pPr>
              <w:pStyle w:val="Compact"/>
            </w:pPr>
            <w:r>
              <w:t xml:space="preserve">English fallback when Kiswahili generation fails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TC-AI-014</w:t>
            </w:r>
          </w:p>
        </w:tc>
        <w:tc>
          <w:tcPr/>
          <w:p>
            <w:pPr>
              <w:pStyle w:val="Compact"/>
            </w:pPr>
            <w:r>
              <w:t xml:space="preserve">Red flag detected — top 2 rejection reasons returned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TC-AI-015</w:t>
            </w:r>
          </w:p>
        </w:tc>
        <w:tc>
          <w:tcPr/>
          <w:p>
            <w:pPr>
              <w:pStyle w:val="Compact"/>
            </w:pPr>
            <w:r>
              <w:t xml:space="preserve">Green flag — no rejection history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TC-AI-016</w:t>
            </w:r>
          </w:p>
        </w:tc>
        <w:tc>
          <w:tcPr/>
          <w:p>
            <w:pPr>
              <w:pStyle w:val="Compact"/>
            </w:pPr>
            <w:r>
              <w:t xml:space="preserve">Submit red-flagged claim with override reason logged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TC-AI-017</w:t>
            </w:r>
          </w:p>
        </w:tc>
        <w:tc>
          <w:tcPr/>
          <w:p>
            <w:pPr>
              <w:pStyle w:val="Compact"/>
            </w:pPr>
            <w:r>
              <w:t xml:space="preserve">Outbreak anomaly detected — alert sent to both roles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TC-AI-018</w:t>
            </w:r>
          </w:p>
        </w:tc>
        <w:tc>
          <w:tcPr/>
          <w:p>
            <w:pPr>
              <w:pStyle w:val="Compact"/>
            </w:pPr>
            <w:r>
              <w:t xml:space="preserve">No alert below anomaly threshold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TC-AI-019</w:t>
            </w:r>
          </w:p>
        </w:tc>
        <w:tc>
          <w:tcPr/>
          <w:p>
            <w:pPr>
              <w:pStyle w:val="Compact"/>
            </w:pPr>
            <w:r>
              <w:t xml:space="preserve">Alert content contains all 5 required fields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AI Safety Gate:</w:t>
      </w:r>
      <w:r>
        <w:t xml:space="preserve"> </w:t>
      </w:r>
      <w:r>
        <w:rPr>
          <w:b/>
          <w:bCs/>
        </w:rPr>
        <w:t xml:space="preserve">TC-AI-001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TC-AI-002</w:t>
      </w:r>
      <w:r>
        <w:t xml:space="preserve"> </w:t>
      </w:r>
      <w:r>
        <w:t xml:space="preserve">MUST both PASS before any AI capability PR can be merged.</w:t>
      </w:r>
    </w:p>
    <w:p>
      <w:r>
        <w:pict>
          <v:rect style="width:0;height:1.5pt" o:hralign="center" o:hrstd="t" o:hr="t"/>
        </w:pict>
      </w:r>
    </w:p>
    <w:bookmarkEnd w:id="43"/>
    <w:bookmarkStart w:id="47" w:name="X2e9693847e1ccfaf51b42feb2bfc13da3f82495"/>
    <w:p>
      <w:pPr>
        <w:pStyle w:val="Heading2"/>
      </w:pPr>
      <w:r>
        <w:t xml:space="preserve">8 i18n Coverage Report</w:t>
      </w:r>
    </w:p>
    <w:bookmarkStart w:id="44" w:name="X0c0daf9bc3b663ae78d2638e26c4cc49733489b"/>
    <w:p>
      <w:pPr>
        <w:pStyle w:val="Heading3"/>
      </w:pPr>
      <w:r>
        <w:t xml:space="preserve">8.1 i18n Audit Output</w:t>
      </w:r>
    </w:p>
    <w:p>
      <w:pPr>
        <w:pStyle w:val="FirstParagraph"/>
      </w:pPr>
      <w:r>
        <w:rPr>
          <w:rStyle w:val="VerbatimChar"/>
        </w:rPr>
        <w:t xml:space="preserve">php artisan i18n:audit</w:t>
      </w:r>
      <w:r>
        <w:t xml:space="preserve"> </w:t>
      </w:r>
      <w:r>
        <w:t xml:space="preserve">result (paste output here at test execution time):</w:t>
      </w:r>
    </w:p>
    <w:p>
      <w:pPr>
        <w:pStyle w:val="SourceCode"/>
      </w:pPr>
      <w:r>
        <w:rPr>
          <w:rStyle w:val="VerbatimChar"/>
        </w:rPr>
        <w:t xml:space="preserve">[paste audit output]</w:t>
      </w:r>
    </w:p>
    <w:bookmarkEnd w:id="44"/>
    <w:bookmarkStart w:id="45" w:name="Xb8f9ca5e21ff2183b4bb79cf6979d50e93e941c"/>
    <w:p>
      <w:pPr>
        <w:pStyle w:val="Heading3"/>
      </w:pPr>
      <w:r>
        <w:t xml:space="preserve">8.2 Native Speaker Review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Reviewer Name</w:t>
            </w:r>
          </w:p>
        </w:tc>
        <w:tc>
          <w:tcPr/>
          <w:p>
            <w:pPr>
              <w:pStyle w:val="Compact"/>
            </w:pPr>
            <w:r>
              <w:t xml:space="preserve">Sign-Off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Kiswahili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French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X9dfd0f17e2dae50dd5cf0f6703006deeeb6ca57"/>
    <w:p>
      <w:pPr>
        <w:pStyle w:val="Heading3"/>
      </w:pPr>
      <w:r>
        <w:t xml:space="preserve">8.3 String Gap Resolution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  <w:r>
              <w:t xml:space="preserve"> </w:t>
            </w:r>
            <w:r>
              <w:rPr>
                <w:rStyle w:val="VerbatimChar"/>
              </w:rPr>
              <w:t xml:space="preserve">[I18N-GAP]</w:t>
            </w:r>
            <w:r>
              <w:t xml:space="preserve"> </w:t>
            </w:r>
            <w:r>
              <w:t xml:space="preserve">entries identified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[I18N-GAP]</w:t>
            </w:r>
            <w:r>
              <w:t xml:space="preserve"> </w:t>
            </w:r>
            <w:r>
              <w:t xml:space="preserve">entries resolved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[I18N-GAP]</w:t>
            </w:r>
            <w:r>
              <w:t xml:space="preserve"> </w:t>
            </w:r>
            <w:r>
              <w:t xml:space="preserve">entries remaining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String gap count remaining MUST be 0 before any module ships to production.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accffc509328a41091d6125c25c5e26e9ebeb80"/>
    <w:p>
      <w:pPr>
        <w:pStyle w:val="Heading2"/>
      </w:pPr>
      <w:r>
        <w:t xml:space="preserve">9 Approvals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/ Test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Clinical Advisor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Facility Admin (Tororo)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Facility Admin (Kasanje)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Facility Admin (TBD)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8"/>
    <w:bookmarkEnd w:id="49"/>
    <w:sectPr w:rsidR="00FC693F" w:rsidRPr="0006063C" w:rsidSect="00034616">
      <w:footerReference r:id="rId9" w:type="default"/>
      <w:headerReference r:id="rId10" w:type="default"/>
      <w:pgSz w:h="16838" w:w="11906"/>
      <w:pgMar w:bottom="1134" w:footer="720" w:gutter="0" w:header="720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Calibri" w:hAnsi="Calibri"/>
        <w:color w:val="595959"/>
        <w:sz w:val="18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595959"/>
        <w:sz w:val="18"/>
      </w:rPr>
      <w:t xml:space="preserve"> of </w:t>
    </w:r>
    <w:r>
      <w:rPr>
        <w:rFonts w:ascii="Calibri" w:hAnsi="Calibri"/>
        <w:color w:val="595959"/>
        <w:sz w:val="18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4" w:color="CCCCCC"/>
      </w:pBdr>
    </w:pPr>
    <w:r>
      <w:rPr>
        <w:rFonts w:ascii="Calibri" w:hAnsi="Calibri"/>
        <w:color w:val="595959"/>
        <w:sz w:val="18"/>
      </w:rPr>
      <w:fldChar w:fldCharType="begin"/>
      <w:instrText xml:space="preserve"> TITLE </w:instrText>
      <w:fldChar w:fldCharType="separate"/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Lines/>
      <w:widowControl/>
      <w:spacing w:after="120" w:before="0" w:line="276" w:lineRule="auto"/>
    </w:pPr>
    <w:rPr>
      <w:rFonts w:ascii="Calibri" w:hAnsi="Calibri"/>
      <w:color w:val="262626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400"/>
      <w:outlineLvl w:val="0"/>
      <w:pBdr>
        <w:left w:color="1F3864" w:space="8" w:sz="18" w:val="single"/>
      </w:pBdr>
    </w:pPr>
    <w:rPr>
      <w:rFonts w:ascii="Calibri Light" w:asciiTheme="majorHAnsi" w:cstheme="majorBidi" w:eastAsiaTheme="majorEastAsia" w:hAnsi="Calibri Light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2E5D8A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200"/>
      <w:outlineLvl w:val="2"/>
    </w:pPr>
    <w:rPr>
      <w:rFonts w:ascii="Calibri" w:asciiTheme="majorHAnsi" w:cstheme="majorBidi" w:eastAsiaTheme="majorEastAsia" w:hAnsi="Calibri" w:hAnsiTheme="majorHAnsi"/>
      <w:b/>
      <w:bCs/>
      <w:i w:val="0"/>
      <w:color w:val="4472C4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16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262626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60" w:before="0" w:line="240" w:lineRule="auto"/>
      <w:contextualSpacing/>
      <w:jc w:val="left"/>
    </w:pPr>
    <w:rPr>
      <w:rFonts w:ascii="Calibri Light" w:asciiTheme="majorHAnsi" w:cstheme="majorBidi" w:eastAsiaTheme="majorEastAsia" w:hAnsi="Calibri Light" w:hAnsiTheme="majorHAnsi"/>
      <w:b/>
      <w:color w:val="1F3864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before="0"/>
    </w:pPr>
    <w:rPr>
      <w:rFonts w:ascii="Calibri" w:asciiTheme="majorHAnsi" w:cstheme="majorBidi" w:eastAsiaTheme="majorEastAsia" w:hAnsi="Calibri" w:hAnsiTheme="majorHAnsi"/>
      <w:i/>
      <w:iCs/>
      <w:color w:val="595959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60" w:before="0"/>
    </w:pPr>
    <w:rPr>
      <w:rFonts w:ascii="Calibri" w:hAnsi="Calibri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60" w:before="40" w:line="240" w:lineRule="auto"/>
      <w:jc w:val="center"/>
    </w:pPr>
    <w:rPr>
      <w:rFonts w:ascii="Calibri" w:hAnsi="Calibri"/>
      <w:b/>
      <w:bCs/>
      <w:i/>
      <w:color w:val="595959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ind w:firstLine="0"/>
    </w:pPr>
  </w:style>
  <w:style w:customStyle="1" w:styleId="VerbatimChar" w:type="character">
    <w:name w:val="Verbatim Char"/>
    <w:rPr>
      <w:rFonts w:ascii="Consolas" w:hAnsi="Consolas"/>
      <w:color w:val="1A1A1A"/>
      <w:sz w:val="19"/>
    </w:rPr>
  </w:style>
  <w:style w:customStyle="1" w:styleId="Verbatim" w:type="paragraph">
    <w:name w:val="Verbatim"/>
    <w:pPr>
      <w:spacing w:after="80" w:before="80"/>
    </w:pPr>
    <w:rPr>
      <w:rFonts w:ascii="Consolas" w:hAnsi="Consolas"/>
      <w:color w:val="1A1A1A"/>
      <w:sz w:val="19"/>
    </w:rPr>
  </w:style>
  <w:style w:customStyle="1" w:styleId="SourceCode" w:type="paragraph">
    <w:name w:val="Source Code"/>
    <w:pPr>
      <w:spacing w:after="80" w:before="80"/>
    </w:pPr>
    <w:rPr>
      <w:rFonts w:ascii="Consolas" w:hAnsi="Consolas"/>
      <w:color w:val="1A1A1A"/>
      <w:sz w:val="19"/>
    </w:rPr>
  </w:style>
  <w:style w:customStyle="1" w:styleId="BlockText" w:type="paragraph">
    <w:name w:val="Block Text"/>
    <w:pPr>
      <w:spacing w:after="120" w:before="120"/>
      <w:ind w:left="567" w:right="567"/>
    </w:pPr>
    <w:rPr>
      <w:rFonts w:ascii="Calibri" w:hAnsi="Calibri"/>
      <w:i/>
      <w:color w:val="595959"/>
      <w:sz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2026-04-17T07:22:58Z</dcterms:created>
  <dcterms:modified xsi:type="dcterms:W3CDTF">2026-04-17T07:22:58Z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