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b01de4a84c356c4e9a34d20f2521354f3edc9b2"/>
    <w:p>
      <w:pPr>
        <w:pStyle w:val="Heading1"/>
      </w:pPr>
      <w:r>
        <w:t xml:space="preserve">OpenAPI 3.1 Specification — Academia Pro Phase 1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DD-03-00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  <w:r>
        <w:t xml:space="preserve"> </w:t>
      </w:r>
      <w:r>
        <w:rPr>
          <w:b/>
          <w:bCs/>
        </w:rPr>
        <w:t xml:space="preserve">Gap Resolved:</w:t>
      </w:r>
      <w:r>
        <w:t xml:space="preserve"> </w:t>
      </w:r>
      <w:r>
        <w:t xml:space="preserve">HIGH-003</w:t>
      </w:r>
    </w:p>
    <w:p>
      <w:r>
        <w:pict>
          <v:rect style="width:0;height:1.5pt" o:hralign="center" o:hrstd="t" o:hr="t"/>
        </w:pict>
      </w:r>
    </w:p>
    <w:bookmarkStart w:id="1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directory contains the complete OpenAPI 3.1 specification for all Phase 1 API endpoints.</w:t>
      </w:r>
      <w:r>
        <w:t xml:space="preserve"> </w:t>
      </w:r>
      <w:r>
        <w:t xml:space="preserve">The spec is the authoritative contract between the backend (Laravel 11 / PHP 8.2), the web</w:t>
      </w:r>
      <w:r>
        <w:t xml:space="preserve"> </w:t>
      </w:r>
      <w:r>
        <w:t xml:space="preserve">frontend (React 18 / TypeScript), and the Android mobile clients (Kotlin / Jetpack Compose).</w:t>
      </w:r>
    </w:p>
    <w:p>
      <w:pPr>
        <w:pStyle w:val="BodyText"/>
      </w:pPr>
      <w:r>
        <w:t xml:space="preserve">No endpoint may be implemented that is not described here. No described endpoint may be</w:t>
      </w:r>
      <w:r>
        <w:t xml:space="preserve"> </w:t>
      </w:r>
      <w:r>
        <w:t xml:space="preserve">omitted from the Phase 1 deliverable without a formal change request.</w:t>
      </w:r>
    </w:p>
    <w:p>
      <w:r>
        <w:pict>
          <v:rect style="width:0;height:1.5pt" o:hralign="center" o:hrstd="t" o:hr="t"/>
        </w:pict>
      </w:r>
    </w:p>
    <w:bookmarkEnd w:id="19"/>
    <w:bookmarkStart w:id="20" w:name="base-url"/>
    <w:p>
      <w:pPr>
        <w:pStyle w:val="Heading2"/>
      </w:pPr>
      <w:r>
        <w:t xml:space="preserve">Base URL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https://staging.academiapro.chwezi.com/api/v1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https://app.academiapro.com/api/v1</w:t>
            </w:r>
          </w:p>
        </w:tc>
      </w:tr>
    </w:tbl>
    <w:p>
      <w:pPr>
        <w:pStyle w:val="BodyText"/>
      </w:pPr>
      <w:r>
        <w:t xml:space="preserve">Super Admin endpoints use the prefix</w:t>
      </w:r>
      <w:r>
        <w:t xml:space="preserve"> </w:t>
      </w:r>
      <w:r>
        <w:rPr>
          <w:rStyle w:val="VerbatimChar"/>
        </w:rPr>
        <w:t xml:space="preserve">/adminpanel/api/v1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All endpoints (except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) require: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t xml:space="preserve">The access token is a Laravel Sanctum token with the following claims stored in the</w:t>
      </w:r>
      <w:r>
        <w:t xml:space="preserve"> </w:t>
      </w:r>
      <w:r>
        <w:rPr>
          <w:rStyle w:val="VerbatimChar"/>
        </w:rPr>
        <w:t xml:space="preserve">personal_access_tokens.abilities</w:t>
      </w:r>
      <w:r>
        <w:t xml:space="preserve"> </w:t>
      </w:r>
      <w:r>
        <w:t xml:space="preserve">JSON column: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"bursar"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Super Admin tokens carry</w:t>
      </w:r>
      <w:r>
        <w:t xml:space="preserve"> </w:t>
      </w:r>
      <w:r>
        <w:rPr>
          <w:rStyle w:val="VerbatimChar"/>
        </w:rPr>
        <w:t xml:space="preserve">"tenant_id": null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"role": "super_admin"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file-structure"/>
    <w:p>
      <w:pPr>
        <w:pStyle w:val="Heading2"/>
      </w:pPr>
      <w:r>
        <w:t xml:space="preserve">File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Endpoints Covered</w:t>
            </w:r>
          </w:p>
        </w:tc>
        <w:tc>
          <w:tcPr/>
          <w:p>
            <w:pPr>
              <w:pStyle w:val="Compact"/>
            </w:pPr>
            <w:r>
              <w:t xml:space="preserve">FR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01-auth.yaml</w:t>
            </w:r>
          </w:p>
        </w:tc>
        <w:tc>
          <w:tcPr/>
          <w:p>
            <w:pPr>
              <w:pStyle w:val="Compact"/>
            </w:pPr>
            <w:r>
              <w:t xml:space="preserve">Authentication and session management</w:t>
            </w:r>
          </w:p>
        </w:tc>
        <w:tc>
          <w:tcPr/>
          <w:p>
            <w:pPr>
              <w:pStyle w:val="Compact"/>
            </w:pPr>
            <w:r>
              <w:t xml:space="preserve">FR-AUTH-001 – FR-AUTH-006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02-tenants.yaml</w:t>
            </w:r>
          </w:p>
        </w:tc>
        <w:tc>
          <w:tcPr/>
          <w:p>
            <w:pPr>
              <w:pStyle w:val="Compact"/>
            </w:pPr>
            <w:r>
              <w:t xml:space="preserve">Tenant lifecycle (Super Admin)</w:t>
            </w:r>
          </w:p>
        </w:tc>
        <w:tc>
          <w:tcPr/>
          <w:p>
            <w:pPr>
              <w:pStyle w:val="Compact"/>
            </w:pPr>
            <w:r>
              <w:t xml:space="preserve">FR-TNT-001 – FR-TNT-003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03-students.yaml</w:t>
            </w:r>
          </w:p>
        </w:tc>
        <w:tc>
          <w:tcPr/>
          <w:p>
            <w:pPr>
              <w:pStyle w:val="Compact"/>
            </w:pPr>
            <w:r>
              <w:t xml:space="preserve">Student Information System</w:t>
            </w:r>
          </w:p>
        </w:tc>
        <w:tc>
          <w:tcPr/>
          <w:p>
            <w:pPr>
              <w:pStyle w:val="Compact"/>
            </w:pPr>
            <w:r>
              <w:t xml:space="preserve">FR-SIS-001 – FR-SIS-005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04-academics.yaml</w:t>
            </w:r>
          </w:p>
        </w:tc>
        <w:tc>
          <w:tcPr/>
          <w:p>
            <w:pPr>
              <w:pStyle w:val="Compact"/>
            </w:pPr>
            <w:r>
              <w:t xml:space="preserve">Academic year, classes, timetable</w:t>
            </w:r>
          </w:p>
        </w:tc>
        <w:tc>
          <w:tcPr/>
          <w:p>
            <w:pPr>
              <w:pStyle w:val="Compact"/>
            </w:pPr>
            <w:r>
              <w:t xml:space="preserve">FR-ACA-001 – FR-ACA-004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05-fees.yaml</w:t>
            </w:r>
          </w:p>
        </w:tc>
        <w:tc>
          <w:tcPr/>
          <w:p>
            <w:pPr>
              <w:pStyle w:val="Compact"/>
            </w:pPr>
            <w:r>
              <w:t xml:space="preserve">Fee structures and payments</w:t>
            </w:r>
          </w:p>
        </w:tc>
        <w:tc>
          <w:tcPr/>
          <w:p>
            <w:pPr>
              <w:pStyle w:val="Compact"/>
            </w:pPr>
            <w:r>
              <w:t xml:space="preserve">FR-FEE-001 – FR-FEE-007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06-attendance.yaml</w:t>
            </w:r>
          </w:p>
        </w:tc>
        <w:tc>
          <w:tcPr/>
          <w:p>
            <w:pPr>
              <w:pStyle w:val="Compact"/>
            </w:pPr>
            <w:r>
              <w:t xml:space="preserve">Attendance entry and reporting</w:t>
            </w:r>
          </w:p>
        </w:tc>
        <w:tc>
          <w:tcPr/>
          <w:p>
            <w:pPr>
              <w:pStyle w:val="Compact"/>
            </w:pPr>
            <w:r>
              <w:t xml:space="preserve">FR-ATT-001 – FR-ATT-004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07-examinations.yaml</w:t>
            </w:r>
          </w:p>
        </w:tc>
        <w:tc>
          <w:tcPr/>
          <w:p>
            <w:pPr>
              <w:pStyle w:val="Compact"/>
            </w:pPr>
            <w:r>
              <w:t xml:space="preserve">Exams, marks, grading, UNEB</w:t>
            </w:r>
          </w:p>
        </w:tc>
        <w:tc>
          <w:tcPr/>
          <w:p>
            <w:pPr>
              <w:pStyle w:val="Compact"/>
            </w:pPr>
            <w:r>
              <w:t xml:space="preserve">FR-EXM-001 – FR-EXM-008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08-reports.yaml</w:t>
            </w:r>
          </w:p>
        </w:tc>
        <w:tc>
          <w:tcPr/>
          <w:p>
            <w:pPr>
              <w:pStyle w:val="Compact"/>
            </w:pPr>
            <w:r>
              <w:t xml:space="preserve">Report cards and school performance</w:t>
            </w:r>
          </w:p>
        </w:tc>
        <w:tc>
          <w:tcPr/>
          <w:p>
            <w:pPr>
              <w:pStyle w:val="Compact"/>
            </w:pPr>
            <w:r>
              <w:t xml:space="preserve">FR-RPT-001 – FR-RPT-004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09-rbac.yaml</w:t>
            </w:r>
          </w:p>
        </w:tc>
        <w:tc>
          <w:tcPr/>
          <w:p>
            <w:pPr>
              <w:pStyle w:val="Compact"/>
            </w:pPr>
            <w:r>
              <w:t xml:space="preserve">Users, roles, permissions</w:t>
            </w:r>
          </w:p>
        </w:tc>
        <w:tc>
          <w:tcPr/>
          <w:p>
            <w:pPr>
              <w:pStyle w:val="Compact"/>
            </w:pPr>
            <w:r>
              <w:t xml:space="preserve">FR-RBAC-001 – FR-RBAC-005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10-emis-audit.yaml</w:t>
            </w:r>
          </w:p>
        </w:tc>
        <w:tc>
          <w:tcPr/>
          <w:p>
            <w:pPr>
              <w:pStyle w:val="Compact"/>
            </w:pPr>
            <w:r>
              <w:t xml:space="preserve">EMIS export and audit trail</w:t>
            </w:r>
          </w:p>
        </w:tc>
        <w:tc>
          <w:tcPr/>
          <w:p>
            <w:pPr>
              <w:pStyle w:val="Compact"/>
            </w:pPr>
            <w:r>
              <w:t xml:space="preserve">FR-EMIS-001, FR-AUD-001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11-schemas.yaml</w:t>
            </w:r>
          </w:p>
        </w:tc>
        <w:tc>
          <w:tcPr/>
          <w:p>
            <w:pPr>
              <w:pStyle w:val="Compact"/>
            </w:pPr>
            <w:r>
              <w:t xml:space="preserve">Shared reusable components and schemas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common-response-envelopes"/>
    <w:p>
      <w:pPr>
        <w:pStyle w:val="Heading2"/>
      </w:pPr>
      <w:r>
        <w:t xml:space="preserve">Common Response Envelopes</w:t>
      </w:r>
    </w:p>
    <w:p>
      <w:pPr>
        <w:pStyle w:val="FirstParagraph"/>
      </w:pPr>
      <w:r>
        <w:t xml:space="preserve">All API responses use a consistent envelope.</w:t>
      </w:r>
    </w:p>
    <w:bookmarkStart w:id="23" w:name="success-single-object"/>
    <w:p>
      <w:pPr>
        <w:pStyle w:val="Heading3"/>
      </w:pPr>
      <w:r>
        <w:t xml:space="preserve">Success (single object)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success-list"/>
    <w:p>
      <w:pPr>
        <w:pStyle w:val="Heading3"/>
      </w:pPr>
      <w:r>
        <w:t xml:space="preserve">Success (list)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error"/>
    <w:p>
      <w:pPr>
        <w:pStyle w:val="Heading3"/>
      </w:pPr>
      <w:r>
        <w:t xml:space="preserve">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given data was invalid."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"Validation message."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andard-error-codes"/>
    <w:p>
      <w:pPr>
        <w:pStyle w:val="Heading2"/>
      </w:pPr>
      <w:r>
        <w:t xml:space="preserve">Standard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 valid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TOKEN_EXPIRED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Access token 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TOKEN_REVOKED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Refresh token 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Authenticated but insufficient permission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TENANT_SUSPENDED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School account 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Request body failed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DUPLICATE_PAYMENT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Double-payment detected (FR-FEE)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State conflict (e.g., locked record)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Unexpected server error</w:t>
            </w:r>
          </w:p>
        </w:tc>
      </w:tr>
    </w:tbl>
    <w:bookmarkEnd w:id="27"/>
    <w:bookmarkEnd w:id="28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2026-04-05T07:41:23Z</dcterms:created>
  <dcterms:modified xsi:type="dcterms:W3CDTF">2026-04-05T07:41:23Z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