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d5e07cc3de8bb01aa95a6fb6146f7c4d8a8c0d5"/>
    <w:p>
      <w:pPr>
        <w:pStyle w:val="Heading1"/>
      </w:pPr>
      <w:r>
        <w:t xml:space="preserve">Executive Summary — Academia Pro Business Case</w:t>
      </w:r>
    </w:p>
    <w:p>
      <w:pPr>
        <w:pStyle w:val="FirstParagraph"/>
      </w:pPr>
      <w:r>
        <w:rPr>
          <w:b/>
          <w:bCs/>
        </w:rPr>
        <w:t xml:space="preserve">Prepared by:</w:t>
      </w:r>
      <w:r>
        <w:t xml:space="preserve"> </w:t>
      </w:r>
      <w:r>
        <w:t xml:space="preserve">Chwezi Core Systems (chwezicore.com)</w:t>
      </w:r>
      <w:r>
        <w:t xml:space="preserve"> </w:t>
      </w:r>
      <w:r>
        <w:rPr>
          <w:b/>
          <w:bCs/>
        </w:rPr>
        <w:t xml:space="preserve">Owner:</w:t>
      </w:r>
      <w:r>
        <w:t xml:space="preserve"> </w:t>
      </w:r>
      <w:r>
        <w:t xml:space="preserve">Peter</w:t>
      </w:r>
      <w:r>
        <w:t xml:space="preserve"> </w:t>
      </w:r>
      <w:r>
        <w:rPr>
          <w:b/>
          <w:bCs/>
        </w:rPr>
        <w:t xml:space="preserve">Date:</w:t>
      </w:r>
      <w:r>
        <w:t xml:space="preserve"> </w:t>
      </w:r>
      <w:r>
        <w:t xml:space="preserve">2026-03-28</w:t>
      </w:r>
      <w:r>
        <w:t xml:space="preserve"> </w:t>
      </w:r>
      <w:r>
        <w:rPr>
          <w:b/>
          <w:bCs/>
        </w:rPr>
        <w:t xml:space="preserve">Document Version:</w:t>
      </w:r>
      <w:r>
        <w:t xml:space="preserve"> </w:t>
      </w:r>
      <w:r>
        <w:t xml:space="preserve">1.0</w:t>
      </w:r>
    </w:p>
    <w:p>
      <w:r>
        <w:pict>
          <v:rect style="width:0;height:1.5pt" o:hralign="center" o:hrstd="t" o:hr="t"/>
        </w:pict>
      </w:r>
    </w:p>
    <w:bookmarkStart w:id="19" w:name="opportunity"/>
    <w:p>
      <w:pPr>
        <w:pStyle w:val="Heading2"/>
      </w:pPr>
      <w:r>
        <w:t xml:space="preserve">Opportunity</w:t>
      </w:r>
    </w:p>
    <w:p>
      <w:pPr>
        <w:pStyle w:val="FirstParagraph"/>
      </w:pPr>
      <w:r>
        <w:t xml:space="preserve">Uganda has approximately 25,000 registered primary and secondary schools (MoES 2023 estimate). The majority operate with paper registers, manual fee receipts, and Excel-based mark computation. Existing software options are either foreign-built (no MTN MoMo, no UNEB grading, no Uganda 3-term calendar), prohibitively expensive, or technically deficient — as evidenced by ShuleKeeper's 60-day data deletion policy, absence of mobile access, and developer-level WhatsApp as the primary support channel. SchoolPay, Uganda's dominant payment processor, launched an ERP product in January 2024 that is structurally immature, creating a well-defined window for a superior, Uganda-native platform.</w:t>
      </w:r>
    </w:p>
    <w:p>
      <w:pPr>
        <w:pStyle w:val="BodyText"/>
      </w:pPr>
      <w:r>
        <w:t xml:space="preserve">The immediate addressable baseline is SchoolPay's ~11,000 connected schools, which already have payment infrastructure in place. Academia Pro integrates with SchoolPay in Phase 1, removing the payment migration barrier entirely.</w:t>
      </w:r>
    </w:p>
    <w:p>
      <w:r>
        <w:pict>
          <v:rect style="width:0;height:1.5pt" o:hralign="center" o:hrstd="t" o:hr="t"/>
        </w:pict>
      </w:r>
    </w:p>
    <w:bookmarkEnd w:id="19"/>
    <w:bookmarkStart w:id="20" w:name="proposed-solution"/>
    <w:p>
      <w:pPr>
        <w:pStyle w:val="Heading2"/>
      </w:pPr>
      <w:r>
        <w:t xml:space="preserve">Proposed Solution</w:t>
      </w:r>
    </w:p>
    <w:p>
      <w:pPr>
        <w:pStyle w:val="FirstParagraph"/>
      </w:pPr>
      <w:r>
        <w:t xml:space="preserve">Academia Pro is a multi-tenant SaaS School Management Platform, architected Uganda-first and designed to scale across East and West Africa. It automates every repeatable school process — fee collection, attendance, examination grading, UNEB-compliant report cards, EMIS statutory reporting, parent communication — while remaining operable by a single administrator after module-specific training. The platform is built on a 12-phase roadmap: Phase 1–8 delivers the full Uganda web platform and Android apps; Phase 9–10 adds iOS; Phase 11 expands to Kenya, Tanzania, Nigeria, and Ghana.</w:t>
      </w:r>
    </w:p>
    <w:p>
      <w:pPr>
        <w:pStyle w:val="BodyText"/>
      </w:pPr>
      <w:r>
        <w:t xml:space="preserve">Key differentiators:</w:t>
      </w:r>
    </w:p>
    <w:p>
      <w:pPr>
        <w:pStyle w:val="Compact"/>
        <w:numPr>
          <w:ilvl w:val="0"/>
          <w:numId w:val="1001"/>
        </w:numPr>
      </w:pPr>
      <w:r>
        <w:t xml:space="preserve">Automated UNEB grading for PLE, UCE, and UACE — zero manual computation</w:t>
      </w:r>
    </w:p>
    <w:p>
      <w:pPr>
        <w:pStyle w:val="Compact"/>
        <w:numPr>
          <w:ilvl w:val="0"/>
          <w:numId w:val="1001"/>
        </w:numPr>
      </w:pPr>
      <w:r>
        <w:t xml:space="preserve">SchoolPay integration in Phase 1 — schools keep their payment infrastructure</w:t>
      </w:r>
    </w:p>
    <w:p>
      <w:pPr>
        <w:pStyle w:val="Compact"/>
        <w:numPr>
          <w:ilvl w:val="0"/>
          <w:numId w:val="1001"/>
        </w:numPr>
      </w:pPr>
      <w:r>
        <w:t xml:space="preserve">EMIS export compliance — schools submit statutory reports without re-entering data</w:t>
      </w:r>
    </w:p>
    <w:p>
      <w:pPr>
        <w:pStyle w:val="Compact"/>
        <w:numPr>
          <w:ilvl w:val="0"/>
          <w:numId w:val="1001"/>
        </w:numPr>
      </w:pPr>
      <w:r>
        <w:t xml:space="preserve">Android-first mobile apps for teachers, parents, students, and bus drivers</w:t>
      </w:r>
    </w:p>
    <w:p>
      <w:pPr>
        <w:pStyle w:val="Compact"/>
        <w:numPr>
          <w:ilvl w:val="0"/>
          <w:numId w:val="1001"/>
        </w:numPr>
      </w:pPr>
      <w:r>
        <w:t xml:space="preserve">Uganda Data Protection and Privacy Act 2019 (PDPO) compliant architecture</w:t>
      </w:r>
    </w:p>
    <w:p>
      <w:pPr>
        <w:pStyle w:val="Compact"/>
        <w:numPr>
          <w:ilvl w:val="0"/>
          <w:numId w:val="1001"/>
        </w:numPr>
      </w:pPr>
      <w:r>
        <w:t xml:space="preserve">Zero-config onboarding: a Uganda school is operational within 30 minutes of signup</w:t>
      </w:r>
    </w:p>
    <w:p>
      <w:r>
        <w:pict>
          <v:rect style="width:0;height:1.5pt" o:hralign="center" o:hrstd="t" o:hr="t"/>
        </w:pict>
      </w:r>
    </w:p>
    <w:bookmarkEnd w:id="20"/>
    <w:bookmarkStart w:id="21" w:name="expected-return"/>
    <w:p>
      <w:pPr>
        <w:pStyle w:val="Heading2"/>
      </w:pPr>
      <w:r>
        <w:t xml:space="preserve">Expected Return</w:t>
      </w:r>
    </w:p>
    <w:p>
      <w:pPr>
        <w:pStyle w:val="FirstParagraph"/>
      </w:pPr>
      <w:r>
        <w:rPr>
          <w:i/>
          <w:iCs/>
        </w:rPr>
        <w:t xml:space="preserve">All figures are planning estimates. See Section 06 for assumptions and scenario detail.</w:t>
      </w:r>
    </w:p>
    <w:p>
      <w:pPr>
        <w:pStyle w:val="BodyText"/>
      </w:pPr>
      <w:r>
        <w:t xml:space="preserve">A conservative Year 3 scenario of 300 active schools at a blended average revenue per school of UGX 230,000/month yields:</w:t>
      </w:r>
    </w:p>
    <w:p>
      <w:pPr>
        <w:pStyle w:val="BodyText"/>
      </w:pPr>
      <m:oMathPara>
        <m:oMathParaPr>
          <m:jc m:val="center"/>
        </m:oMathParaPr>
        <m:oMath>
          <m:r>
            <m:t>A</m:t>
          </m:r>
          <m:r>
            <m:t>n</m:t>
          </m:r>
          <m:r>
            <m:t>n</m:t>
          </m:r>
          <m:r>
            <m:t>u</m:t>
          </m:r>
          <m:r>
            <m:t>a</m:t>
          </m:r>
          <m:r>
            <m:t>l</m:t>
          </m:r>
          <m:r>
            <m:t>R</m:t>
          </m:r>
          <m:r>
            <m:t>e</m:t>
          </m:r>
          <m:r>
            <m:t>v</m:t>
          </m:r>
          <m:r>
            <m:t>e</m:t>
          </m:r>
          <m:r>
            <m:t>n</m:t>
          </m:r>
          <m:r>
            <m:t>u</m:t>
          </m:r>
          <m:r>
            <m:t>e</m:t>
          </m:r>
          <m:r>
            <m:rPr>
              <m:sty m:val="p"/>
            </m:rPr>
            <m:t>=</m:t>
          </m:r>
          <m:r>
            <m:t>300</m:t>
          </m:r>
          <m:r>
            <m:rPr>
              <m:sty m:val="p"/>
            </m:rPr>
            <m:t>×</m:t>
          </m:r>
          <m:r>
            <m:t>230</m:t>
          </m:r>
          <m:r>
            <m:rPr>
              <m:sty m:val="p"/>
            </m:rPr>
            <m:t>,</m:t>
          </m:r>
          <m:r>
            <m:t>000</m:t>
          </m:r>
          <m:r>
            <m:rPr>
              <m:sty m:val="p"/>
            </m:rPr>
            <m:t>×</m:t>
          </m:r>
          <m:r>
            <m:t>12</m:t>
          </m:r>
          <m:r>
            <m:rPr>
              <m:sty m:val="p"/>
            </m:rPr>
            <m:t>=</m:t>
          </m:r>
          <m:r>
            <m:t>U</m:t>
          </m:r>
          <m:r>
            <m:t>G</m:t>
          </m:r>
          <m:r>
            <m:t>X</m:t>
          </m:r>
          <m:r>
            <m:t> </m:t>
          </m:r>
          <m:r>
            <m:t>828</m:t>
          </m:r>
          <m:r>
            <m:rPr>
              <m:sty m:val="p"/>
            </m:rPr>
            <m:t>,</m:t>
          </m:r>
          <m:r>
            <m:t>000</m:t>
          </m:r>
          <m:r>
            <m:rPr>
              <m:sty m:val="p"/>
            </m:rPr>
            <m:t>,</m:t>
          </m:r>
          <m:r>
            <m:t>000</m:t>
          </m:r>
          <m:r>
            <m:t> </m:t>
          </m:r>
          <m:r>
            <m:rPr>
              <m:sty m:val="p"/>
            </m:rPr>
            <m:t>(</m:t>
          </m:r>
          <m:r>
            <m:rPr>
              <m:sty m:val="p"/>
            </m:rPr>
            <m:t>≈</m:t>
          </m:r>
          <m:r>
            <m:t>U</m:t>
          </m:r>
          <m:r>
            <m:t>S</m:t>
          </m:r>
          <m:r>
            <m:t>D</m:t>
          </m:r>
          <m:r>
            <m:t> </m:t>
          </m:r>
          <m:r>
            <m:t>220</m:t>
          </m:r>
          <m:r>
            <m:rPr>
              <m:sty m:val="p"/>
            </m:rPr>
            <m:t>,</m:t>
          </m:r>
          <m:r>
            <m:t>000</m:t>
          </m:r>
          <m:r>
            <m:rPr>
              <m:sty m:val="p"/>
            </m:rPr>
            <m:t>)</m:t>
          </m:r>
        </m:oMath>
      </m:oMathPara>
    </w:p>
    <w:p>
      <w:pPr>
        <w:pStyle w:val="FirstParagraph"/>
      </w:pPr>
      <w:r>
        <w:t xml:space="preserve">An optimistic Year 3 scenario of 600 schools at the same blended ARPU yields approximately UGX 1,656,000,000 (~USD 440,000). Pan-Africa expansion (Phase 11) opens a total addressable market of 120,000+ additional schools across Kenya, Tanzania, Nigeria, and Ghana.</w:t>
      </w:r>
    </w:p>
    <w:p>
      <w:pPr>
        <w:pStyle w:val="BodyText"/>
      </w:pPr>
      <w:r>
        <w:t xml:space="preserve">Infrastructure and operating costs at 300-school scale are estimated at UGX 12–18 million/month (hosting, SMS, WhatsApp API, Claude AI API), yielding a gross margin above 90% at scale — typical for multi-tenant SaaS on shared infrastructure.</w:t>
      </w:r>
    </w:p>
    <w:p>
      <w:r>
        <w:pict>
          <v:rect style="width:0;height:1.5pt" o:hralign="center" o:hrstd="t" o:hr="t"/>
        </w:pict>
      </w:r>
    </w:p>
    <w:bookmarkEnd w:id="21"/>
    <w:bookmarkStart w:id="22" w:name="recommendation"/>
    <w:p>
      <w:pPr>
        <w:pStyle w:val="Heading2"/>
      </w:pPr>
      <w:r>
        <w:t xml:space="preserve">Recommendation</w:t>
      </w:r>
    </w:p>
    <w:p>
      <w:pPr>
        <w:pStyle w:val="FirstParagraph"/>
      </w:pPr>
      <w:r>
        <w:rPr>
          <w:b/>
          <w:bCs/>
        </w:rPr>
        <w:t xml:space="preserve">Proceed.</w:t>
      </w:r>
      <w:r>
        <w:t xml:space="preserve"> </w:t>
      </w:r>
      <w:r>
        <w:t xml:space="preserve">The market gap is quantified, the competition is structurally weak, the payment integration path is clear (SchoolPay), and the regulatory framework (PDPO, UNEB, EMIS) is documented and solvable. The primary risk is solo-team execution capacity, which is mitigated by the 12-phase phased build plan and the Water-Scrum-Fall gate structure that prevents scope creep.</w:t>
      </w:r>
    </w:p>
    <w:p>
      <w:pPr>
        <w:pStyle w:val="BodyText"/>
      </w:pPr>
      <w:r>
        <w:rPr>
          <w:b/>
          <w:bCs/>
        </w:rPr>
        <w:t xml:space="preserve">Immediate next steps before Phase 1 development begins:</w:t>
      </w:r>
    </w:p>
    <w:p>
      <w:pPr>
        <w:pStyle w:val="Compact"/>
        <w:numPr>
          <w:ilvl w:val="0"/>
          <w:numId w:val="1002"/>
        </w:numPr>
      </w:pPr>
      <w:r>
        <w:t xml:space="preserve">Resolve all 8 HIGH-priority gaps documented in</w:t>
      </w:r>
      <w:r>
        <w:t xml:space="preserve"> </w:t>
      </w:r>
      <w:r>
        <w:rPr>
          <w:rStyle w:val="VerbatimChar"/>
        </w:rPr>
        <w:t xml:space="preserve">_context/gap-analysis.md</w:t>
      </w:r>
      <w:r>
        <w:t xml:space="preserve">.</w:t>
      </w:r>
    </w:p>
    <w:p>
      <w:pPr>
        <w:pStyle w:val="Compact"/>
        <w:numPr>
          <w:ilvl w:val="0"/>
          <w:numId w:val="1002"/>
        </w:numPr>
      </w:pPr>
      <w:r>
        <w:t xml:space="preserve">Contact SchoolPay at</w:t>
      </w:r>
      <w:r>
        <w:t xml:space="preserve"> </w:t>
      </w:r>
      <w:r>
        <w:rPr>
          <w:rStyle w:val="VerbatimChar"/>
        </w:rPr>
        <w:t xml:space="preserve">[email protected]</w:t>
      </w:r>
      <w:r>
        <w:t xml:space="preserve"> </w:t>
      </w:r>
      <w:r>
        <w:t xml:space="preserve">to obtain sandbox credentials.</w:t>
      </w:r>
    </w:p>
    <w:p>
      <w:pPr>
        <w:pStyle w:val="Compact"/>
        <w:numPr>
          <w:ilvl w:val="0"/>
          <w:numId w:val="1002"/>
        </w:numPr>
      </w:pPr>
      <w:r>
        <w:t xml:space="preserve">Contact UNEB to obtain the candidate registration manual and sample mark sheets.</w:t>
      </w:r>
    </w:p>
    <w:p>
      <w:pPr>
        <w:pStyle w:val="Compact"/>
        <w:numPr>
          <w:ilvl w:val="0"/>
          <w:numId w:val="1002"/>
        </w:numPr>
      </w:pPr>
      <w:r>
        <w:t xml:space="preserve">Register Chwezi Core Systems with the PDPO Office (Uganda).</w:t>
      </w:r>
    </w:p>
    <w:p>
      <w:pPr>
        <w:pStyle w:val="Compact"/>
        <w:numPr>
          <w:ilvl w:val="0"/>
          <w:numId w:val="1002"/>
        </w:numPr>
      </w:pPr>
      <w:r>
        <w:t xml:space="preserve">Confirm Phase 1 gate criteria are met before writing the first line of production code.</w:t>
      </w:r>
    </w:p>
    <w:bookmarkEnd w:id="22"/>
    <w:bookmarkEnd w:id="23"/>
    <w:bookmarkStart w:id="33" w:name="X7f1365a72b6fbf93884911b03272511ee9328a5"/>
    <w:p>
      <w:pPr>
        <w:pStyle w:val="Heading1"/>
      </w:pPr>
      <w:r>
        <w:t xml:space="preserve">Problem Statement — Current State of School Administration in Uganda</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27" w:name="X165e5f2441facfce936ecf3195ce9ff876a7ae5"/>
    <w:p>
      <w:pPr>
        <w:pStyle w:val="Heading2"/>
      </w:pPr>
      <w:r>
        <w:t xml:space="preserve">1. Current State Analysis</w:t>
      </w:r>
    </w:p>
    <w:bookmarkStart w:id="24" w:name="X0bf734c146332f7f5a8dd591d1de23f2140b991"/>
    <w:p>
      <w:pPr>
        <w:pStyle w:val="Heading3"/>
      </w:pPr>
      <w:r>
        <w:t xml:space="preserve">1.1 Administrative Operations</w:t>
      </w:r>
    </w:p>
    <w:p>
      <w:pPr>
        <w:pStyle w:val="FirstParagraph"/>
      </w:pPr>
      <w:r>
        <w:t xml:space="preserve">The majority of Uganda's approximately 25,000 registered schools (primary and secondary combined, MoES estimate) administer students using one or more of the following manual processes:</w:t>
      </w:r>
    </w:p>
    <w:p>
      <w:pPr>
        <w:pStyle w:val="Compact"/>
        <w:numPr>
          <w:ilvl w:val="0"/>
          <w:numId w:val="1003"/>
        </w:numPr>
      </w:pPr>
      <w:r>
        <w:rPr>
          <w:b/>
          <w:bCs/>
        </w:rPr>
        <w:t xml:space="preserve">Fee collection:</w:t>
      </w:r>
      <w:r>
        <w:t xml:space="preserve"> </w:t>
      </w:r>
      <w:r>
        <w:t xml:space="preserve">Paper receipt books (triplicate carbon copy). Bursars hand-write receipts for each payment. End-of-term reconciliation requires matching hundreds of stubs against a ledger book or an unstructured Excel sheet. Schools that use SchoolPay for mobile money collection still reconcile manually — SchoolPay posts transactions but does not manage fee structures, balances per student per term, or arrears carry-forward.</w:t>
      </w:r>
    </w:p>
    <w:p>
      <w:pPr>
        <w:pStyle w:val="Compact"/>
        <w:numPr>
          <w:ilvl w:val="0"/>
          <w:numId w:val="1003"/>
        </w:numPr>
      </w:pPr>
      <w:r>
        <w:rPr>
          <w:b/>
          <w:bCs/>
        </w:rPr>
        <w:t xml:space="preserve">Attendance:</w:t>
      </w:r>
      <w:r>
        <w:t xml:space="preserve"> </w:t>
      </w:r>
      <w:r>
        <w:t xml:space="preserve">Handwritten class registers. Teachers record daily attendance in physical exercise books. Monthly attendance summaries are compiled by hand, consuming 3–5 hours of administrative time per class per term. No automated parent alert system exists.</w:t>
      </w:r>
    </w:p>
    <w:p>
      <w:pPr>
        <w:pStyle w:val="Compact"/>
        <w:numPr>
          <w:ilvl w:val="0"/>
          <w:numId w:val="1003"/>
        </w:numPr>
      </w:pPr>
      <w:r>
        <w:rPr>
          <w:b/>
          <w:bCs/>
        </w:rPr>
        <w:t xml:space="preserve">Mark sheets and report cards:</w:t>
      </w:r>
      <w:r>
        <w:t xml:space="preserve"> </w:t>
      </w:r>
      <w:r>
        <w:t xml:space="preserve">Teachers enter marks on printed mark sheets. Head teachers aggregate results manually — a school with 500 students and 8 subjects generates 4,000 individual marks per examination sitting. Aggregation errors directly affect report card accuracy and, for examination classes, UNEB registration data. Report cards are typed individually (Word or handwritten) or printed from an Excel template that requires manual cell-by-cell entry.</w:t>
      </w:r>
    </w:p>
    <w:p>
      <w:pPr>
        <w:pStyle w:val="Compact"/>
        <w:numPr>
          <w:ilvl w:val="0"/>
          <w:numId w:val="1003"/>
        </w:numPr>
      </w:pPr>
      <w:r>
        <w:rPr>
          <w:b/>
          <w:bCs/>
        </w:rPr>
        <w:t xml:space="preserve">UNEB grading:</w:t>
      </w:r>
      <w:r>
        <w:t xml:space="preserve"> </w:t>
      </w:r>
      <w:r>
        <w:t xml:space="preserve">The UNEB grading algorithm for PLE, UCE, and UACE is non-trivial (documented in BR-UNEB-001 through BR-UNEB-004). Schools compute division aggregates manually using a reference booklet. Computation errors result in wrong division assignments, incorrect university application grades, and school league table distortions. There is no automated validation against UNEB's published rules.</w:t>
      </w:r>
    </w:p>
    <w:p>
      <w:pPr>
        <w:pStyle w:val="Compact"/>
        <w:numPr>
          <w:ilvl w:val="0"/>
          <w:numId w:val="1003"/>
        </w:numPr>
      </w:pPr>
      <w:r>
        <w:rPr>
          <w:b/>
          <w:bCs/>
        </w:rPr>
        <w:t xml:space="preserve">EMIS reporting:</w:t>
      </w:r>
      <w:r>
        <w:t xml:space="preserve"> </w:t>
      </w:r>
      <w:r>
        <w:t xml:space="preserve">MoES requires all registered schools to submit annual headcount and teacher data to the Education Management Information System (EMIS) portal. Schools re-enter data they already hold in paper registers or Excel into the MoES web form. The process takes 2–4 days per school per year and introduces transcription errors.</w:t>
      </w:r>
    </w:p>
    <w:bookmarkEnd w:id="24"/>
    <w:bookmarkStart w:id="25" w:name="X76a861452401eecd15c277f1a76a1be12924c1b"/>
    <w:p>
      <w:pPr>
        <w:pStyle w:val="Heading3"/>
      </w:pPr>
      <w:r>
        <w:t xml:space="preserve">1.2 Quantified Administrative Burden</w:t>
      </w:r>
    </w:p>
    <w:p>
      <w:pPr>
        <w:pStyle w:val="FirstParagraph"/>
      </w:pPr>
      <w:r>
        <w:t xml:space="preserve">The estimates below are derived from the project vision document and structured domain research. They are presented as planning assumptions — not audited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Estimated Time Lost Per Term</w:t>
            </w:r>
          </w:p>
        </w:tc>
        <w:tc>
          <w:tcPr/>
          <w:p>
            <w:pPr>
              <w:pStyle w:val="Compact"/>
            </w:pPr>
            <w:r>
              <w:t xml:space="preserve">Error Vector</w:t>
            </w:r>
          </w:p>
        </w:tc>
      </w:tr>
      <w:tr>
        <w:tc>
          <w:tcPr/>
          <w:p>
            <w:pPr>
              <w:pStyle w:val="Compact"/>
            </w:pPr>
            <w:r>
              <w:t xml:space="preserve">Fee reconciliation (manual)</w:t>
            </w:r>
          </w:p>
        </w:tc>
        <w:tc>
          <w:tcPr/>
          <w:p>
            <w:pPr>
              <w:pStyle w:val="Compact"/>
            </w:pPr>
            <w:r>
              <w:t xml:space="preserve">15–25 hours (bursar) for a 300-pupil school</w:t>
            </w:r>
          </w:p>
        </w:tc>
        <w:tc>
          <w:tcPr/>
          <w:p>
            <w:pPr>
              <w:pStyle w:val="Compact"/>
            </w:pPr>
            <w:r>
              <w:t xml:space="preserve">Missed payments, unrecorded cash, double-entry</w:t>
            </w:r>
          </w:p>
        </w:tc>
      </w:tr>
      <w:tr>
        <w:tc>
          <w:tcPr/>
          <w:p>
            <w:pPr>
              <w:pStyle w:val="Compact"/>
            </w:pPr>
            <w:r>
              <w:t xml:space="preserve">Attendance summary compilation</w:t>
            </w:r>
          </w:p>
        </w:tc>
        <w:tc>
          <w:tcPr/>
          <w:p>
            <w:pPr>
              <w:pStyle w:val="Compact"/>
            </w:pPr>
            <w:r>
              <w:t xml:space="preserve">3–5 hours per class teacher per term</w:t>
            </w:r>
          </w:p>
        </w:tc>
        <w:tc>
          <w:tcPr/>
          <w:p>
            <w:pPr>
              <w:pStyle w:val="Compact"/>
            </w:pPr>
            <w:r>
              <w:t xml:space="preserve">Missed absence alerts to parents</w:t>
            </w:r>
          </w:p>
        </w:tc>
      </w:tr>
      <w:tr>
        <w:tc>
          <w:tcPr/>
          <w:p>
            <w:pPr>
              <w:pStyle w:val="Compact"/>
            </w:pPr>
            <w:r>
              <w:t xml:space="preserve">Mark aggregation (500 students, 8 subjects)</w:t>
            </w:r>
          </w:p>
        </w:tc>
        <w:tc>
          <w:tcPr/>
          <w:p>
            <w:pPr>
              <w:pStyle w:val="Compact"/>
            </w:pPr>
            <w:r>
              <w:t xml:space="preserve">20–40 hours (head teacher + teachers)</w:t>
            </w:r>
          </w:p>
        </w:tc>
        <w:tc>
          <w:tcPr/>
          <w:p>
            <w:pPr>
              <w:pStyle w:val="Compact"/>
            </w:pPr>
            <w:r>
              <w:t xml:space="preserve">Division miscalculation, wrong UNEB registration</w:t>
            </w:r>
          </w:p>
        </w:tc>
      </w:tr>
      <w:tr>
        <w:tc>
          <w:tcPr/>
          <w:p>
            <w:pPr>
              <w:pStyle w:val="Compact"/>
            </w:pPr>
            <w:r>
              <w:t xml:space="preserve">Report card production (500 students)</w:t>
            </w:r>
          </w:p>
        </w:tc>
        <w:tc>
          <w:tcPr/>
          <w:p>
            <w:pPr>
              <w:pStyle w:val="Compact"/>
            </w:pPr>
            <w:r>
              <w:t xml:space="preserve">30–60 hours</w:t>
            </w:r>
          </w:p>
        </w:tc>
        <w:tc>
          <w:tcPr/>
          <w:p>
            <w:pPr>
              <w:pStyle w:val="Compact"/>
            </w:pPr>
            <w:r>
              <w:t xml:space="preserve">Typographical errors, wrong student data</w:t>
            </w:r>
          </w:p>
        </w:tc>
      </w:tr>
      <w:tr>
        <w:tc>
          <w:tcPr/>
          <w:p>
            <w:pPr>
              <w:pStyle w:val="Compact"/>
            </w:pPr>
            <w:r>
              <w:t xml:space="preserve">EMIS report submission</w:t>
            </w:r>
          </w:p>
        </w:tc>
        <w:tc>
          <w:tcPr/>
          <w:p>
            <w:pPr>
              <w:pStyle w:val="Compact"/>
            </w:pPr>
            <w:r>
              <w:t xml:space="preserve">2–4 days per school per year</w:t>
            </w:r>
          </w:p>
        </w:tc>
        <w:tc>
          <w:tcPr/>
          <w:p>
            <w:pPr>
              <w:pStyle w:val="Compact"/>
            </w:pPr>
            <w:r>
              <w:t xml:space="preserve">Transcription errors, format rejections</w:t>
            </w:r>
          </w:p>
        </w:tc>
      </w:tr>
      <w:tr>
        <w:tc>
          <w:tcPr/>
          <w:p>
            <w:pPr>
              <w:pStyle w:val="Compact"/>
            </w:pPr>
            <w:r>
              <w:rPr>
                <w:b/>
                <w:bCs/>
              </w:rPr>
              <w:t xml:space="preserve">Total (500-pupil school, 3 terms)</w:t>
            </w:r>
          </w:p>
        </w:tc>
        <w:tc>
          <w:tcPr/>
          <w:p>
            <w:pPr>
              <w:pStyle w:val="Compact"/>
            </w:pPr>
            <w:r>
              <w:rPr>
                <w:b/>
                <w:bCs/>
              </w:rPr>
              <w:t xml:space="preserve">~350–420 hours/year</w:t>
            </w:r>
          </w:p>
        </w:tc>
        <w:tc>
          <w:tcPr/>
          <w:p>
            <w:pPr>
              <w:pStyle w:val="Compact"/>
            </w:pPr>
            <w:r>
              <w:rPr>
                <w:b/>
                <w:bCs/>
              </w:rPr>
              <w:t xml:space="preserve">Multiple uncontrolled error vectors</w:t>
            </w:r>
          </w:p>
        </w:tc>
      </w:tr>
    </w:tbl>
    <w:p>
      <w:pPr>
        <w:pStyle w:val="BodyText"/>
      </w:pPr>
      <w:r>
        <w:t xml:space="preserve">At the Uganda civil service teacher wage benchmark of approximately UGX 800,000/month, 350+ administrative hours per year per school represents a direct cost of UGX 3,000,000–4,200,000 in productive time diverted from teaching. Multiply across 10,000 schools and the national opportunity cost exceeds UGX 30 billion annually.</w:t>
      </w:r>
    </w:p>
    <w:bookmarkEnd w:id="25"/>
    <w:bookmarkStart w:id="26" w:name="Xcf7be93bbe7ee39152bdb69a0eed729af822973"/>
    <w:p>
      <w:pPr>
        <w:pStyle w:val="Heading3"/>
      </w:pPr>
      <w:r>
        <w:t xml:space="preserve">1.3 Parent and Student Experience Gaps</w:t>
      </w:r>
    </w:p>
    <w:p>
      <w:pPr>
        <w:pStyle w:val="Compact"/>
        <w:numPr>
          <w:ilvl w:val="0"/>
          <w:numId w:val="1004"/>
        </w:numPr>
      </w:pPr>
      <w:r>
        <w:t xml:space="preserve">Parents receive no real-time visibility into fee balances. They learn of arrears at the school gate when their child is turned away.</w:t>
      </w:r>
    </w:p>
    <w:p>
      <w:pPr>
        <w:pStyle w:val="Compact"/>
        <w:numPr>
          <w:ilvl w:val="0"/>
          <w:numId w:val="1004"/>
        </w:numPr>
      </w:pPr>
      <w:r>
        <w:t xml:space="preserve">Report cards are distributed physically at term-end. A parent who cannot attend collection day may wait weeks for results.</w:t>
      </w:r>
    </w:p>
    <w:p>
      <w:pPr>
        <w:pStyle w:val="Compact"/>
        <w:numPr>
          <w:ilvl w:val="0"/>
          <w:numId w:val="1004"/>
        </w:numPr>
      </w:pPr>
      <w:r>
        <w:t xml:space="preserve">Absence notifications rely on the child delivering a handwritten note, which is unreliable.</w:t>
      </w:r>
    </w:p>
    <w:p>
      <w:r>
        <w:pict>
          <v:rect style="width:0;height:1.5pt" o:hralign="center" o:hrstd="t" o:hr="t"/>
        </w:pict>
      </w:r>
    </w:p>
    <w:bookmarkEnd w:id="26"/>
    <w:bookmarkEnd w:id="27"/>
    <w:bookmarkStart w:id="31" w:name="X2d5b1f0cf6669d12c850459c0e4701bea968284"/>
    <w:p>
      <w:pPr>
        <w:pStyle w:val="Heading2"/>
      </w:pPr>
      <w:r>
        <w:t xml:space="preserve">2. Existing Software: Evidence of Unmet Need</w:t>
      </w:r>
    </w:p>
    <w:bookmarkStart w:id="28" w:name="X611595caa0b60e56b96c9223d3b46666bf9738e"/>
    <w:p>
      <w:pPr>
        <w:pStyle w:val="Heading3"/>
      </w:pPr>
      <w:r>
        <w:t xml:space="preserve">2.1 ShuleKeeper — Demonstrating the Market Gap</w:t>
      </w:r>
    </w:p>
    <w:p>
      <w:pPr>
        <w:pStyle w:val="FirstParagraph"/>
      </w:pPr>
      <w:r>
        <w:t xml:space="preserve">ShuleKeeper is an active Uganda-market school management product. Its documented limitations provide direct evidence that the market need is unmet by existing solutions:</w:t>
      </w:r>
    </w:p>
    <w:p>
      <w:pPr>
        <w:pStyle w:val="Compact"/>
        <w:numPr>
          <w:ilvl w:val="0"/>
          <w:numId w:val="1005"/>
        </w:numPr>
      </w:pPr>
      <w:r>
        <w:rPr>
          <w:b/>
          <w:bCs/>
        </w:rPr>
        <w:t xml:space="preserve">60-day data deletion policy:</w:t>
      </w:r>
      <w:r>
        <w:t xml:space="preserve"> </w:t>
      </w:r>
      <w:r>
        <w:t xml:space="preserve">ShuleKeeper deletes school data 60 days after a subscription lapses. A school that stops paying due to cash-flow issues loses its entire historical student, fee, and attendance records — permanently. This is incompatible with Uganda's 7-year education record retention requirement (derived from MoES regulations) and exposes schools to PDPO 2019 liability for destroying records they are legally obligated to retain.</w:t>
      </w:r>
    </w:p>
    <w:p>
      <w:pPr>
        <w:pStyle w:val="Compact"/>
        <w:numPr>
          <w:ilvl w:val="0"/>
          <w:numId w:val="1005"/>
        </w:numPr>
      </w:pPr>
      <w:r>
        <w:rPr>
          <w:b/>
          <w:bCs/>
        </w:rPr>
        <w:t xml:space="preserve">No mobile access:</w:t>
      </w:r>
      <w:r>
        <w:t xml:space="preserve"> </w:t>
      </w:r>
      <w:r>
        <w:t xml:space="preserve">ShuleKeeper has no native mobile application. Class teachers, who predominantly use smartphones, have no mobile-native attendance or mark entry path. Parent access is web-only, which excludes the majority of parents on Android-only devices without full web browsing habits.</w:t>
      </w:r>
    </w:p>
    <w:p>
      <w:pPr>
        <w:pStyle w:val="Compact"/>
        <w:numPr>
          <w:ilvl w:val="0"/>
          <w:numId w:val="1005"/>
        </w:numPr>
      </w:pPr>
      <w:r>
        <w:rPr>
          <w:b/>
          <w:bCs/>
        </w:rPr>
        <w:t xml:space="preserve">Developer WhatsApp as primary support channel:</w:t>
      </w:r>
      <w:r>
        <w:t xml:space="preserve"> </w:t>
      </w:r>
      <w:r>
        <w:t xml:space="preserve">The primary support mechanism is a developer's personal WhatsApp number. This provides no SLA, no ticketing, no audit trail of support interactions, and no escalation path. For a system holding sensitive student and financial data, this is a critical operational risk.</w:t>
      </w:r>
    </w:p>
    <w:p>
      <w:pPr>
        <w:pStyle w:val="Compact"/>
        <w:numPr>
          <w:ilvl w:val="0"/>
          <w:numId w:val="1005"/>
        </w:numPr>
      </w:pPr>
      <w:r>
        <w:rPr>
          <w:b/>
          <w:bCs/>
        </w:rPr>
        <w:t xml:space="preserve">No UNEB grading automation:</w:t>
      </w:r>
      <w:r>
        <w:t xml:space="preserve"> </w:t>
      </w:r>
      <w:r>
        <w:t xml:space="preserve">ShuleKeeper does not automate UNEB division computation. Mark entry is supported, but the grading engine is absent — the school still computes divisions manually.</w:t>
      </w:r>
    </w:p>
    <w:p>
      <w:pPr>
        <w:pStyle w:val="Compact"/>
        <w:numPr>
          <w:ilvl w:val="0"/>
          <w:numId w:val="1005"/>
        </w:numPr>
      </w:pPr>
      <w:r>
        <w:rPr>
          <w:b/>
          <w:bCs/>
        </w:rPr>
        <w:t xml:space="preserve">No EMIS integration:</w:t>
      </w:r>
      <w:r>
        <w:t xml:space="preserve"> </w:t>
      </w:r>
      <w:r>
        <w:t xml:space="preserve">No export of EMIS-format data.</w:t>
      </w:r>
    </w:p>
    <w:bookmarkEnd w:id="28"/>
    <w:bookmarkStart w:id="29" w:name="X1bd6335fa74f1df6ae91f74dcf616ec9ab41b4e"/>
    <w:p>
      <w:pPr>
        <w:pStyle w:val="Heading3"/>
      </w:pPr>
      <w:r>
        <w:t xml:space="preserve">2.2 SchoolPay ERP — Market Position but Structural Immaturity</w:t>
      </w:r>
    </w:p>
    <w:p>
      <w:pPr>
        <w:pStyle w:val="FirstParagraph"/>
      </w:pPr>
      <w:r>
        <w:t xml:space="preserve">SchoolPay launched an ERP module in January 2024. SchoolPay's strength is its payment rails (BoU licensed, ~11,000 connected schools, MTN MoMo and Airtel Money processing). Its ERP is structurally immature: no UNEB grading, no EMIS export, no mobile apps, and limited school management depth. The January 2024 launch date means the product has fewer than 30 months of production iteration. Academia Pro's opportunity is to be the superior ERP that connects to SchoolPay — rather than competing with SchoolPay's payments business.</w:t>
      </w:r>
    </w:p>
    <w:bookmarkEnd w:id="29"/>
    <w:bookmarkStart w:id="30" w:name="X885d5fc4113808d841dce7eaf115940c715ac49"/>
    <w:p>
      <w:pPr>
        <w:pStyle w:val="Heading3"/>
      </w:pPr>
      <w:r>
        <w:t xml:space="preserve">2.3 Foreign-Built Platforms</w:t>
      </w:r>
    </w:p>
    <w:p>
      <w:pPr>
        <w:pStyle w:val="FirstParagraph"/>
      </w:pPr>
      <w:r>
        <w:t xml:space="preserve">Platforms such as Fedena (India), Classter (Greece), and Alma (US) are designed for their domestic markets. None support UNEB grading rules, the Uganda 3-term calendar, MTN MoMo, SchoolPay reconciliation, MoES EMIS format, or pricing in UGX. Localisation retrofits at this level require architectural changes that foreign vendors have no business incentive to make for a market of Uganda's size.</w:t>
      </w:r>
    </w:p>
    <w:p>
      <w:r>
        <w:pict>
          <v:rect style="width:0;height:1.5pt" o:hralign="center" o:hrstd="t" o:hr="t"/>
        </w:pict>
      </w:r>
    </w:p>
    <w:bookmarkEnd w:id="30"/>
    <w:bookmarkEnd w:id="31"/>
    <w:bookmarkStart w:id="32" w:name="X90749ff108dd469879f7b72516e54e5120cd26a"/>
    <w:p>
      <w:pPr>
        <w:pStyle w:val="Heading2"/>
      </w:pPr>
      <w:r>
        <w:t xml:space="preserve">3. Problem Summary</w:t>
      </w:r>
    </w:p>
    <w:p>
      <w:pPr>
        <w:pStyle w:val="FirstParagraph"/>
      </w:pPr>
      <w:r>
        <w:t xml:space="preserve">The core problem is the absence of a Uganda-native school management platform that simultaneously:</w:t>
      </w:r>
    </w:p>
    <w:p>
      <w:pPr>
        <w:pStyle w:val="Compact"/>
        <w:numPr>
          <w:ilvl w:val="0"/>
          <w:numId w:val="1006"/>
        </w:numPr>
      </w:pPr>
      <w:r>
        <w:t xml:space="preserve">Automates UNEB-compliant grading with zero manual computation.</w:t>
      </w:r>
    </w:p>
    <w:p>
      <w:pPr>
        <w:pStyle w:val="Compact"/>
        <w:numPr>
          <w:ilvl w:val="0"/>
          <w:numId w:val="1006"/>
        </w:numPr>
      </w:pPr>
      <w:r>
        <w:t xml:space="preserve">Integrates with existing payment infrastructure (SchoolPay, MTN MoMo, Airtel Money) rather than requiring schools to change payment habits.</w:t>
      </w:r>
    </w:p>
    <w:p>
      <w:pPr>
        <w:pStyle w:val="Compact"/>
        <w:numPr>
          <w:ilvl w:val="0"/>
          <w:numId w:val="1006"/>
        </w:numPr>
      </w:pPr>
      <w:r>
        <w:t xml:space="preserve">Provides mobile-first access for teachers, parents, and students on budget Android devices.</w:t>
      </w:r>
    </w:p>
    <w:p>
      <w:pPr>
        <w:pStyle w:val="Compact"/>
        <w:numPr>
          <w:ilvl w:val="0"/>
          <w:numId w:val="1006"/>
        </w:numPr>
      </w:pPr>
      <w:r>
        <w:t xml:space="preserve">Exports EMIS-format data for MoES statutory compliance.</w:t>
      </w:r>
    </w:p>
    <w:p>
      <w:pPr>
        <w:pStyle w:val="Compact"/>
        <w:numPr>
          <w:ilvl w:val="0"/>
          <w:numId w:val="1006"/>
        </w:numPr>
      </w:pPr>
      <w:r>
        <w:t xml:space="preserve">Retains records for the legally required 7-year window.</w:t>
      </w:r>
    </w:p>
    <w:p>
      <w:pPr>
        <w:pStyle w:val="Compact"/>
        <w:numPr>
          <w:ilvl w:val="0"/>
          <w:numId w:val="1006"/>
        </w:numPr>
      </w:pPr>
      <w:r>
        <w:t xml:space="preserve">Is priced and supported at a level accessible to Uganda's predominantly small and medium private schools.</w:t>
      </w:r>
    </w:p>
    <w:p>
      <w:pPr>
        <w:pStyle w:val="FirstParagraph"/>
      </w:pPr>
      <w:r>
        <w:t xml:space="preserve">The combination of these six requirements is unmet by any current product in the market.</w:t>
      </w:r>
    </w:p>
    <w:bookmarkEnd w:id="32"/>
    <w:bookmarkEnd w:id="33"/>
    <w:bookmarkStart w:id="44" w:name="market-opportunity--academia-pro"/>
    <w:p>
      <w:pPr>
        <w:pStyle w:val="Heading1"/>
      </w:pPr>
      <w:r>
        <w:t xml:space="preserve">Market Opportunity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All market size figures are estimates based on publicly available MoES, SchoolPay, and regional education authority data. They are clearly marked as assumptions and are used for planning purposes only.</w:t>
      </w:r>
    </w:p>
    <w:p>
      <w:r>
        <w:pict>
          <v:rect style="width:0;height:1.5pt" o:hralign="center" o:hrstd="t" o:hr="t"/>
        </w:pict>
      </w:r>
    </w:p>
    <w:bookmarkStart w:id="38" w:name="Xbf7f304d64ed14e265be848b6eff54a502e5eaf"/>
    <w:p>
      <w:pPr>
        <w:pStyle w:val="Heading2"/>
      </w:pPr>
      <w:r>
        <w:t xml:space="preserve">1. Uganda Market</w:t>
      </w:r>
    </w:p>
    <w:bookmarkStart w:id="34" w:name="X7d4fd1cbd3a5df0848091a373a30b773854103c"/>
    <w:p>
      <w:pPr>
        <w:pStyle w:val="Heading3"/>
      </w:pPr>
      <w:r>
        <w:t xml:space="preserve">1.1 Total Registered Schools</w:t>
      </w:r>
    </w:p>
    <w:p>
      <w:pPr>
        <w:pStyle w:val="FirstParagraph"/>
      </w:pPr>
      <w:r>
        <w:rPr>
          <w:b/>
          <w:bCs/>
        </w:rPr>
        <w:t xml:space="preserve">Assumption A1:</w:t>
      </w:r>
      <w:r>
        <w:t xml:space="preserve"> </w:t>
      </w:r>
      <w:r>
        <w:t xml:space="preserve">Uganda has approximately 25,000 registered primary and secondary schools as of the MoES 2023 annual census. This figure includes:</w:t>
      </w:r>
    </w:p>
    <w:p>
      <w:pPr>
        <w:pStyle w:val="Compact"/>
        <w:numPr>
          <w:ilvl w:val="0"/>
          <w:numId w:val="1007"/>
        </w:numPr>
      </w:pPr>
      <w:r>
        <w:t xml:space="preserve">~15,000 registered primary schools (P1–P7)</w:t>
      </w:r>
    </w:p>
    <w:p>
      <w:pPr>
        <w:pStyle w:val="Compact"/>
        <w:numPr>
          <w:ilvl w:val="0"/>
          <w:numId w:val="1007"/>
        </w:numPr>
      </w:pPr>
      <w:r>
        <w:t xml:space="preserve">~5,000 registered secondary schools (O-Level and A-Level)</w:t>
      </w:r>
    </w:p>
    <w:p>
      <w:pPr>
        <w:pStyle w:val="Compact"/>
        <w:numPr>
          <w:ilvl w:val="0"/>
          <w:numId w:val="1007"/>
        </w:numPr>
      </w:pPr>
      <w:r>
        <w:t xml:space="preserve">~5,000 registered nursery/pre-primary, vocational, and special-needs institutions</w:t>
      </w:r>
    </w:p>
    <w:p>
      <w:pPr>
        <w:pStyle w:val="FirstParagraph"/>
      </w:pPr>
      <w:r>
        <w:t xml:space="preserve">The initial product scope targets primary and secondary schools only. The serviceable market is therefore approximately 20,000 institutions.</w:t>
      </w:r>
    </w:p>
    <w:bookmarkEnd w:id="34"/>
    <w:bookmarkStart w:id="35" w:name="Xda92e2d1bbaf88d7983f1ad8eaa24ce33bb2860"/>
    <w:p>
      <w:pPr>
        <w:pStyle w:val="Heading3"/>
      </w:pPr>
      <w:r>
        <w:t xml:space="preserve">1.2 Addressable Baseline via SchoolPay</w:t>
      </w:r>
    </w:p>
    <w:p>
      <w:pPr>
        <w:pStyle w:val="FirstParagraph"/>
      </w:pPr>
      <w:r>
        <w:t xml:space="preserve">SchoolPay has approximately 11,000 Uganda schools on its payment platform (source: SchoolPay public statements and payment-landscape context). These schools already collect fees via MTN MoMo and Airtel Money through SchoolPay's infrastructure. They represent the highest-conversion segment because:</w:t>
      </w:r>
    </w:p>
    <w:p>
      <w:pPr>
        <w:pStyle w:val="Compact"/>
        <w:numPr>
          <w:ilvl w:val="0"/>
          <w:numId w:val="1008"/>
        </w:numPr>
      </w:pPr>
      <w:r>
        <w:t xml:space="preserve">They are already digitised for payments — the largest adoption barrier (changing payment habits) does not apply.</w:t>
      </w:r>
    </w:p>
    <w:p>
      <w:pPr>
        <w:pStyle w:val="Compact"/>
        <w:numPr>
          <w:ilvl w:val="0"/>
          <w:numId w:val="1008"/>
        </w:numPr>
      </w:pPr>
      <w:r>
        <w:t xml:space="preserve">Academia Pro integrates with SchoolPay in Phase 1 — these schools gain a full ERP layer on top of their existing payment setup with zero payment disruption.</w:t>
      </w:r>
    </w:p>
    <w:p>
      <w:pPr>
        <w:pStyle w:val="Compact"/>
        <w:numPr>
          <w:ilvl w:val="0"/>
          <w:numId w:val="1008"/>
        </w:numPr>
      </w:pPr>
      <w:r>
        <w:t xml:space="preserve">SchoolPay's ERP product is structurally immature, creating an upsell gap.</w:t>
      </w:r>
    </w:p>
    <w:p>
      <w:pPr>
        <w:pStyle w:val="FirstParagraph"/>
      </w:pPr>
      <w:r>
        <w:rPr>
          <w:b/>
          <w:bCs/>
        </w:rPr>
        <w:t xml:space="preserve">Assumption A2:</w:t>
      </w:r>
      <w:r>
        <w:t xml:space="preserve"> </w:t>
      </w:r>
      <w:r>
        <w:t xml:space="preserve">Conversion target for the SchoolPay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Target Schools (Conservative)</w:t>
            </w:r>
          </w:p>
        </w:tc>
        <w:tc>
          <w:tcPr/>
          <w:p>
            <w:pPr>
              <w:pStyle w:val="Compact"/>
            </w:pPr>
            <w:r>
              <w:t xml:space="preserve">Target Schools (Optimistic)</w:t>
            </w:r>
          </w:p>
        </w:tc>
        <w:tc>
          <w:tcPr/>
          <w:p>
            <w:pPr>
              <w:pStyle w:val="Compact"/>
            </w:pPr>
            <w:r>
              <w:t xml:space="preserve">Penetration Rate (Conservative)</w:t>
            </w:r>
          </w:p>
        </w:tc>
      </w:tr>
      <w:tr>
        <w:tc>
          <w:tcPr/>
          <w:p>
            <w:pPr>
              <w:pStyle w:val="Compact"/>
            </w:pPr>
            <w:r>
              <w:t xml:space="preserve">Year 1 (Phase 8 go-live)</w:t>
            </w:r>
          </w:p>
        </w:tc>
        <w:tc>
          <w:tcPr/>
          <w:p>
            <w:pPr>
              <w:pStyle w:val="Compact"/>
            </w:pPr>
            <w:r>
              <w:t xml:space="preserve">50</w:t>
            </w:r>
          </w:p>
        </w:tc>
        <w:tc>
          <w:tcPr/>
          <w:p>
            <w:pPr>
              <w:pStyle w:val="Compact"/>
            </w:pPr>
            <w:r>
              <w:t xml:space="preserve">100</w:t>
            </w:r>
          </w:p>
        </w:tc>
        <w:tc>
          <w:tcPr/>
          <w:p>
            <w:pPr>
              <w:pStyle w:val="Compact"/>
            </w:pPr>
            <w:r>
              <w:t xml:space="preserve">0.45%</w:t>
            </w:r>
          </w:p>
        </w:tc>
      </w:tr>
      <w:tr>
        <w:tc>
          <w:tcPr/>
          <w:p>
            <w:pPr>
              <w:pStyle w:val="Compact"/>
            </w:pPr>
            <w:r>
              <w:t xml:space="preserve">Year 2</w:t>
            </w:r>
          </w:p>
        </w:tc>
        <w:tc>
          <w:tcPr/>
          <w:p>
            <w:pPr>
              <w:pStyle w:val="Compact"/>
            </w:pPr>
            <w:r>
              <w:t xml:space="preserve">150</w:t>
            </w:r>
          </w:p>
        </w:tc>
        <w:tc>
          <w:tcPr/>
          <w:p>
            <w:pPr>
              <w:pStyle w:val="Compact"/>
            </w:pPr>
            <w:r>
              <w:t xml:space="preserve">300</w:t>
            </w:r>
          </w:p>
        </w:tc>
        <w:tc>
          <w:tcPr/>
          <w:p>
            <w:pPr>
              <w:pStyle w:val="Compact"/>
            </w:pPr>
            <w:r>
              <w:t xml:space="preserve">1.36%</w:t>
            </w:r>
          </w:p>
        </w:tc>
      </w:tr>
      <w:tr>
        <w:tc>
          <w:tcPr/>
          <w:p>
            <w:pPr>
              <w:pStyle w:val="Compact"/>
            </w:pPr>
            <w:r>
              <w:t xml:space="preserve">Year 3</w:t>
            </w:r>
          </w:p>
        </w:tc>
        <w:tc>
          <w:tcPr/>
          <w:p>
            <w:pPr>
              <w:pStyle w:val="Compact"/>
            </w:pPr>
            <w:r>
              <w:t xml:space="preserve">300</w:t>
            </w:r>
          </w:p>
        </w:tc>
        <w:tc>
          <w:tcPr/>
          <w:p>
            <w:pPr>
              <w:pStyle w:val="Compact"/>
            </w:pPr>
            <w:r>
              <w:t xml:space="preserve">600</w:t>
            </w:r>
          </w:p>
        </w:tc>
        <w:tc>
          <w:tcPr/>
          <w:p>
            <w:pPr>
              <w:pStyle w:val="Compact"/>
            </w:pPr>
            <w:r>
              <w:t xml:space="preserve">2.73%</w:t>
            </w:r>
          </w:p>
        </w:tc>
      </w:tr>
    </w:tbl>
    <w:p>
      <w:pPr>
        <w:pStyle w:val="BodyText"/>
      </w:pPr>
      <w:r>
        <w:t xml:space="preserve">Even the Year 3 conservative target of 300 schools represents 2.7% of the SchoolPay-connected addressable baseline — a conservative conversion assumption for a product that directly targets SchoolPay schools.</w:t>
      </w:r>
    </w:p>
    <w:bookmarkEnd w:id="35"/>
    <w:bookmarkStart w:id="36" w:name="X965b1f2272f3cc1855b9ac3644adf1c958dd97c"/>
    <w:p>
      <w:pPr>
        <w:pStyle w:val="Heading3"/>
      </w:pPr>
      <w:r>
        <w:t xml:space="preserve">1.3 School Size and Fee Volume</w:t>
      </w:r>
    </w:p>
    <w:p>
      <w:pPr>
        <w:pStyle w:val="FirstParagraph"/>
      </w:pPr>
      <w:r>
        <w:rPr>
          <w:b/>
          <w:bCs/>
        </w:rPr>
        <w:t xml:space="preserve">Assumption A3:</w:t>
      </w:r>
      <w:r>
        <w:t xml:space="preserve"> </w:t>
      </w:r>
      <w:r>
        <w:t xml:space="preserve">Uganda school size distribution (private primary and secondary):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School Tier</w:t>
            </w:r>
          </w:p>
        </w:tc>
        <w:tc>
          <w:tcPr/>
          <w:p>
            <w:pPr>
              <w:pStyle w:val="Compact"/>
            </w:pPr>
            <w:r>
              <w:t xml:space="preserve">Pupil Range</w:t>
            </w:r>
          </w:p>
        </w:tc>
        <w:tc>
          <w:tcPr/>
          <w:p>
            <w:pPr>
              <w:pStyle w:val="Compact"/>
            </w:pPr>
            <w:r>
              <w:t xml:space="preserve">Estimated % of Market</w:t>
            </w:r>
          </w:p>
        </w:tc>
      </w:tr>
      <w:tr>
        <w:tc>
          <w:tcPr/>
          <w:p>
            <w:pPr>
              <w:pStyle w:val="Compact"/>
            </w:pPr>
            <w:r>
              <w:t xml:space="preserve">Small</w:t>
            </w:r>
          </w:p>
        </w:tc>
        <w:tc>
          <w:tcPr/>
          <w:p>
            <w:pPr>
              <w:pStyle w:val="Compact"/>
            </w:pPr>
            <w:r>
              <w:t xml:space="preserve">50–200 pupils</w:t>
            </w:r>
          </w:p>
        </w:tc>
        <w:tc>
          <w:tcPr/>
          <w:p>
            <w:pPr>
              <w:pStyle w:val="Compact"/>
            </w:pPr>
            <w:r>
              <w:t xml:space="preserve">~60%</w:t>
            </w:r>
          </w:p>
        </w:tc>
      </w:tr>
      <w:tr>
        <w:tc>
          <w:tcPr/>
          <w:p>
            <w:pPr>
              <w:pStyle w:val="Compact"/>
            </w:pPr>
            <w:r>
              <w:t xml:space="preserve">Medium</w:t>
            </w:r>
          </w:p>
        </w:tc>
        <w:tc>
          <w:tcPr/>
          <w:p>
            <w:pPr>
              <w:pStyle w:val="Compact"/>
            </w:pPr>
            <w:r>
              <w:t xml:space="preserve">201–500 pupils</w:t>
            </w:r>
          </w:p>
        </w:tc>
        <w:tc>
          <w:tcPr/>
          <w:p>
            <w:pPr>
              <w:pStyle w:val="Compact"/>
            </w:pPr>
            <w:r>
              <w:t xml:space="preserve">~30%</w:t>
            </w:r>
          </w:p>
        </w:tc>
      </w:tr>
      <w:tr>
        <w:tc>
          <w:tcPr/>
          <w:p>
            <w:pPr>
              <w:pStyle w:val="Compact"/>
            </w:pPr>
            <w:r>
              <w:t xml:space="preserve">Large</w:t>
            </w:r>
          </w:p>
        </w:tc>
        <w:tc>
          <w:tcPr/>
          <w:p>
            <w:pPr>
              <w:pStyle w:val="Compact"/>
            </w:pPr>
            <w:r>
              <w:t xml:space="preserve">501–1,000 pupils</w:t>
            </w:r>
          </w:p>
        </w:tc>
        <w:tc>
          <w:tcPr/>
          <w:p>
            <w:pPr>
              <w:pStyle w:val="Compact"/>
            </w:pPr>
            <w:r>
              <w:t xml:space="preserve">~8%</w:t>
            </w:r>
          </w:p>
        </w:tc>
      </w:tr>
      <w:tr>
        <w:tc>
          <w:tcPr/>
          <w:p>
            <w:pPr>
              <w:pStyle w:val="Compact"/>
            </w:pPr>
            <w:r>
              <w:t xml:space="preserve">Enterprise</w:t>
            </w:r>
          </w:p>
        </w:tc>
        <w:tc>
          <w:tcPr/>
          <w:p>
            <w:pPr>
              <w:pStyle w:val="Compact"/>
            </w:pPr>
            <w:r>
              <w:t xml:space="preserve">1,000+ pupils</w:t>
            </w:r>
          </w:p>
        </w:tc>
        <w:tc>
          <w:tcPr/>
          <w:p>
            <w:pPr>
              <w:pStyle w:val="Compact"/>
            </w:pPr>
            <w:r>
              <w:t xml:space="preserve">~2%</w:t>
            </w:r>
          </w:p>
        </w:tc>
      </w:tr>
    </w:tbl>
    <w:p>
      <w:pPr>
        <w:pStyle w:val="BodyText"/>
      </w:pPr>
      <w:r>
        <w:rPr>
          <w:b/>
          <w:bCs/>
        </w:rPr>
        <w:t xml:space="preserve">Assumption A4:</w:t>
      </w:r>
      <w:r>
        <w:t xml:space="preserve"> </w:t>
      </w:r>
      <w:r>
        <w:t xml:space="preserve">Annual fee revenue per school (tuition only, excl. boarding and transport):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School Tier</w:t>
            </w:r>
          </w:p>
        </w:tc>
        <w:tc>
          <w:tcPr/>
          <w:p>
            <w:pPr>
              <w:pStyle w:val="Compact"/>
            </w:pPr>
            <w:r>
              <w:t xml:space="preserve">Estimated Annual Fee Revenue (UGX)</w:t>
            </w:r>
          </w:p>
        </w:tc>
      </w:tr>
      <w:tr>
        <w:tc>
          <w:tcPr/>
          <w:p>
            <w:pPr>
              <w:pStyle w:val="Compact"/>
            </w:pPr>
            <w:r>
              <w:t xml:space="preserve">Small (150-pupil average)</w:t>
            </w:r>
          </w:p>
        </w:tc>
        <w:tc>
          <w:tcPr/>
          <w:p>
            <w:pPr>
              <w:pStyle w:val="Compact"/>
            </w:pPr>
            <w:r>
              <w:t xml:space="preserve">UGX 90,000,000–180,000,000</w:t>
            </w:r>
          </w:p>
        </w:tc>
      </w:tr>
      <w:tr>
        <w:tc>
          <w:tcPr/>
          <w:p>
            <w:pPr>
              <w:pStyle w:val="Compact"/>
            </w:pPr>
            <w:r>
              <w:t xml:space="preserve">Medium (350-pupil average)</w:t>
            </w:r>
          </w:p>
        </w:tc>
        <w:tc>
          <w:tcPr/>
          <w:p>
            <w:pPr>
              <w:pStyle w:val="Compact"/>
            </w:pPr>
            <w:r>
              <w:t xml:space="preserve">UGX 210,000,000–420,000,000</w:t>
            </w:r>
          </w:p>
        </w:tc>
      </w:tr>
      <w:tr>
        <w:tc>
          <w:tcPr/>
          <w:p>
            <w:pPr>
              <w:pStyle w:val="Compact"/>
            </w:pPr>
            <w:r>
              <w:t xml:space="preserve">Large (700-pupil average)</w:t>
            </w:r>
          </w:p>
        </w:tc>
        <w:tc>
          <w:tcPr/>
          <w:p>
            <w:pPr>
              <w:pStyle w:val="Compact"/>
            </w:pPr>
            <w:r>
              <w:t xml:space="preserve">UGX 420,000,000–840,000,000</w:t>
            </w:r>
          </w:p>
        </w:tc>
      </w:tr>
    </w:tbl>
    <w:p>
      <w:pPr>
        <w:pStyle w:val="BodyText"/>
      </w:pPr>
      <w:r>
        <w:t xml:space="preserve">A SaaS subscription priced at UGX 150,000–400,000/month represents 0.1%–0.4% of annual fee revenue for a medium school — a price-to-value ratio that is commercially defensible.</w:t>
      </w:r>
    </w:p>
    <w:bookmarkEnd w:id="36"/>
    <w:bookmarkStart w:id="37" w:name="X2a5d311b708a45e83cf25181040ef7bf4a8891a"/>
    <w:p>
      <w:pPr>
        <w:pStyle w:val="Heading3"/>
      </w:pPr>
      <w:r>
        <w:t xml:space="preserve">1.4 SaaS Revenue Model</w:t>
      </w:r>
    </w:p>
    <w:p>
      <w:pPr>
        <w:pStyle w:val="FirstParagraph"/>
      </w:pPr>
      <w:r>
        <w:t xml:space="preserve">Academia Pro uses a per-school, tier-based subscription model. Pricing is denominated in UGX to eliminate currency risk for schools and to avoid the perception of a foreign-priced product.</w:t>
      </w:r>
    </w:p>
    <w:p>
      <w:pPr>
        <w:pStyle w:val="BodyText"/>
      </w:pPr>
      <w:r>
        <w:t xml:space="preserve">Three subscription tiers are proposed (detailed financial model in Section 06):</w:t>
      </w:r>
    </w:p>
    <w:p>
      <w:pPr>
        <w:pStyle w:val="Compact"/>
        <w:numPr>
          <w:ilvl w:val="0"/>
          <w:numId w:val="1009"/>
        </w:numPr>
      </w:pPr>
      <w:r>
        <w:rPr>
          <w:b/>
          <w:bCs/>
        </w:rPr>
        <w:t xml:space="preserve">Starter:</w:t>
      </w:r>
      <w:r>
        <w:t xml:space="preserve"> </w:t>
      </w:r>
      <w:r>
        <w:t xml:space="preserve">50–200 pupils — covers standard modules</w:t>
      </w:r>
    </w:p>
    <w:p>
      <w:pPr>
        <w:pStyle w:val="Compact"/>
        <w:numPr>
          <w:ilvl w:val="0"/>
          <w:numId w:val="1009"/>
        </w:numPr>
      </w:pPr>
      <w:r>
        <w:rPr>
          <w:b/>
          <w:bCs/>
        </w:rPr>
        <w:t xml:space="preserve">Growth:</w:t>
      </w:r>
      <w:r>
        <w:t xml:space="preserve"> </w:t>
      </w:r>
      <w:r>
        <w:t xml:space="preserve">201–500 pupils — standard modules + optional add-ons</w:t>
      </w:r>
    </w:p>
    <w:p>
      <w:pPr>
        <w:pStyle w:val="Compact"/>
        <w:numPr>
          <w:ilvl w:val="0"/>
          <w:numId w:val="1009"/>
        </w:numPr>
      </w:pPr>
      <w:r>
        <w:rPr>
          <w:b/>
          <w:bCs/>
        </w:rPr>
        <w:t xml:space="preserve">Pro:</w:t>
      </w:r>
      <w:r>
        <w:t xml:space="preserve"> </w:t>
      </w:r>
      <w:r>
        <w:t xml:space="preserve">501+ pupils — all modules, priority support, custom branding</w:t>
      </w:r>
    </w:p>
    <w:p>
      <w:pPr>
        <w:pStyle w:val="FirstParagraph"/>
      </w:pPr>
      <w:r>
        <w:t xml:space="preserve">Revenue formula per cohort:</w:t>
      </w:r>
    </w:p>
    <w:p>
      <w:pPr>
        <w:pStyle w:val="BodyText"/>
      </w:pPr>
      <m:oMathPara>
        <m:oMathParaPr>
          <m:jc m:val="center"/>
        </m:oMathParaPr>
        <m:oMath>
          <m:r>
            <m:t>R</m:t>
          </m:r>
          <m:r>
            <m:t>e</m:t>
          </m:r>
          <m:r>
            <m:t>v</m:t>
          </m:r>
          <m:r>
            <m:t>e</m:t>
          </m:r>
          <m:r>
            <m:t>n</m:t>
          </m:r>
          <m:r>
            <m:t>u</m:t>
          </m:r>
          <m:r>
            <m:t>e</m:t>
          </m:r>
          <m:r>
            <m:rPr>
              <m:sty m:val="p"/>
            </m:rPr>
            <m:t>=</m:t>
          </m:r>
          <m:r>
            <m:t>S</m:t>
          </m:r>
          <m:r>
            <m:t>c</m:t>
          </m:r>
          <m:r>
            <m:t>h</m:t>
          </m:r>
          <m:r>
            <m:t>o</m:t>
          </m:r>
          <m:r>
            <m:t>o</m:t>
          </m:r>
          <m:r>
            <m:t>l</m:t>
          </m:r>
          <m:sSub>
            <m:e>
              <m:r>
                <m:t>s</m:t>
              </m:r>
            </m:e>
            <m:sub>
              <m:r>
                <m:t>t</m:t>
              </m:r>
              <m:r>
                <m:t>i</m:t>
              </m:r>
              <m:r>
                <m:t>e</m:t>
              </m:r>
              <m:r>
                <m:t>r</m:t>
              </m:r>
            </m:sub>
          </m:sSub>
          <m:r>
            <m:rPr>
              <m:sty m:val="p"/>
            </m:rPr>
            <m:t>×</m:t>
          </m:r>
          <m:r>
            <m:t>A</m:t>
          </m:r>
          <m:r>
            <m:t>R</m:t>
          </m:r>
          <m:r>
            <m:t>P</m:t>
          </m:r>
          <m:sSub>
            <m:e>
              <m:r>
                <m:t>U</m:t>
              </m:r>
            </m:e>
            <m:sub>
              <m:r>
                <m:t>t</m:t>
              </m:r>
              <m:r>
                <m:t>i</m:t>
              </m:r>
              <m:r>
                <m:t>e</m:t>
              </m:r>
              <m:r>
                <m:t>r</m:t>
              </m:r>
            </m:sub>
          </m:sSub>
          <m:r>
            <m:rPr>
              <m:sty m:val="p"/>
            </m:rPr>
            <m:t>×</m:t>
          </m:r>
          <m:r>
            <m:t>12</m:t>
          </m:r>
          <m:r>
            <m:t> </m:t>
          </m:r>
          <m:r>
            <m:t>m</m:t>
          </m:r>
          <m:r>
            <m:t>o</m:t>
          </m:r>
          <m:r>
            <m:t>n</m:t>
          </m:r>
          <m:r>
            <m:t>t</m:t>
          </m:r>
          <m:r>
            <m:t>h</m:t>
          </m:r>
          <m:r>
            <m:t>s</m:t>
          </m:r>
        </m:oMath>
      </m:oMathPara>
    </w:p>
    <w:p>
      <w:pPr>
        <w:pStyle w:val="FirstParagraph"/>
      </w:pPr>
      <w:r>
        <w:t xml:space="preserve">At Year 3 conservative (300 schools, blended ARPU UGX 230,000):</w:t>
      </w:r>
    </w:p>
    <w:p>
      <w:pPr>
        <w:pStyle w:val="BodyText"/>
      </w:pPr>
      <m:oMathPara>
        <m:oMathParaPr>
          <m:jc m:val="center"/>
        </m:oMathParaPr>
        <m:oMath>
          <m:r>
            <m:t>R</m:t>
          </m:r>
          <m:r>
            <m:t>e</m:t>
          </m:r>
          <m:r>
            <m:t>v</m:t>
          </m:r>
          <m:r>
            <m:t>e</m:t>
          </m:r>
          <m:r>
            <m:t>n</m:t>
          </m:r>
          <m:r>
            <m:t>u</m:t>
          </m:r>
          <m:r>
            <m:t>e</m:t>
          </m:r>
          <m:r>
            <m:rPr>
              <m:sty m:val="p"/>
            </m:rPr>
            <m:t>=</m:t>
          </m:r>
          <m:r>
            <m:t>300</m:t>
          </m:r>
          <m:r>
            <m:rPr>
              <m:sty m:val="p"/>
            </m:rPr>
            <m:t>×</m:t>
          </m:r>
          <m:r>
            <m:t>230</m:t>
          </m:r>
          <m:r>
            <m:rPr>
              <m:sty m:val="p"/>
            </m:rPr>
            <m:t>,</m:t>
          </m:r>
          <m:r>
            <m:t>000</m:t>
          </m:r>
          <m:r>
            <m:rPr>
              <m:sty m:val="p"/>
            </m:rPr>
            <m:t>×</m:t>
          </m:r>
          <m:r>
            <m:t>12</m:t>
          </m:r>
          <m:r>
            <m:rPr>
              <m:sty m:val="p"/>
            </m:rPr>
            <m:t>=</m:t>
          </m:r>
          <m:r>
            <m:t>U</m:t>
          </m:r>
          <m:r>
            <m:t>G</m:t>
          </m:r>
          <m:r>
            <m:t>X</m:t>
          </m:r>
          <m:r>
            <m:t> </m:t>
          </m:r>
          <m:r>
            <m:t>828</m:t>
          </m:r>
          <m:r>
            <m:rPr>
              <m:sty m:val="p"/>
            </m:rPr>
            <m:t>,</m:t>
          </m:r>
          <m:r>
            <m:t>000</m:t>
          </m:r>
          <m:r>
            <m:rPr>
              <m:sty m:val="p"/>
            </m:rPr>
            <m:t>,</m:t>
          </m:r>
          <m:r>
            <m:t>000</m:t>
          </m:r>
          <m:r>
            <m:t> </m:t>
          </m:r>
          <m:r>
            <m:rPr>
              <m:sty m:val="p"/>
            </m:rPr>
            <m:t>(</m:t>
          </m:r>
          <m:r>
            <m:rPr>
              <m:sty m:val="p"/>
            </m:rPr>
            <m:t>≈</m:t>
          </m:r>
          <m:r>
            <m:t>U</m:t>
          </m:r>
          <m:r>
            <m:t>S</m:t>
          </m:r>
          <m:r>
            <m:t>D</m:t>
          </m:r>
          <m:r>
            <m:t> </m:t>
          </m:r>
          <m:r>
            <m:t>220</m:t>
          </m:r>
          <m:r>
            <m:rPr>
              <m:sty m:val="p"/>
            </m:rPr>
            <m:t>,</m:t>
          </m:r>
          <m:r>
            <m:t>000</m:t>
          </m:r>
          <m:r>
            <m:rPr>
              <m:sty m:val="p"/>
            </m:rPr>
            <m:t>)</m:t>
          </m:r>
        </m:oMath>
      </m:oMathPara>
    </w:p>
    <w:p>
      <w:r>
        <w:pict>
          <v:rect style="width:0;height:1.5pt" o:hralign="center" o:hrstd="t" o:hr="t"/>
        </w:pict>
      </w:r>
    </w:p>
    <w:bookmarkEnd w:id="37"/>
    <w:bookmarkEnd w:id="38"/>
    <w:bookmarkStart w:id="42" w:name="Xb702c65a95897e6883ac27fa60bc8086dd07c9e"/>
    <w:p>
      <w:pPr>
        <w:pStyle w:val="Heading2"/>
      </w:pPr>
      <w:r>
        <w:t xml:space="preserve">2. Pan-Africa Total Addressable Market</w:t>
      </w:r>
    </w:p>
    <w:bookmarkStart w:id="39" w:name="X4a9d89c1c4359a1809daac69e8ef177fa3099c4"/>
    <w:p>
      <w:pPr>
        <w:pStyle w:val="Heading3"/>
      </w:pPr>
      <w:r>
        <w:t xml:space="preserve">2.1 Regional School Counts</w:t>
      </w:r>
    </w:p>
    <w:p>
      <w:pPr>
        <w:pStyle w:val="FirstParagraph"/>
      </w:pPr>
      <w:r>
        <w:rPr>
          <w:b/>
          <w:bCs/>
        </w:rPr>
        <w:t xml:space="preserve">Assumption A5:</w:t>
      </w:r>
      <w:r>
        <w:t xml:space="preserve"> </w:t>
      </w:r>
      <w:r>
        <w:t xml:space="preserve">Registered school counts by country (sources: respective Ministries of Education, UNESCO Institute for Statistics 2022–2023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Registered Primary + Secondary Schools (Estimate)</w:t>
            </w:r>
          </w:p>
        </w:tc>
        <w:tc>
          <w:tcPr/>
          <w:p>
            <w:pPr>
              <w:pStyle w:val="Compact"/>
            </w:pPr>
            <w:r>
              <w:t xml:space="preserve">Dominant Mobile Payment</w:t>
            </w:r>
          </w:p>
        </w:tc>
        <w:tc>
          <w:tcPr/>
          <w:p>
            <w:pPr>
              <w:pStyle w:val="Compact"/>
            </w:pPr>
            <w:r>
              <w:t xml:space="preserve">Regulatory Curriculum</w:t>
            </w:r>
          </w:p>
        </w:tc>
      </w:tr>
      <w:tr>
        <w:tc>
          <w:tcPr/>
          <w:p>
            <w:pPr>
              <w:pStyle w:val="Compact"/>
            </w:pPr>
            <w:r>
              <w:t xml:space="preserve">Uganda</w:t>
            </w:r>
          </w:p>
        </w:tc>
        <w:tc>
          <w:tcPr/>
          <w:p>
            <w:pPr>
              <w:pStyle w:val="Compact"/>
            </w:pPr>
            <w:r>
              <w:t xml:space="preserve">~20,000</w:t>
            </w:r>
          </w:p>
        </w:tc>
        <w:tc>
          <w:tcPr/>
          <w:p>
            <w:pPr>
              <w:pStyle w:val="Compact"/>
            </w:pPr>
            <w:r>
              <w:t xml:space="preserve">MTN MoMo, Airtel Money</w:t>
            </w:r>
          </w:p>
        </w:tc>
        <w:tc>
          <w:tcPr/>
          <w:p>
            <w:pPr>
              <w:pStyle w:val="Compact"/>
            </w:pPr>
            <w:r>
              <w:t xml:space="preserve">UNEB (PLE, UCE, UACE)</w:t>
            </w:r>
          </w:p>
        </w:tc>
      </w:tr>
      <w:tr>
        <w:tc>
          <w:tcPr/>
          <w:p>
            <w:pPr>
              <w:pStyle w:val="Compact"/>
            </w:pPr>
            <w:r>
              <w:t xml:space="preserve">Kenya</w:t>
            </w:r>
          </w:p>
        </w:tc>
        <w:tc>
          <w:tcPr/>
          <w:p>
            <w:pPr>
              <w:pStyle w:val="Compact"/>
            </w:pPr>
            <w:r>
              <w:t xml:space="preserve">~18,000</w:t>
            </w:r>
          </w:p>
        </w:tc>
        <w:tc>
          <w:tcPr/>
          <w:p>
            <w:pPr>
              <w:pStyle w:val="Compact"/>
            </w:pPr>
            <w:r>
              <w:t xml:space="preserve">M-Pesa (Safaricom)</w:t>
            </w:r>
          </w:p>
        </w:tc>
        <w:tc>
          <w:tcPr/>
          <w:p>
            <w:pPr>
              <w:pStyle w:val="Compact"/>
            </w:pPr>
            <w:r>
              <w:t xml:space="preserve">KNEC (KCPE, KCSE)</w:t>
            </w:r>
          </w:p>
        </w:tc>
      </w:tr>
      <w:tr>
        <w:tc>
          <w:tcPr/>
          <w:p>
            <w:pPr>
              <w:pStyle w:val="Compact"/>
            </w:pPr>
            <w:r>
              <w:t xml:space="preserve">Tanzania</w:t>
            </w:r>
          </w:p>
        </w:tc>
        <w:tc>
          <w:tcPr/>
          <w:p>
            <w:pPr>
              <w:pStyle w:val="Compact"/>
            </w:pPr>
            <w:r>
              <w:t xml:space="preserve">~18,000</w:t>
            </w:r>
          </w:p>
        </w:tc>
        <w:tc>
          <w:tcPr/>
          <w:p>
            <w:pPr>
              <w:pStyle w:val="Compact"/>
            </w:pPr>
            <w:r>
              <w:t xml:space="preserve">Airtel Tanzania, Tigo Pesa</w:t>
            </w:r>
          </w:p>
        </w:tc>
        <w:tc>
          <w:tcPr/>
          <w:p>
            <w:pPr>
              <w:pStyle w:val="Compact"/>
            </w:pPr>
            <w:r>
              <w:t xml:space="preserve">NECTA</w:t>
            </w:r>
          </w:p>
        </w:tc>
      </w:tr>
      <w:tr>
        <w:tc>
          <w:tcPr/>
          <w:p>
            <w:pPr>
              <w:pStyle w:val="Compact"/>
            </w:pPr>
            <w:r>
              <w:t xml:space="preserve">Nigeria</w:t>
            </w:r>
          </w:p>
        </w:tc>
        <w:tc>
          <w:tcPr/>
          <w:p>
            <w:pPr>
              <w:pStyle w:val="Compact"/>
            </w:pPr>
            <w:r>
              <w:t xml:space="preserve">~60,000+</w:t>
            </w:r>
          </w:p>
        </w:tc>
        <w:tc>
          <w:tcPr/>
          <w:p>
            <w:pPr>
              <w:pStyle w:val="Compact"/>
            </w:pPr>
            <w:r>
              <w:t xml:space="preserve">Paystack, Flutterwave</w:t>
            </w:r>
          </w:p>
        </w:tc>
        <w:tc>
          <w:tcPr/>
          <w:p>
            <w:pPr>
              <w:pStyle w:val="Compact"/>
            </w:pPr>
            <w:r>
              <w:t xml:space="preserve">WAEC, NECO</w:t>
            </w:r>
          </w:p>
        </w:tc>
      </w:tr>
      <w:tr>
        <w:tc>
          <w:tcPr/>
          <w:p>
            <w:pPr>
              <w:pStyle w:val="Compact"/>
            </w:pPr>
            <w:r>
              <w:t xml:space="preserve">Ghana</w:t>
            </w:r>
          </w:p>
        </w:tc>
        <w:tc>
          <w:tcPr/>
          <w:p>
            <w:pPr>
              <w:pStyle w:val="Compact"/>
            </w:pPr>
            <w:r>
              <w:t xml:space="preserve">~15,000</w:t>
            </w:r>
          </w:p>
        </w:tc>
        <w:tc>
          <w:tcPr/>
          <w:p>
            <w:pPr>
              <w:pStyle w:val="Compact"/>
            </w:pPr>
            <w:r>
              <w:t xml:space="preserve">MTN MoMo Ghana</w:t>
            </w:r>
          </w:p>
        </w:tc>
        <w:tc>
          <w:tcPr/>
          <w:p>
            <w:pPr>
              <w:pStyle w:val="Compact"/>
            </w:pPr>
            <w:r>
              <w:t xml:space="preserve">WAEC</w:t>
            </w:r>
          </w:p>
        </w:tc>
      </w:tr>
      <w:tr>
        <w:tc>
          <w:tcPr/>
          <w:p>
            <w:pPr>
              <w:pStyle w:val="Compact"/>
            </w:pPr>
            <w:r>
              <w:rPr>
                <w:b/>
                <w:bCs/>
              </w:rPr>
              <w:t xml:space="preserve">Total TAM</w:t>
            </w:r>
          </w:p>
        </w:tc>
        <w:tc>
          <w:tcPr/>
          <w:p>
            <w:pPr>
              <w:pStyle w:val="Compact"/>
            </w:pPr>
            <w:r>
              <w:rPr>
                <w:b/>
                <w:bCs/>
              </w:rPr>
              <w:t xml:space="preserve">~131,000</w:t>
            </w:r>
          </w:p>
        </w:tc>
        <w:tc>
          <w:tcPr/>
          <w:p>
            <w:pPr>
              <w:pStyle w:val="Compact"/>
            </w:pPr>
          </w:p>
        </w:tc>
        <w:tc>
          <w:tcPr/>
          <w:p>
            <w:pPr>
              <w:pStyle w:val="Compact"/>
            </w:pPr>
          </w:p>
        </w:tc>
      </w:tr>
    </w:tbl>
    <w:bookmarkEnd w:id="39"/>
    <w:bookmarkStart w:id="40" w:name="X7631d2cfe3bc12448af96e6a36e1cd6fda84350"/>
    <w:p>
      <w:pPr>
        <w:pStyle w:val="Heading3"/>
      </w:pPr>
      <w:r>
        <w:t xml:space="preserve">2.2 Pan-Africa TAM Narrative</w:t>
      </w:r>
    </w:p>
    <w:p>
      <w:pPr>
        <w:pStyle w:val="FirstParagraph"/>
      </w:pPr>
      <w:r>
        <w:t xml:space="preserve">The core SaaS infrastructure (multi-tenant architecture, React web app, Android apps, PHP/Laravel API) is country-agnostic by design. Country-specific requirements are isolated to data-driven profiles:</w:t>
      </w:r>
    </w:p>
    <w:p>
      <w:pPr>
        <w:pStyle w:val="Compact"/>
        <w:numPr>
          <w:ilvl w:val="0"/>
          <w:numId w:val="1010"/>
        </w:numPr>
      </w:pPr>
      <w:r>
        <w:t xml:space="preserve">Curriculum and grading engine (UNEB → KCSE → NECTA → WAEC)</w:t>
      </w:r>
    </w:p>
    <w:p>
      <w:pPr>
        <w:pStyle w:val="Compact"/>
        <w:numPr>
          <w:ilvl w:val="0"/>
          <w:numId w:val="1010"/>
        </w:numPr>
      </w:pPr>
      <w:r>
        <w:t xml:space="preserve">Payment gateway (SchoolPay/MTN MoMo → M-Pesa → Paystack/Flutterwave)</w:t>
      </w:r>
    </w:p>
    <w:p>
      <w:pPr>
        <w:pStyle w:val="Compact"/>
        <w:numPr>
          <w:ilvl w:val="0"/>
          <w:numId w:val="1010"/>
        </w:numPr>
      </w:pPr>
      <w:r>
        <w:t xml:space="preserve">Government integration format (EMIS → NEMIS → equivalent)</w:t>
      </w:r>
    </w:p>
    <w:p>
      <w:pPr>
        <w:pStyle w:val="Compact"/>
        <w:numPr>
          <w:ilvl w:val="0"/>
          <w:numId w:val="1010"/>
        </w:numPr>
      </w:pPr>
      <w:r>
        <w:t xml:space="preserve">Currency and locale (UGX → KES → TZS → NGN)</w:t>
      </w:r>
    </w:p>
    <w:p>
      <w:pPr>
        <w:pStyle w:val="FirstParagraph"/>
      </w:pPr>
      <w:r>
        <w:t xml:space="preserve">Each country's entry cost is therefore incremental, not a full rebuild.</w:t>
      </w:r>
    </w:p>
    <w:p>
      <w:pPr>
        <w:pStyle w:val="BodyText"/>
      </w:pPr>
      <w:r>
        <w:rPr>
          <w:b/>
          <w:bCs/>
        </w:rPr>
        <w:t xml:space="preserve">Assumption A6:</w:t>
      </w:r>
      <w:r>
        <w:t xml:space="preserve"> </w:t>
      </w:r>
      <w:r>
        <w:t xml:space="preserve">Pan-Africa addressable market narrative (planning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Expansion Phase</w:t>
            </w:r>
          </w:p>
        </w:tc>
        <w:tc>
          <w:tcPr/>
          <w:p>
            <w:pPr>
              <w:pStyle w:val="Compact"/>
            </w:pPr>
            <w:r>
              <w:t xml:space="preserve">Countries</w:t>
            </w:r>
          </w:p>
        </w:tc>
        <w:tc>
          <w:tcPr/>
          <w:p>
            <w:pPr>
              <w:pStyle w:val="Compact"/>
            </w:pPr>
            <w:r>
              <w:t xml:space="preserve">Reachable Schools</w:t>
            </w:r>
          </w:p>
        </w:tc>
        <w:tc>
          <w:tcPr/>
          <w:p>
            <w:pPr>
              <w:pStyle w:val="Compact"/>
            </w:pPr>
            <w:r>
              <w:t xml:space="preserve">Entry Timeline</w:t>
            </w:r>
          </w:p>
        </w:tc>
      </w:tr>
      <w:tr>
        <w:tc>
          <w:tcPr/>
          <w:p>
            <w:pPr>
              <w:pStyle w:val="Compact"/>
            </w:pPr>
            <w:r>
              <w:t xml:space="preserve">Phase 1–8</w:t>
            </w:r>
          </w:p>
        </w:tc>
        <w:tc>
          <w:tcPr/>
          <w:p>
            <w:pPr>
              <w:pStyle w:val="Compact"/>
            </w:pPr>
            <w:r>
              <w:t xml:space="preserve">Uganda</w:t>
            </w:r>
          </w:p>
        </w:tc>
        <w:tc>
          <w:tcPr/>
          <w:p>
            <w:pPr>
              <w:pStyle w:val="Compact"/>
            </w:pPr>
            <w:r>
              <w:t xml:space="preserve">~20,000</w:t>
            </w:r>
          </w:p>
        </w:tc>
        <w:tc>
          <w:tcPr/>
          <w:p>
            <w:pPr>
              <w:pStyle w:val="Compact"/>
            </w:pPr>
            <w:r>
              <w:t xml:space="preserve">2026–2027</w:t>
            </w:r>
          </w:p>
        </w:tc>
      </w:tr>
      <w:tr>
        <w:tc>
          <w:tcPr/>
          <w:p>
            <w:pPr>
              <w:pStyle w:val="Compact"/>
            </w:pPr>
            <w:r>
              <w:t xml:space="preserve">Phase 11 — East Africa</w:t>
            </w:r>
          </w:p>
        </w:tc>
        <w:tc>
          <w:tcPr/>
          <w:p>
            <w:pPr>
              <w:pStyle w:val="Compact"/>
            </w:pPr>
            <w:r>
              <w:t xml:space="preserve">Kenya, Tanzania</w:t>
            </w:r>
          </w:p>
        </w:tc>
        <w:tc>
          <w:tcPr/>
          <w:p>
            <w:pPr>
              <w:pStyle w:val="Compact"/>
            </w:pPr>
            <w:r>
              <w:t xml:space="preserve">~36,000 additional</w:t>
            </w:r>
          </w:p>
        </w:tc>
        <w:tc>
          <w:tcPr/>
          <w:p>
            <w:pPr>
              <w:pStyle w:val="Compact"/>
            </w:pPr>
            <w:r>
              <w:t xml:space="preserve">2027–2028</w:t>
            </w:r>
          </w:p>
        </w:tc>
      </w:tr>
      <w:tr>
        <w:tc>
          <w:tcPr/>
          <w:p>
            <w:pPr>
              <w:pStyle w:val="Compact"/>
            </w:pPr>
            <w:r>
              <w:t xml:space="preserve">Phase 11 — West Africa</w:t>
            </w:r>
          </w:p>
        </w:tc>
        <w:tc>
          <w:tcPr/>
          <w:p>
            <w:pPr>
              <w:pStyle w:val="Compact"/>
            </w:pPr>
            <w:r>
              <w:t xml:space="preserve">Nigeria, Ghana</w:t>
            </w:r>
          </w:p>
        </w:tc>
        <w:tc>
          <w:tcPr/>
          <w:p>
            <w:pPr>
              <w:pStyle w:val="Compact"/>
            </w:pPr>
            <w:r>
              <w:t xml:space="preserve">~75,000 additional</w:t>
            </w:r>
          </w:p>
        </w:tc>
        <w:tc>
          <w:tcPr/>
          <w:p>
            <w:pPr>
              <w:pStyle w:val="Compact"/>
            </w:pPr>
            <w:r>
              <w:t xml:space="preserve">2028–2029</w:t>
            </w:r>
          </w:p>
        </w:tc>
      </w:tr>
    </w:tbl>
    <w:p>
      <w:pPr>
        <w:pStyle w:val="BodyText"/>
      </w:pPr>
      <w:r>
        <w:t xml:space="preserve">A 2% penetration of the East Africa combined total (~56,000 schools) by end of Year 5 equals 1,120 schools. At a blended ARPU of KES 1,800/month (Kenya, equivalent purchasing power):</w:t>
      </w:r>
    </w:p>
    <w:p>
      <w:pPr>
        <w:pStyle w:val="BodyText"/>
      </w:pPr>
      <m:oMathPara>
        <m:oMathParaPr>
          <m:jc m:val="center"/>
        </m:oMathParaPr>
        <m:oMath>
          <m:r>
            <m:t>R</m:t>
          </m:r>
          <m:r>
            <m:t>e</m:t>
          </m:r>
          <m:r>
            <m:t>v</m:t>
          </m:r>
          <m:r>
            <m:t>e</m:t>
          </m:r>
          <m:r>
            <m:t>n</m:t>
          </m:r>
          <m:r>
            <m:t>u</m:t>
          </m:r>
          <m:sSub>
            <m:e>
              <m:r>
                <m:t>e</m:t>
              </m:r>
            </m:e>
            <m:sub>
              <m:r>
                <m:t>K</m:t>
              </m:r>
              <m:r>
                <m:t>e</m:t>
              </m:r>
              <m:r>
                <m:t>n</m:t>
              </m:r>
              <m:r>
                <m:t>y</m:t>
              </m:r>
              <m:r>
                <m:t>a</m:t>
              </m:r>
              <m:r>
                <m:rPr>
                  <m:sty m:val="p"/>
                </m:rPr>
                <m:t>,</m:t>
              </m:r>
              <m:r>
                <m:t>Y</m:t>
              </m:r>
              <m:r>
                <m:t>5</m:t>
              </m:r>
            </m:sub>
          </m:sSub>
          <m:r>
            <m:rPr>
              <m:sty m:val="p"/>
            </m:rPr>
            <m:t>=</m:t>
          </m:r>
          <m:r>
            <m:t>500</m:t>
          </m:r>
          <m:r>
            <m:rPr>
              <m:sty m:val="p"/>
            </m:rPr>
            <m:t>×</m:t>
          </m:r>
          <m:r>
            <m:t>1</m:t>
          </m:r>
          <m:r>
            <m:rPr>
              <m:sty m:val="p"/>
            </m:rPr>
            <m:t>,</m:t>
          </m:r>
          <m:r>
            <m:t>800</m:t>
          </m:r>
          <m:r>
            <m:rPr>
              <m:sty m:val="p"/>
            </m:rPr>
            <m:t>×</m:t>
          </m:r>
          <m:r>
            <m:t>12</m:t>
          </m:r>
          <m:r>
            <m:rPr>
              <m:sty m:val="p"/>
            </m:rPr>
            <m:t>=</m:t>
          </m:r>
          <m:r>
            <m:t>K</m:t>
          </m:r>
          <m:r>
            <m:t>E</m:t>
          </m:r>
          <m:r>
            <m:t>S</m:t>
          </m:r>
          <m:r>
            <m:t> </m:t>
          </m:r>
          <m:r>
            <m:t>10</m:t>
          </m:r>
          <m:r>
            <m:rPr>
              <m:sty m:val="p"/>
            </m:rPr>
            <m:t>,</m:t>
          </m:r>
          <m:r>
            <m:t>800</m:t>
          </m:r>
          <m:r>
            <m:rPr>
              <m:sty m:val="p"/>
            </m:rPr>
            <m:t>,</m:t>
          </m:r>
          <m:r>
            <m:t>000</m:t>
          </m:r>
          <m:r>
            <m:t> </m:t>
          </m:r>
          <m:r>
            <m:rPr>
              <m:sty m:val="p"/>
            </m:rPr>
            <m:t>(</m:t>
          </m:r>
          <m:r>
            <m:rPr>
              <m:sty m:val="p"/>
            </m:rPr>
            <m:t>≈</m:t>
          </m:r>
          <m:r>
            <m:t>U</m:t>
          </m:r>
          <m:r>
            <m:t>S</m:t>
          </m:r>
          <m:r>
            <m:t>D</m:t>
          </m:r>
          <m:r>
            <m:t> </m:t>
          </m:r>
          <m:r>
            <m:t>83</m:t>
          </m:r>
          <m:r>
            <m:rPr>
              <m:sty m:val="p"/>
            </m:rPr>
            <m:t>,</m:t>
          </m:r>
          <m:r>
            <m:t>000</m:t>
          </m:r>
          <m:r>
            <m:rPr>
              <m:sty m:val="p"/>
            </m:rPr>
            <m:t>)</m:t>
          </m:r>
        </m:oMath>
      </m:oMathPara>
    </w:p>
    <w:p>
      <w:pPr>
        <w:pStyle w:val="FirstParagraph"/>
      </w:pPr>
      <w:r>
        <w:t xml:space="preserve">Combined with Uganda Year 5 revenue, the pan-Africa two-country scenario reaches approximately USD 300,000–500,000 ARR at conservative penetration rates, before Nigeria and Ghana are included.</w:t>
      </w:r>
    </w:p>
    <w:bookmarkEnd w:id="40"/>
    <w:bookmarkStart w:id="41" w:name="X2da79ec0592778345d0348793c1e29e0c590429"/>
    <w:p>
      <w:pPr>
        <w:pStyle w:val="Heading3"/>
      </w:pPr>
      <w:r>
        <w:t xml:space="preserve">2.3 Market Entry Assumptions</w:t>
      </w:r>
    </w:p>
    <w:p>
      <w:pPr>
        <w:pStyle w:val="Compact"/>
        <w:numPr>
          <w:ilvl w:val="0"/>
          <w:numId w:val="1011"/>
        </w:numPr>
      </w:pPr>
      <w:r>
        <w:rPr>
          <w:b/>
          <w:bCs/>
        </w:rPr>
        <w:t xml:space="preserve">Kenya (Phase 11):</w:t>
      </w:r>
      <w:r>
        <w:t xml:space="preserve"> </w:t>
      </w:r>
      <w:r>
        <w:t xml:space="preserve">NEMIS integration and M-Pesa Daraja API are the two unlock requirements. M-Pesa has ~30 million registered users. School fee payment via M-Pesa is already standard practice. No payment behaviour change required.</w:t>
      </w:r>
    </w:p>
    <w:p>
      <w:pPr>
        <w:pStyle w:val="Compact"/>
        <w:numPr>
          <w:ilvl w:val="0"/>
          <w:numId w:val="1011"/>
        </w:numPr>
      </w:pPr>
      <w:r>
        <w:rPr>
          <w:b/>
          <w:bCs/>
        </w:rPr>
        <w:t xml:space="preserve">Nigeria (Phase 11):</w:t>
      </w:r>
      <w:r>
        <w:t xml:space="preserve"> </w:t>
      </w:r>
      <w:r>
        <w:t xml:space="preserve">The largest school count (~60,000) but also the highest localisation complexity (federal vs. state curricula, multiple exam boards). Nigeria is a Year 3+ entry market after Uganda and Kenya are stable.</w:t>
      </w:r>
    </w:p>
    <w:p>
      <w:pPr>
        <w:pStyle w:val="Compact"/>
        <w:numPr>
          <w:ilvl w:val="0"/>
          <w:numId w:val="1011"/>
        </w:numPr>
      </w:pPr>
      <w:r>
        <w:rPr>
          <w:b/>
          <w:bCs/>
        </w:rPr>
        <w:t xml:space="preserve">Tanzania:</w:t>
      </w:r>
      <w:r>
        <w:t xml:space="preserve"> </w:t>
      </w:r>
      <w:r>
        <w:t xml:space="preserve">NECTA curriculum and Airtel/Tigo payment rails. Similar structural profile to Uganda. Phase 11 entry alongside Kenya.</w:t>
      </w:r>
    </w:p>
    <w:p>
      <w:r>
        <w:pict>
          <v:rect style="width:0;height:1.5pt" o:hralign="center" o:hrstd="t" o:hr="t"/>
        </w:pict>
      </w:r>
    </w:p>
    <w:bookmarkEnd w:id="41"/>
    <w:bookmarkEnd w:id="42"/>
    <w:bookmarkStart w:id="43" w:name="X304e284648efcb95cdfabf5e9f4b255a02a529f"/>
    <w:p>
      <w:pPr>
        <w:pStyle w:val="Heading2"/>
      </w:pPr>
      <w:r>
        <w:t xml:space="preserve">3. Key Assumptions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Assumption</w:t>
            </w:r>
          </w:p>
        </w:tc>
        <w:tc>
          <w:tcPr/>
          <w:p>
            <w:pPr>
              <w:pStyle w:val="Compact"/>
            </w:pPr>
            <w:r>
              <w:t xml:space="preserve">Basis</w:t>
            </w:r>
          </w:p>
        </w:tc>
      </w:tr>
      <w:tr>
        <w:tc>
          <w:tcPr/>
          <w:p>
            <w:pPr>
              <w:pStyle w:val="Compact"/>
            </w:pPr>
            <w:r>
              <w:t xml:space="preserve">A1</w:t>
            </w:r>
          </w:p>
        </w:tc>
        <w:tc>
          <w:tcPr/>
          <w:p>
            <w:pPr>
              <w:pStyle w:val="Compact"/>
            </w:pPr>
            <w:r>
              <w:t xml:space="preserve">25,000 Uganda registered schools</w:t>
            </w:r>
          </w:p>
        </w:tc>
        <w:tc>
          <w:tcPr/>
          <w:p>
            <w:pPr>
              <w:pStyle w:val="Compact"/>
            </w:pPr>
            <w:r>
              <w:t xml:space="preserve">MoES 2023 estimate</w:t>
            </w:r>
          </w:p>
        </w:tc>
      </w:tr>
      <w:tr>
        <w:tc>
          <w:tcPr/>
          <w:p>
            <w:pPr>
              <w:pStyle w:val="Compact"/>
            </w:pPr>
            <w:r>
              <w:t xml:space="preserve">A2</w:t>
            </w:r>
          </w:p>
        </w:tc>
        <w:tc>
          <w:tcPr/>
          <w:p>
            <w:pPr>
              <w:pStyle w:val="Compact"/>
            </w:pPr>
            <w:r>
              <w:t xml:space="preserve">SchoolPay baseline ~11,000 schools</w:t>
            </w:r>
          </w:p>
        </w:tc>
        <w:tc>
          <w:tcPr/>
          <w:p>
            <w:pPr>
              <w:pStyle w:val="Compact"/>
            </w:pPr>
            <w:r>
              <w:t xml:space="preserve">SchoolPay public statements</w:t>
            </w:r>
          </w:p>
        </w:tc>
      </w:tr>
      <w:tr>
        <w:tc>
          <w:tcPr/>
          <w:p>
            <w:pPr>
              <w:pStyle w:val="Compact"/>
            </w:pPr>
            <w:r>
              <w:t xml:space="preserve">A3</w:t>
            </w:r>
          </w:p>
        </w:tc>
        <w:tc>
          <w:tcPr/>
          <w:p>
            <w:pPr>
              <w:pStyle w:val="Compact"/>
            </w:pPr>
            <w:r>
              <w:t xml:space="preserve">60% small / 30% medium / 10% large distribution</w:t>
            </w:r>
          </w:p>
        </w:tc>
        <w:tc>
          <w:tcPr/>
          <w:p>
            <w:pPr>
              <w:pStyle w:val="Compact"/>
            </w:pPr>
            <w:r>
              <w:t xml:space="preserve">Domain research; no MoES breakdown available</w:t>
            </w:r>
          </w:p>
        </w:tc>
      </w:tr>
      <w:tr>
        <w:tc>
          <w:tcPr/>
          <w:p>
            <w:pPr>
              <w:pStyle w:val="Compact"/>
            </w:pPr>
            <w:r>
              <w:t xml:space="preserve">A4</w:t>
            </w:r>
          </w:p>
        </w:tc>
        <w:tc>
          <w:tcPr/>
          <w:p>
            <w:pPr>
              <w:pStyle w:val="Compact"/>
            </w:pPr>
            <w:r>
              <w:t xml:space="preserve">Fee revenue per school as stated</w:t>
            </w:r>
          </w:p>
        </w:tc>
        <w:tc>
          <w:tcPr/>
          <w:p>
            <w:pPr>
              <w:pStyle w:val="Compact"/>
            </w:pPr>
            <w:r>
              <w:t xml:space="preserve">Market research; not audited</w:t>
            </w:r>
          </w:p>
        </w:tc>
      </w:tr>
      <w:tr>
        <w:tc>
          <w:tcPr/>
          <w:p>
            <w:pPr>
              <w:pStyle w:val="Compact"/>
            </w:pPr>
            <w:r>
              <w:t xml:space="preserve">A5</w:t>
            </w:r>
          </w:p>
        </w:tc>
        <w:tc>
          <w:tcPr/>
          <w:p>
            <w:pPr>
              <w:pStyle w:val="Compact"/>
            </w:pPr>
            <w:r>
              <w:t xml:space="preserve">Regional school counts as stated</w:t>
            </w:r>
          </w:p>
        </w:tc>
        <w:tc>
          <w:tcPr/>
          <w:p>
            <w:pPr>
              <w:pStyle w:val="Compact"/>
            </w:pPr>
            <w:r>
              <w:t xml:space="preserve">UNESCO UIS 2022–2023</w:t>
            </w:r>
          </w:p>
        </w:tc>
      </w:tr>
      <w:tr>
        <w:tc>
          <w:tcPr/>
          <w:p>
            <w:pPr>
              <w:pStyle w:val="Compact"/>
            </w:pPr>
            <w:r>
              <w:t xml:space="preserve">A6</w:t>
            </w:r>
          </w:p>
        </w:tc>
        <w:tc>
          <w:tcPr/>
          <w:p>
            <w:pPr>
              <w:pStyle w:val="Compact"/>
            </w:pPr>
            <w:r>
              <w:t xml:space="preserve">2% addressable penetration achievable by Year 5</w:t>
            </w:r>
          </w:p>
        </w:tc>
        <w:tc>
          <w:tcPr/>
          <w:p>
            <w:pPr>
              <w:pStyle w:val="Compact"/>
            </w:pPr>
            <w:r>
              <w:t xml:space="preserve">Conservative SaaS benchmark for vertical-specific platforms</w:t>
            </w:r>
          </w:p>
        </w:tc>
      </w:tr>
    </w:tbl>
    <w:p>
      <w:pPr>
        <w:pStyle w:val="BodyText"/>
      </w:pPr>
      <w:r>
        <w:t xml:space="preserve">[CONTEXT-GAP: No independently audited MoES school count for Uganda primary + secondary has been confirmed in context files. A1 and A2 should be validated against the MoES EMIS published statistical abstract before the financial model is finalised.]</w:t>
      </w:r>
    </w:p>
    <w:bookmarkEnd w:id="43"/>
    <w:bookmarkEnd w:id="44"/>
    <w:bookmarkStart w:id="62" w:name="proposed-solution--academia-pro"/>
    <w:p>
      <w:pPr>
        <w:pStyle w:val="Heading1"/>
      </w:pPr>
      <w:r>
        <w:t xml:space="preserve">Proposed Solution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45" w:name="Xe81a79d8d67edf713f1a4b654da97f4ebb3d39f"/>
    <w:p>
      <w:pPr>
        <w:pStyle w:val="Heading2"/>
      </w:pPr>
      <w:r>
        <w:t xml:space="preserve">1. Platform Overview</w:t>
      </w:r>
    </w:p>
    <w:p>
      <w:pPr>
        <w:pStyle w:val="FirstParagraph"/>
      </w:pPr>
      <w:r>
        <w:t xml:space="preserve">Academia Pro is a multi-tenant SaaS school management platform. The architecture is Uganda-first, with country configuration profiles enabling expansion to Kenya, Tanzania, Nigeria, and Ghana in Phase 11 without code branching. A single shared codebase serves all tenants; tenant isolation is enforced at the data layer via</w:t>
      </w:r>
      <w:r>
        <w:t xml:space="preserve"> </w:t>
      </w:r>
      <w:r>
        <w:rPr>
          <w:rStyle w:val="VerbatimChar"/>
        </w:rPr>
        <w:t xml:space="preserve">tenant_id</w:t>
      </w:r>
      <w:r>
        <w:t xml:space="preserve"> </w:t>
      </w:r>
      <w:r>
        <w:t xml:space="preserve">on every tenant-scoped table.</w:t>
      </w:r>
    </w:p>
    <w:p>
      <w:pPr>
        <w:pStyle w:val="BodyText"/>
      </w:pPr>
      <w:r>
        <w:t xml:space="preserve">The system is designed around a single binding constraint (</w:t>
      </w:r>
      <w:r>
        <w:rPr>
          <w:i/>
          <w:iCs/>
        </w:rPr>
        <w:t xml:space="preserve">Design Covenant</w:t>
      </w:r>
      <w:r>
        <w:t xml:space="preserve">): automate every repeatable school process to the maximum degree, while remaining operable by a single administrator after module-specific training. This constraint drives every feature and UX decision.</w:t>
      </w:r>
    </w:p>
    <w:p>
      <w:pPr>
        <w:pStyle w:val="BodyText"/>
      </w:pPr>
      <w:r>
        <w:rPr>
          <w:b/>
          <w:bCs/>
        </w:rPr>
        <w:t xml:space="preserve">Technology summary:</w:t>
      </w:r>
    </w:p>
    <w:p>
      <w:pPr>
        <w:pStyle w:val="Compact"/>
        <w:numPr>
          <w:ilvl w:val="0"/>
          <w:numId w:val="1012"/>
        </w:numPr>
      </w:pPr>
      <w:r>
        <w:t xml:space="preserve">Backend: PHP 8.2 / Laravel 11, MySQL 8.x, Redis 7, REST API (OpenAPI 3.1)</w:t>
      </w:r>
    </w:p>
    <w:p>
      <w:pPr>
        <w:pStyle w:val="Compact"/>
        <w:numPr>
          <w:ilvl w:val="0"/>
          <w:numId w:val="1012"/>
        </w:numPr>
      </w:pPr>
      <w:r>
        <w:t xml:space="preserve">Frontend: React 18 / TypeScript, shadcn/ui + Tailwind CSS, progressive web app (offline support)</w:t>
      </w:r>
    </w:p>
    <w:p>
      <w:pPr>
        <w:pStyle w:val="Compact"/>
        <w:numPr>
          <w:ilvl w:val="0"/>
          <w:numId w:val="1012"/>
        </w:numPr>
      </w:pPr>
      <w:r>
        <w:t xml:space="preserve">Mobile: Kotlin / Jetpack Compose (Android, Phase 1–8); Swift / SwiftUI (iOS, Phase 9–10)</w:t>
      </w:r>
    </w:p>
    <w:p>
      <w:pPr>
        <w:pStyle w:val="Compact"/>
        <w:numPr>
          <w:ilvl w:val="0"/>
          <w:numId w:val="1012"/>
        </w:numPr>
      </w:pPr>
      <w:r>
        <w:t xml:space="preserve">Infrastructure: VPS (early phases) → AWS ECS Fargate + S3 + CloudFront (Phase 8+)</w:t>
      </w:r>
    </w:p>
    <w:p>
      <w:pPr>
        <w:pStyle w:val="Compact"/>
        <w:numPr>
          <w:ilvl w:val="0"/>
          <w:numId w:val="1012"/>
        </w:numPr>
      </w:pPr>
      <w:r>
        <w:t xml:space="preserve">Communications: Africa's Talking (SMS), Meta Business Cloud API (WhatsApp), Firebase (push)</w:t>
      </w:r>
    </w:p>
    <w:p>
      <w:r>
        <w:pict>
          <v:rect style="width:0;height:1.5pt" o:hralign="center" o:hrstd="t" o:hr="t"/>
        </w:pict>
      </w:r>
    </w:p>
    <w:bookmarkEnd w:id="45"/>
    <w:bookmarkStart w:id="55" w:name="Xc958c3fd0ec03806c79ec95c4766492373bc484"/>
    <w:p>
      <w:pPr>
        <w:pStyle w:val="Heading2"/>
      </w:pPr>
      <w:r>
        <w:t xml:space="preserve">2. The 12-Phase Build Plan</w:t>
      </w:r>
    </w:p>
    <w:bookmarkStart w:id="46" w:name="Xc0249288308a1d4b01b5710e0265a5aff4dd76d"/>
    <w:p>
      <w:pPr>
        <w:pStyle w:val="Heading3"/>
      </w:pPr>
      <w:r>
        <w:t xml:space="preserve">Phase 1 — Core Web Application (Standard Modules)</w:t>
      </w:r>
    </w:p>
    <w:p>
      <w:pPr>
        <w:pStyle w:val="FirstParagraph"/>
      </w:pPr>
      <w:r>
        <w:t xml:space="preserve">Delivers the full Uganda primary operational platform: all modules included in every subscription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Scope</w:t>
            </w:r>
          </w:p>
        </w:tc>
      </w:tr>
      <w:tr>
        <w:tc>
          <w:tcPr/>
          <w:p>
            <w:pPr>
              <w:pStyle w:val="Compact"/>
            </w:pPr>
            <w:r>
              <w:t xml:space="preserve">Student Information System (SIS)</w:t>
            </w:r>
          </w:p>
        </w:tc>
        <w:tc>
          <w:tcPr/>
          <w:p>
            <w:pPr>
              <w:pStyle w:val="Compact"/>
            </w:pPr>
            <w:r>
              <w:t xml:space="preserve">Full lifecycle: admission, enrollment, transfers, alumni. 40+ fields including NIN, LIN, EMIS number, family contacts, medical summary.</w:t>
            </w:r>
          </w:p>
        </w:tc>
      </w:tr>
      <w:tr>
        <w:tc>
          <w:tcPr/>
          <w:p>
            <w:pPr>
              <w:pStyle w:val="Compact"/>
            </w:pPr>
            <w:r>
              <w:t xml:space="preserve">Academics Setup</w:t>
            </w:r>
          </w:p>
        </w:tc>
        <w:tc>
          <w:tcPr/>
          <w:p>
            <w:pPr>
              <w:pStyle w:val="Compact"/>
            </w:pPr>
            <w:r>
              <w:t xml:space="preserve">Academic years, 3-term calendar, classes/streams, subjects, timetables, curricula types (Thematic P1–P3, Standard P4–P7, O-Level, A-Level).</w:t>
            </w:r>
          </w:p>
        </w:tc>
      </w:tr>
      <w:tr>
        <w:tc>
          <w:tcPr/>
          <w:p>
            <w:pPr>
              <w:pStyle w:val="Compact"/>
            </w:pPr>
            <w:r>
              <w:t xml:space="preserve">Fees Management + SchoolPay Integration</w:t>
            </w:r>
          </w:p>
        </w:tc>
        <w:tc>
          <w:tcPr/>
          <w:p>
            <w:pPr>
              <w:pStyle w:val="Compact"/>
            </w:pPr>
            <w:r>
              <w:t xml:space="preserve">Term-based billing per class. SchoolPay webhook + polling reconciliation. Partial payments (KUPAA model). Auto-receipts. Arrears carry-forward.</w:t>
            </w:r>
          </w:p>
        </w:tc>
      </w:tr>
      <w:tr>
        <w:tc>
          <w:tcPr/>
          <w:p>
            <w:pPr>
              <w:pStyle w:val="Compact"/>
            </w:pPr>
            <w:r>
              <w:t xml:space="preserve">Attendance</w:t>
            </w:r>
          </w:p>
        </w:tc>
        <w:tc>
          <w:tcPr/>
          <w:p>
            <w:pPr>
              <w:pStyle w:val="Compact"/>
            </w:pPr>
            <w:r>
              <w:t xml:space="preserve">Daily class attendance (Present / Absent / Late / Excused). Auto-SMS alert on 3 consecutive absences. Monthly and termly reports.</w:t>
            </w:r>
          </w:p>
        </w:tc>
      </w:tr>
      <w:tr>
        <w:tc>
          <w:tcPr/>
          <w:p>
            <w:pPr>
              <w:pStyle w:val="Compact"/>
            </w:pPr>
            <w:r>
              <w:t xml:space="preserve">Examinations + UNEB Grading Engine</w:t>
            </w:r>
          </w:p>
        </w:tc>
        <w:tc>
          <w:tcPr/>
          <w:p>
            <w:pPr>
              <w:pStyle w:val="Compact"/>
            </w:pPr>
            <w:r>
              <w:t xml:space="preserve">Mark entry. Auto-computation: PLE (Div I–IV), UCE (D1–F9 aggregates), UACE (A–F principal + points), Thematic (HC/C/NYC).</w:t>
            </w:r>
          </w:p>
        </w:tc>
      </w:tr>
      <w:tr>
        <w:tc>
          <w:tcPr/>
          <w:p>
            <w:pPr>
              <w:pStyle w:val="Compact"/>
            </w:pPr>
            <w:r>
              <w:t xml:space="preserve">Reports</w:t>
            </w:r>
          </w:p>
        </w:tc>
        <w:tc>
          <w:tcPr/>
          <w:p>
            <w:pPr>
              <w:pStyle w:val="Compact"/>
            </w:pPr>
            <w:r>
              <w:t xml:space="preserve">Termly report cards per student. Head teacher comments. Class and school performance summaries. Bulk PDF generation (full class in one action).</w:t>
            </w:r>
          </w:p>
        </w:tc>
      </w:tr>
      <w:tr>
        <w:tc>
          <w:tcPr/>
          <w:p>
            <w:pPr>
              <w:pStyle w:val="Compact"/>
            </w:pPr>
            <w:r>
              <w:t xml:space="preserve">RBAC</w:t>
            </w:r>
          </w:p>
        </w:tc>
        <w:tc>
          <w:tcPr/>
          <w:p>
            <w:pPr>
              <w:pStyle w:val="Compact"/>
            </w:pPr>
            <w:r>
              <w:t xml:space="preserve">11 standard roles; custom role configuration per school. Full permission matrix (HIGH-005).</w:t>
            </w:r>
          </w:p>
        </w:tc>
      </w:tr>
      <w:tr>
        <w:tc>
          <w:tcPr/>
          <w:p>
            <w:pPr>
              <w:pStyle w:val="Compact"/>
            </w:pPr>
            <w:r>
              <w:t xml:space="preserve">Portal Scaffolds</w:t>
            </w:r>
          </w:p>
        </w:tc>
        <w:tc>
          <w:tcPr/>
          <w:p>
            <w:pPr>
              <w:pStyle w:val="Compact"/>
            </w:pPr>
            <w:r>
              <w:t xml:space="preserve">Super Admin, School Owner, Student, Parent portals (basic Phase 1 versions).</w:t>
            </w:r>
          </w:p>
        </w:tc>
      </w:tr>
    </w:tbl>
    <w:bookmarkEnd w:id="46"/>
    <w:bookmarkStart w:id="47" w:name="phase-2--optional-add-on-modules"/>
    <w:p>
      <w:pPr>
        <w:pStyle w:val="Heading3"/>
      </w:pPr>
      <w:r>
        <w:t xml:space="preserve">Phase 2 — Optional Add-On Modules</w:t>
      </w:r>
    </w:p>
    <w:p>
      <w:pPr>
        <w:pStyle w:val="FirstParagraph"/>
      </w:pPr>
      <w:r>
        <w:t xml:space="preserve">Modules activated on demand (included in Growth and Pro tiers):</w:t>
      </w:r>
    </w:p>
    <w:p>
      <w:pPr>
        <w:pStyle w:val="Compact"/>
        <w:numPr>
          <w:ilvl w:val="0"/>
          <w:numId w:val="1013"/>
        </w:numPr>
      </w:pPr>
      <w:r>
        <w:t xml:space="preserve">Human Resources (HR): staff register, payroll, leave, disciplinary, appraisal</w:t>
      </w:r>
    </w:p>
    <w:p>
      <w:pPr>
        <w:pStyle w:val="Compact"/>
        <w:numPr>
          <w:ilvl w:val="0"/>
          <w:numId w:val="1013"/>
        </w:numPr>
      </w:pPr>
      <w:r>
        <w:t xml:space="preserve">Library Management: catalogue, borrowing/return, fines</w:t>
      </w:r>
    </w:p>
    <w:p>
      <w:pPr>
        <w:pStyle w:val="Compact"/>
        <w:numPr>
          <w:ilvl w:val="0"/>
          <w:numId w:val="1013"/>
        </w:numPr>
      </w:pPr>
      <w:r>
        <w:t xml:space="preserve">Transport Management: routes, student assignments, transport fee billing</w:t>
      </w:r>
    </w:p>
    <w:p>
      <w:pPr>
        <w:pStyle w:val="Compact"/>
        <w:numPr>
          <w:ilvl w:val="0"/>
          <w:numId w:val="1013"/>
        </w:numPr>
      </w:pPr>
      <w:r>
        <w:t xml:space="preserve">Hostel Management: room assignments, boarding fees, warden roster</w:t>
      </w:r>
    </w:p>
    <w:p>
      <w:pPr>
        <w:pStyle w:val="Compact"/>
        <w:numPr>
          <w:ilvl w:val="0"/>
          <w:numId w:val="1013"/>
        </w:numPr>
      </w:pPr>
      <w:r>
        <w:t xml:space="preserve">Communication (Communicate): bulk SMS, WhatsApp, in-app, email — by class/role/group</w:t>
      </w:r>
    </w:p>
    <w:p>
      <w:pPr>
        <w:pStyle w:val="Compact"/>
        <w:numPr>
          <w:ilvl w:val="0"/>
          <w:numId w:val="1013"/>
        </w:numPr>
      </w:pPr>
      <w:r>
        <w:t xml:space="preserve">Homework / Assignments, Download Centre, School Calendar, Certificates, Front CMS (school website)</w:t>
      </w:r>
    </w:p>
    <w:bookmarkEnd w:id="47"/>
    <w:bookmarkStart w:id="48" w:name="X7f124a4248f1dd3390b99aeb1a3fc845f2edde7"/>
    <w:p>
      <w:pPr>
        <w:pStyle w:val="Heading3"/>
      </w:pPr>
      <w:r>
        <w:t xml:space="preserve">Phase 3–4 — Portals Complete + Full Test Suite</w:t>
      </w:r>
    </w:p>
    <w:p>
      <w:pPr>
        <w:pStyle w:val="Compact"/>
        <w:numPr>
          <w:ilvl w:val="0"/>
          <w:numId w:val="1014"/>
        </w:numPr>
      </w:pPr>
      <w:r>
        <w:t xml:space="preserve">Super Admin portal: tenant management, subscription billing, usage analytics</w:t>
      </w:r>
    </w:p>
    <w:p>
      <w:pPr>
        <w:pStyle w:val="Compact"/>
        <w:numPr>
          <w:ilvl w:val="0"/>
          <w:numId w:val="1014"/>
        </w:numPr>
      </w:pPr>
      <w:r>
        <w:t xml:space="preserve">Owner/Director portal: financial overview, staff management, school performance</w:t>
      </w:r>
    </w:p>
    <w:p>
      <w:pPr>
        <w:pStyle w:val="Compact"/>
        <w:numPr>
          <w:ilvl w:val="0"/>
          <w:numId w:val="1014"/>
        </w:numPr>
      </w:pPr>
      <w:r>
        <w:t xml:space="preserve">Android scaffold: Super Admin, Owner apps</w:t>
      </w:r>
    </w:p>
    <w:p>
      <w:pPr>
        <w:pStyle w:val="Compact"/>
        <w:numPr>
          <w:ilvl w:val="0"/>
          <w:numId w:val="1014"/>
        </w:numPr>
      </w:pPr>
      <w:r>
        <w:t xml:space="preserve">Phase 4 gate: 100% automated test suite passes before Phase 5</w:t>
      </w:r>
    </w:p>
    <w:bookmarkEnd w:id="48"/>
    <w:bookmarkStart w:id="49" w:name="X7d84023bd0b3a1db4ec33cf4f01c72e0aa173e0"/>
    <w:p>
      <w:pPr>
        <w:pStyle w:val="Heading3"/>
      </w:pPr>
      <w:r>
        <w:t xml:space="preserve">Phase 5–6 — Student, Parent, Teacher, Driver Android Apps</w:t>
      </w:r>
    </w:p>
    <w:p>
      <w:pPr>
        <w:pStyle w:val="Compact"/>
        <w:numPr>
          <w:ilvl w:val="0"/>
          <w:numId w:val="1015"/>
        </w:numPr>
      </w:pPr>
      <w:r>
        <w:t xml:space="preserve">Student portal + app: timetable, results, fee balance, homework, downloads</w:t>
      </w:r>
    </w:p>
    <w:p>
      <w:pPr>
        <w:pStyle w:val="Compact"/>
        <w:numPr>
          <w:ilvl w:val="0"/>
          <w:numId w:val="1015"/>
        </w:numPr>
      </w:pPr>
      <w:r>
        <w:t xml:space="preserve">Parent portal + app: child results, attendance, fees, communication history</w:t>
      </w:r>
    </w:p>
    <w:p>
      <w:pPr>
        <w:pStyle w:val="Compact"/>
        <w:numPr>
          <w:ilvl w:val="0"/>
          <w:numId w:val="1015"/>
        </w:numPr>
      </w:pPr>
      <w:r>
        <w:t xml:space="preserve">Teacher Android app: attendance entry, mark entry, homework posting</w:t>
      </w:r>
    </w:p>
    <w:p>
      <w:pPr>
        <w:pStyle w:val="Compact"/>
        <w:numPr>
          <w:ilvl w:val="0"/>
          <w:numId w:val="1015"/>
        </w:numPr>
      </w:pPr>
      <w:r>
        <w:t xml:space="preserve">Bus Driver Android app: route view, student roll call, GPS check-in</w:t>
      </w:r>
    </w:p>
    <w:bookmarkEnd w:id="49"/>
    <w:bookmarkStart w:id="50" w:name="phase-7--health-management-module"/>
    <w:p>
      <w:pPr>
        <w:pStyle w:val="Heading3"/>
      </w:pPr>
      <w:r>
        <w:t xml:space="preserve">Phase 7 — Health Management Module</w:t>
      </w:r>
    </w:p>
    <w:p>
      <w:pPr>
        <w:pStyle w:val="FirstParagraph"/>
      </w:pPr>
      <w:r>
        <w:t xml:space="preserve">PDPO 2019 compliant student health records: medical history, clinic visits, prescriptions, sick bay. Access restricted to nurse/doctor role + parent. Emergency escalation. Special-category data classification.</w:t>
      </w:r>
    </w:p>
    <w:bookmarkEnd w:id="50"/>
    <w:bookmarkStart w:id="51" w:name="phase-8--go-live-preparation"/>
    <w:p>
      <w:pPr>
        <w:pStyle w:val="Heading3"/>
      </w:pPr>
      <w:r>
        <w:t xml:space="preserve">Phase 8 — Go-Live Preparation</w:t>
      </w:r>
    </w:p>
    <w:p>
      <w:pPr>
        <w:pStyle w:val="Compact"/>
        <w:numPr>
          <w:ilvl w:val="0"/>
          <w:numId w:val="1016"/>
        </w:numPr>
      </w:pPr>
      <w:r>
        <w:t xml:space="preserve">Final security audit (OWASP Top 10 zero critical/high findings)</w:t>
      </w:r>
    </w:p>
    <w:p>
      <w:pPr>
        <w:pStyle w:val="Compact"/>
        <w:numPr>
          <w:ilvl w:val="0"/>
          <w:numId w:val="1016"/>
        </w:numPr>
      </w:pPr>
      <w:r>
        <w:t xml:space="preserve">UNEB grading validation against UNEB-provided sample mark sheets</w:t>
      </w:r>
    </w:p>
    <w:p>
      <w:pPr>
        <w:pStyle w:val="Compact"/>
        <w:numPr>
          <w:ilvl w:val="0"/>
          <w:numId w:val="1016"/>
        </w:numPr>
      </w:pPr>
      <w:r>
        <w:t xml:space="preserve">EMIS export validated by MoES field officer</w:t>
      </w:r>
    </w:p>
    <w:p>
      <w:pPr>
        <w:pStyle w:val="Compact"/>
        <w:numPr>
          <w:ilvl w:val="0"/>
          <w:numId w:val="1016"/>
        </w:numPr>
      </w:pPr>
      <w:r>
        <w:t xml:space="preserve">SchoolPay merchant integration certified</w:t>
      </w:r>
    </w:p>
    <w:p>
      <w:pPr>
        <w:pStyle w:val="Compact"/>
        <w:numPr>
          <w:ilvl w:val="0"/>
          <w:numId w:val="1016"/>
        </w:numPr>
      </w:pPr>
      <w:r>
        <w:t xml:space="preserve">Android apps submitted to Google Play Store</w:t>
      </w:r>
    </w:p>
    <w:bookmarkEnd w:id="51"/>
    <w:bookmarkStart w:id="52" w:name="phase-910--initial-trials--ios-apps"/>
    <w:p>
      <w:pPr>
        <w:pStyle w:val="Heading3"/>
      </w:pPr>
      <w:r>
        <w:t xml:space="preserve">Phase 9–10 — Initial Trials + iOS Apps</w:t>
      </w:r>
    </w:p>
    <w:p>
      <w:pPr>
        <w:pStyle w:val="Compact"/>
        <w:numPr>
          <w:ilvl w:val="0"/>
          <w:numId w:val="1017"/>
        </w:numPr>
      </w:pPr>
      <w:r>
        <w:t xml:space="preserve">First 10–20 paying schools onboarded for live trials</w:t>
      </w:r>
    </w:p>
    <w:p>
      <w:pPr>
        <w:pStyle w:val="Compact"/>
        <w:numPr>
          <w:ilvl w:val="0"/>
          <w:numId w:val="1017"/>
        </w:numPr>
      </w:pPr>
      <w:r>
        <w:t xml:space="preserve">Full iOS suite (6 apps): Super Admin, Owner, Teacher, Student, Parent, Bus Driver</w:t>
      </w:r>
    </w:p>
    <w:p>
      <w:pPr>
        <w:pStyle w:val="Compact"/>
        <w:numPr>
          <w:ilvl w:val="0"/>
          <w:numId w:val="1017"/>
        </w:numPr>
      </w:pPr>
      <w:r>
        <w:t xml:space="preserve">KUPAA community payment agent pilot</w:t>
      </w:r>
    </w:p>
    <w:bookmarkEnd w:id="52"/>
    <w:bookmarkStart w:id="53" w:name="phase-11--pan-africa-expansion"/>
    <w:p>
      <w:pPr>
        <w:pStyle w:val="Heading3"/>
      </w:pPr>
      <w:r>
        <w:t xml:space="preserve">Phase 11 — Pan-Africa Expansion</w:t>
      </w:r>
    </w:p>
    <w:p>
      <w:pPr>
        <w:pStyle w:val="Compact"/>
        <w:numPr>
          <w:ilvl w:val="0"/>
          <w:numId w:val="1018"/>
        </w:numPr>
      </w:pPr>
      <w:r>
        <w:t xml:space="preserve">Kenya: NEMIS integration, M-Pesa Daraja API, KCSE/KCPE grading engine</w:t>
      </w:r>
    </w:p>
    <w:p>
      <w:pPr>
        <w:pStyle w:val="Compact"/>
        <w:numPr>
          <w:ilvl w:val="0"/>
          <w:numId w:val="1018"/>
        </w:numPr>
      </w:pPr>
      <w:r>
        <w:t xml:space="preserve">Tanzania: NECTA integration, Airtel/Tigo payment rails</w:t>
      </w:r>
    </w:p>
    <w:p>
      <w:pPr>
        <w:pStyle w:val="Compact"/>
        <w:numPr>
          <w:ilvl w:val="0"/>
          <w:numId w:val="1018"/>
        </w:numPr>
      </w:pPr>
      <w:r>
        <w:t xml:space="preserve">Nigeria/Ghana: WAEC engine, Flutterwave/Paystack</w:t>
      </w:r>
    </w:p>
    <w:p>
      <w:pPr>
        <w:pStyle w:val="Compact"/>
        <w:numPr>
          <w:ilvl w:val="0"/>
          <w:numId w:val="1018"/>
        </w:numPr>
      </w:pPr>
      <w:r>
        <w:t xml:space="preserve">Multi-campus management, USSD short code (Africa's Talking), direct MTN MoMo/Airtel Money (post-BoU licence), diaspora payment corridors</w:t>
      </w:r>
    </w:p>
    <w:bookmarkEnd w:id="53"/>
    <w:bookmarkStart w:id="54" w:name="phase-12--maintenance--support"/>
    <w:p>
      <w:pPr>
        <w:pStyle w:val="Heading3"/>
      </w:pPr>
      <w:r>
        <w:t xml:space="preserve">Phase 12 — Maintenance + Support</w:t>
      </w:r>
    </w:p>
    <w:p>
      <w:pPr>
        <w:pStyle w:val="FirstParagraph"/>
      </w:pPr>
      <w:r>
        <w:t xml:space="preserve">SLA-backed support tiers, automated monitoring, scheduled EMIS reporting, continuous improvement.</w:t>
      </w:r>
    </w:p>
    <w:p>
      <w:r>
        <w:pict>
          <v:rect style="width:0;height:1.5pt" o:hralign="center" o:hrstd="t" o:hr="t"/>
        </w:pict>
      </w:r>
    </w:p>
    <w:bookmarkEnd w:id="54"/>
    <w:bookmarkEnd w:id="55"/>
    <w:bookmarkStart w:id="58" w:name="X425245b9cf248d86e609208223623325d002c8c"/>
    <w:p>
      <w:pPr>
        <w:pStyle w:val="Heading2"/>
      </w:pPr>
      <w:r>
        <w:t xml:space="preserve">3. Subscription Model</w:t>
      </w:r>
    </w:p>
    <w:bookmarkStart w:id="56" w:name="Xdd8364128575a97f627a2f2740e64247b98f941"/>
    <w:p>
      <w:pPr>
        <w:pStyle w:val="Heading3"/>
      </w:pPr>
      <w:r>
        <w:t xml:space="preserve">3.1 Tier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Pupil Range</w:t>
            </w:r>
          </w:p>
        </w:tc>
        <w:tc>
          <w:tcPr/>
          <w:p>
            <w:pPr>
              <w:pStyle w:val="Compact"/>
            </w:pPr>
            <w:r>
              <w:t xml:space="preserve">Modules Included</w:t>
            </w:r>
          </w:p>
        </w:tc>
      </w:tr>
      <w:tr>
        <w:tc>
          <w:tcPr/>
          <w:p>
            <w:pPr>
              <w:pStyle w:val="Compact"/>
            </w:pPr>
            <w:r>
              <w:rPr>
                <w:b/>
                <w:bCs/>
              </w:rPr>
              <w:t xml:space="preserve">Starter</w:t>
            </w:r>
          </w:p>
        </w:tc>
        <w:tc>
          <w:tcPr/>
          <w:p>
            <w:pPr>
              <w:pStyle w:val="Compact"/>
            </w:pPr>
            <w:r>
              <w:t xml:space="preserve">50–200 pupils</w:t>
            </w:r>
          </w:p>
        </w:tc>
        <w:tc>
          <w:tcPr/>
          <w:p>
            <w:pPr>
              <w:pStyle w:val="Compact"/>
            </w:pPr>
            <w:r>
              <w:t xml:space="preserve">All Phase 1 standard modules</w:t>
            </w:r>
          </w:p>
        </w:tc>
      </w:tr>
      <w:tr>
        <w:tc>
          <w:tcPr/>
          <w:p>
            <w:pPr>
              <w:pStyle w:val="Compact"/>
            </w:pPr>
            <w:r>
              <w:rPr>
                <w:b/>
                <w:bCs/>
              </w:rPr>
              <w:t xml:space="preserve">Growth</w:t>
            </w:r>
          </w:p>
        </w:tc>
        <w:tc>
          <w:tcPr/>
          <w:p>
            <w:pPr>
              <w:pStyle w:val="Compact"/>
            </w:pPr>
            <w:r>
              <w:t xml:space="preserve">201–500 pupils</w:t>
            </w:r>
          </w:p>
        </w:tc>
        <w:tc>
          <w:tcPr/>
          <w:p>
            <w:pPr>
              <w:pStyle w:val="Compact"/>
            </w:pPr>
            <w:r>
              <w:t xml:space="preserve">All Phase 1 modules + all Phase 2 optional modules</w:t>
            </w:r>
          </w:p>
        </w:tc>
      </w:tr>
      <w:tr>
        <w:tc>
          <w:tcPr/>
          <w:p>
            <w:pPr>
              <w:pStyle w:val="Compact"/>
            </w:pPr>
            <w:r>
              <w:rPr>
                <w:b/>
                <w:bCs/>
              </w:rPr>
              <w:t xml:space="preserve">Pro</w:t>
            </w:r>
          </w:p>
        </w:tc>
        <w:tc>
          <w:tcPr/>
          <w:p>
            <w:pPr>
              <w:pStyle w:val="Compact"/>
            </w:pPr>
            <w:r>
              <w:t xml:space="preserve">501+ pupils</w:t>
            </w:r>
          </w:p>
        </w:tc>
        <w:tc>
          <w:tcPr/>
          <w:p>
            <w:pPr>
              <w:pStyle w:val="Compact"/>
            </w:pPr>
            <w:r>
              <w:t xml:space="preserve">All modules + priority support + custom branding + advanced analytics</w:t>
            </w:r>
          </w:p>
        </w:tc>
      </w:tr>
    </w:tbl>
    <w:p>
      <w:pPr>
        <w:pStyle w:val="BodyText"/>
      </w:pPr>
      <w:r>
        <w:rPr>
          <w:i/>
          <w:iCs/>
        </w:rPr>
        <w:t xml:space="preserve">Pricing detail in Section 06 (Financial Model).</w:t>
      </w:r>
    </w:p>
    <w:bookmarkEnd w:id="56"/>
    <w:bookmarkStart w:id="57" w:name="Xaeaee7a65593eeb3e91bd99eec5a4e47d73c11c"/>
    <w:p>
      <w:pPr>
        <w:pStyle w:val="Heading3"/>
      </w:pPr>
      <w:r>
        <w:t xml:space="preserve">3.2 Billing</w:t>
      </w:r>
    </w:p>
    <w:p>
      <w:pPr>
        <w:pStyle w:val="Compact"/>
        <w:numPr>
          <w:ilvl w:val="0"/>
          <w:numId w:val="1019"/>
        </w:numPr>
      </w:pPr>
      <w:r>
        <w:t xml:space="preserve">Annual subscription billed monthly in UGX.</w:t>
      </w:r>
    </w:p>
    <w:p>
      <w:pPr>
        <w:pStyle w:val="Compact"/>
        <w:numPr>
          <w:ilvl w:val="0"/>
          <w:numId w:val="1019"/>
        </w:numPr>
      </w:pPr>
      <w:r>
        <w:t xml:space="preserve">Payment via SchoolPay (school pays via MTN MoMo, Airtel Money, bank) or Flutterwave (card, diaspora).</w:t>
      </w:r>
    </w:p>
    <w:p>
      <w:pPr>
        <w:pStyle w:val="Compact"/>
        <w:numPr>
          <w:ilvl w:val="0"/>
          <w:numId w:val="1019"/>
        </w:numPr>
      </w:pPr>
      <w:r>
        <w:t xml:space="preserve">No free tier. A 30-day trial period is offered at onboarding.</w:t>
      </w:r>
    </w:p>
    <w:p>
      <w:pPr>
        <w:pStyle w:val="Compact"/>
        <w:numPr>
          <w:ilvl w:val="0"/>
          <w:numId w:val="1019"/>
        </w:numPr>
      </w:pPr>
      <w:r>
        <w:t xml:space="preserve">Subscription lapses trigger a 90-day data grace period (data is retained, not deleted) — a direct competitive differentiator against ShuleKeeper's 60-day permanent deletion policy. After 90 days of non-payment, data is archived (not deleted) and the school is contacted by Chwezi support.</w:t>
      </w:r>
    </w:p>
    <w:p>
      <w:r>
        <w:pict>
          <v:rect style="width:0;height:1.5pt" o:hralign="center" o:hrstd="t" o:hr="t"/>
        </w:pict>
      </w:r>
    </w:p>
    <w:bookmarkEnd w:id="57"/>
    <w:bookmarkEnd w:id="58"/>
    <w:bookmarkStart w:id="59" w:name="X916e38997178a31997d3ae950c0b339400bddec"/>
    <w:p>
      <w:pPr>
        <w:pStyle w:val="Heading2"/>
      </w:pPr>
      <w:r>
        <w:t xml:space="preserve">4. SchoolPay Integration Strategy</w:t>
      </w:r>
    </w:p>
    <w:p>
      <w:pPr>
        <w:pStyle w:val="FirstParagraph"/>
      </w:pPr>
      <w:r>
        <w:t xml:space="preserve">Academia Pro positions as the ERP layer on top of SchoolPay's payment rails — not a competitor.</w:t>
      </w:r>
    </w:p>
    <w:p>
      <w:pPr>
        <w:pStyle w:val="Compact"/>
        <w:numPr>
          <w:ilvl w:val="0"/>
          <w:numId w:val="1020"/>
        </w:numPr>
      </w:pPr>
      <w:r>
        <w:rPr>
          <w:b/>
          <w:bCs/>
        </w:rPr>
        <w:t xml:space="preserve">Phase 1:</w:t>
      </w:r>
      <w:r>
        <w:t xml:space="preserve"> </w:t>
      </w:r>
      <w:r>
        <w:t xml:space="preserve">SchoolPay student payment codes are imported at onboarding. Payments made via any SchoolPay channel (MTN MoMo, Airtel Money, bank, agent) are automatically reconciled to the student's fee account within minutes via webhook, with a mandatory nightly polling fallback (SchoolPay webhooks have no retry mechanism).</w:t>
      </w:r>
    </w:p>
    <w:p>
      <w:pPr>
        <w:pStyle w:val="Compact"/>
        <w:numPr>
          <w:ilvl w:val="0"/>
          <w:numId w:val="1020"/>
        </w:numPr>
      </w:pPr>
      <w:r>
        <w:rPr>
          <w:b/>
          <w:bCs/>
        </w:rPr>
        <w:t xml:space="preserve">Phase 3+:</w:t>
      </w:r>
      <w:r>
        <w:t xml:space="preserve"> </w:t>
      </w:r>
      <w:r>
        <w:t xml:space="preserve">Direct MTN MoMo and Airtel Money APIs added for schools that want ERP-native payment processing without SchoolPay. Requires BoU Payment Systems Operator licence.</w:t>
      </w:r>
    </w:p>
    <w:p>
      <w:pPr>
        <w:pStyle w:val="Compact"/>
        <w:numPr>
          <w:ilvl w:val="0"/>
          <w:numId w:val="1020"/>
        </w:numPr>
      </w:pPr>
      <w:r>
        <w:rPr>
          <w:b/>
          <w:bCs/>
        </w:rPr>
        <w:t xml:space="preserve">Phase 4+:</w:t>
      </w:r>
      <w:r>
        <w:t xml:space="preserve"> </w:t>
      </w:r>
      <w:r>
        <w:t xml:space="preserve">Visa/Mastercard via Flutterwave for school subscription payments and diaspora parents.</w:t>
      </w:r>
    </w:p>
    <w:p>
      <w:pPr>
        <w:pStyle w:val="FirstParagraph"/>
      </w:pPr>
      <w:r>
        <w:t xml:space="preserve">The go-to-market message for SchoolPay-connected schools:</w:t>
      </w:r>
      <w:r>
        <w:t xml:space="preserve"> </w:t>
      </w:r>
      <w:r>
        <w:rPr>
          <w:i/>
          <w:iCs/>
        </w:rPr>
        <w:t xml:space="preserve">"Your parents already use SchoolPay. Academia Pro connects to it automatically. You gain a full school management system; your payment infrastructure stays exactly as it is."</w:t>
      </w:r>
    </w:p>
    <w:p>
      <w:r>
        <w:pict>
          <v:rect style="width:0;height:1.5pt" o:hralign="center" o:hrstd="t" o:hr="t"/>
        </w:pict>
      </w:r>
    </w:p>
    <w:bookmarkEnd w:id="59"/>
    <w:bookmarkStart w:id="60" w:name="Xdf8e2de4ec7f1dd409391d93739d1b25fe0d352"/>
    <w:p>
      <w:pPr>
        <w:pStyle w:val="Heading2"/>
      </w:pPr>
      <w:r>
        <w:t xml:space="preserve">5. Compliance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Obligation</w:t>
            </w:r>
          </w:p>
        </w:tc>
        <w:tc>
          <w:tcPr/>
          <w:p>
            <w:pPr>
              <w:pStyle w:val="Compact"/>
            </w:pPr>
            <w:r>
              <w:t xml:space="preserve">Platform Response</w:t>
            </w:r>
          </w:p>
        </w:tc>
      </w:tr>
      <w:tr>
        <w:tc>
          <w:tcPr/>
          <w:p>
            <w:pPr>
              <w:pStyle w:val="Compact"/>
            </w:pPr>
            <w:r>
              <w:t xml:space="preserve">Uganda PDPO 2019</w:t>
            </w:r>
          </w:p>
        </w:tc>
        <w:tc>
          <w:tcPr/>
          <w:p>
            <w:pPr>
              <w:pStyle w:val="Compact"/>
            </w:pPr>
            <w:r>
              <w:t xml:space="preserve">AES-256 at rest, TLS 1.3 in transit, 7-year record retention, data subject rights API, PDPO Office registration, Data Processing Agreements with each school</w:t>
            </w:r>
          </w:p>
        </w:tc>
      </w:tr>
      <w:tr>
        <w:tc>
          <w:tcPr/>
          <w:p>
            <w:pPr>
              <w:pStyle w:val="Compact"/>
            </w:pPr>
            <w:r>
              <w:t xml:space="preserve">UNEB grading accuracy</w:t>
            </w:r>
          </w:p>
        </w:tc>
        <w:tc>
          <w:tcPr/>
          <w:p>
            <w:pPr>
              <w:pStyle w:val="Compact"/>
            </w:pPr>
            <w:r>
              <w:t xml:space="preserve">100% match against UNEB sample mark sheets (Phase 8 gate)</w:t>
            </w:r>
          </w:p>
        </w:tc>
      </w:tr>
      <w:tr>
        <w:tc>
          <w:tcPr/>
          <w:p>
            <w:pPr>
              <w:pStyle w:val="Compact"/>
            </w:pPr>
            <w:r>
              <w:t xml:space="preserve">MoES EMIS</w:t>
            </w:r>
          </w:p>
        </w:tc>
        <w:tc>
          <w:tcPr/>
          <w:p>
            <w:pPr>
              <w:pStyle w:val="Compact"/>
            </w:pPr>
            <w:r>
              <w:t xml:space="preserve">Bulk XML/CSV export validated against MoES data dictionary</w:t>
            </w:r>
          </w:p>
        </w:tc>
      </w:tr>
      <w:tr>
        <w:tc>
          <w:tcPr/>
          <w:p>
            <w:pPr>
              <w:pStyle w:val="Compact"/>
            </w:pPr>
            <w:r>
              <w:t xml:space="preserve">UNEB exam registration</w:t>
            </w:r>
          </w:p>
        </w:tc>
        <w:tc>
          <w:tcPr/>
          <w:p>
            <w:pPr>
              <w:pStyle w:val="Compact"/>
            </w:pPr>
            <w:r>
              <w:t xml:space="preserve">Candidate data export in UNEB-specified format</w:t>
            </w:r>
          </w:p>
        </w:tc>
      </w:tr>
      <w:tr>
        <w:tc>
          <w:tcPr/>
          <w:p>
            <w:pPr>
              <w:pStyle w:val="Compact"/>
            </w:pPr>
            <w:r>
              <w:t xml:space="preserve">Uganda Copyright Act 2006</w:t>
            </w:r>
          </w:p>
        </w:tc>
        <w:tc>
          <w:tcPr/>
          <w:p>
            <w:pPr>
              <w:pStyle w:val="Compact"/>
            </w:pPr>
            <w:r>
              <w:t xml:space="preserve">Software registered with URSB before Phase 8 go-live</w:t>
            </w:r>
          </w:p>
        </w:tc>
      </w:tr>
      <w:tr>
        <w:tc>
          <w:tcPr/>
          <w:p>
            <w:pPr>
              <w:pStyle w:val="Compact"/>
            </w:pPr>
            <w:r>
              <w:t xml:space="preserve">BoU payment licence</w:t>
            </w:r>
          </w:p>
        </w:tc>
        <w:tc>
          <w:tcPr/>
          <w:p>
            <w:pPr>
              <w:pStyle w:val="Compact"/>
            </w:pPr>
            <w:r>
              <w:t xml:space="preserve">Phase 3–4 direct mobile money requires BoU PSO licence application</w:t>
            </w:r>
          </w:p>
        </w:tc>
      </w:tr>
    </w:tbl>
    <w:p>
      <w:r>
        <w:pict>
          <v:rect style="width:0;height:1.5pt" o:hralign="center" o:hrstd="t" o:hr="t"/>
        </w:pict>
      </w:r>
    </w:p>
    <w:bookmarkEnd w:id="60"/>
    <w:bookmarkStart w:id="61" w:name="Xa1730e631bc047ca692df0216b2ccee254f58ce"/>
    <w:p>
      <w:pPr>
        <w:pStyle w:val="Heading2"/>
      </w:pPr>
      <w:r>
        <w:t xml:space="preserve">6. Onboarding Design</w:t>
      </w:r>
    </w:p>
    <w:p>
      <w:pPr>
        <w:pStyle w:val="FirstParagraph"/>
      </w:pPr>
      <w:r>
        <w:t xml:space="preserve">A Uganda school must be operationally live — fee structures configured, student roll imported, SchoolPay codes mapped — within 30 minutes of signup. This is a hard product requirement (Design Covenant), not a marketing aspiration. The onboarding wizard drives the administrator through:</w:t>
      </w:r>
    </w:p>
    <w:p>
      <w:pPr>
        <w:pStyle w:val="Compact"/>
        <w:numPr>
          <w:ilvl w:val="0"/>
          <w:numId w:val="1021"/>
        </w:numPr>
      </w:pPr>
      <w:r>
        <w:t xml:space="preserve">School profile (name, logo, MoES registration number, EMIS number)</w:t>
      </w:r>
    </w:p>
    <w:p>
      <w:pPr>
        <w:pStyle w:val="Compact"/>
        <w:numPr>
          <w:ilvl w:val="0"/>
          <w:numId w:val="1021"/>
        </w:numPr>
      </w:pPr>
      <w:r>
        <w:t xml:space="preserve">Academic year and 3-term calendar configuration</w:t>
      </w:r>
    </w:p>
    <w:p>
      <w:pPr>
        <w:pStyle w:val="Compact"/>
        <w:numPr>
          <w:ilvl w:val="0"/>
          <w:numId w:val="1021"/>
        </w:numPr>
      </w:pPr>
      <w:r>
        <w:t xml:space="preserve">Class and stream setup</w:t>
      </w:r>
    </w:p>
    <w:p>
      <w:pPr>
        <w:pStyle w:val="Compact"/>
        <w:numPr>
          <w:ilvl w:val="0"/>
          <w:numId w:val="1021"/>
        </w:numPr>
      </w:pPr>
      <w:r>
        <w:t xml:space="preserve">Fee structure per class per term</w:t>
      </w:r>
    </w:p>
    <w:p>
      <w:pPr>
        <w:pStyle w:val="Compact"/>
        <w:numPr>
          <w:ilvl w:val="0"/>
          <w:numId w:val="1021"/>
        </w:numPr>
      </w:pPr>
      <w:r>
        <w:t xml:space="preserve">Student import (Excel template or manual entry)</w:t>
      </w:r>
    </w:p>
    <w:p>
      <w:pPr>
        <w:pStyle w:val="Compact"/>
        <w:numPr>
          <w:ilvl w:val="0"/>
          <w:numId w:val="1021"/>
        </w:numPr>
      </w:pPr>
      <w:r>
        <w:t xml:space="preserve">SchoolPay code mapping (bulk import via CSV)</w:t>
      </w:r>
    </w:p>
    <w:p>
      <w:pPr>
        <w:pStyle w:val="Compact"/>
        <w:numPr>
          <w:ilvl w:val="0"/>
          <w:numId w:val="1021"/>
        </w:numPr>
      </w:pPr>
      <w:r>
        <w:t xml:space="preserve">User accounts for head teacher, bursars, and class teachers</w:t>
      </w:r>
    </w:p>
    <w:p>
      <w:pPr>
        <w:pStyle w:val="FirstParagraph"/>
      </w:pPr>
      <w:r>
        <w:t xml:space="preserve">Each step includes embedded video help (2–5 minutes per module). A school that completes all 7 steps has a fully operational system before the first fee collection cycle.</w:t>
      </w:r>
    </w:p>
    <w:bookmarkEnd w:id="61"/>
    <w:bookmarkEnd w:id="62"/>
    <w:bookmarkStart w:id="69" w:name="competitive-analysis--academia-pro"/>
    <w:p>
      <w:pPr>
        <w:pStyle w:val="Heading1"/>
      </w:pPr>
      <w:r>
        <w:t xml:space="preserve">Competitive Analysis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63" w:name="X414fae3fd4744a06ddabedf1fc7d5b737e7651d"/>
    <w:p>
      <w:pPr>
        <w:pStyle w:val="Heading2"/>
      </w:pPr>
      <w:r>
        <w:t xml:space="preserve">1. Competitive Landscape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Competitor</w:t>
            </w:r>
          </w:p>
        </w:tc>
        <w:tc>
          <w:tcPr/>
          <w:p>
            <w:pPr>
              <w:pStyle w:val="Compact"/>
            </w:pPr>
            <w:r>
              <w:t xml:space="preserve">Region</w:t>
            </w:r>
          </w:p>
        </w:tc>
        <w:tc>
          <w:tcPr/>
          <w:p>
            <w:pPr>
              <w:pStyle w:val="Compact"/>
            </w:pPr>
            <w:r>
              <w:t xml:space="preserve">Threat Level</w:t>
            </w:r>
          </w:p>
        </w:tc>
        <w:tc>
          <w:tcPr/>
          <w:p>
            <w:pPr>
              <w:pStyle w:val="Compact"/>
            </w:pPr>
            <w:r>
              <w:t xml:space="preserve">Key Strengths</w:t>
            </w:r>
          </w:p>
        </w:tc>
        <w:tc>
          <w:tcPr/>
          <w:p>
            <w:pPr>
              <w:pStyle w:val="Compact"/>
            </w:pPr>
            <w:r>
              <w:t xml:space="preserve">Key Weaknesses</w:t>
            </w:r>
          </w:p>
        </w:tc>
        <w:tc>
          <w:tcPr/>
          <w:p>
            <w:pPr>
              <w:pStyle w:val="Compact"/>
            </w:pPr>
            <w:r>
              <w:t xml:space="preserve">Academia Pro's Response</w:t>
            </w:r>
          </w:p>
        </w:tc>
      </w:tr>
      <w:tr>
        <w:tc>
          <w:tcPr/>
          <w:p>
            <w:pPr>
              <w:pStyle w:val="Compact"/>
            </w:pPr>
            <w:r>
              <w:rPr>
                <w:b/>
                <w:bCs/>
              </w:rPr>
              <w:t xml:space="preserve">SchoolPay ERP</w:t>
            </w:r>
          </w:p>
        </w:tc>
        <w:tc>
          <w:tcPr/>
          <w:p>
            <w:pPr>
              <w:pStyle w:val="Compact"/>
            </w:pPr>
            <w:r>
              <w:t xml:space="preserve">Uganda</w:t>
            </w:r>
          </w:p>
        </w:tc>
        <w:tc>
          <w:tcPr/>
          <w:p>
            <w:pPr>
              <w:pStyle w:val="Compact"/>
            </w:pPr>
            <w:r>
              <w:t xml:space="preserve">HIGH</w:t>
            </w:r>
          </w:p>
        </w:tc>
        <w:tc>
          <w:tcPr/>
          <w:p>
            <w:pPr>
              <w:pStyle w:val="Compact"/>
            </w:pPr>
            <w:r>
              <w:t xml:space="preserve">BoU licensed; ~11,000 school payment network; MTN MoMo + Airtel Money processing; brand trust</w:t>
            </w:r>
          </w:p>
        </w:tc>
        <w:tc>
          <w:tcPr/>
          <w:p>
            <w:pPr>
              <w:pStyle w:val="Compact"/>
            </w:pPr>
            <w:r>
              <w:t xml:space="preserve">ERP launched Jan 2024 — structurally immature; no UNEB grading; no EMIS export; no mobile apps; fee management only — not full school management</w:t>
            </w:r>
          </w:p>
        </w:tc>
        <w:tc>
          <w:tcPr/>
          <w:p>
            <w:pPr>
              <w:pStyle w:val="Compact"/>
            </w:pPr>
            <w:r>
              <w:t xml:space="preserve">Integrate with SchoolPay rather than compete. Position Academia Pro as the ERP that SchoolPay-connected schools adopt on top of existing payment infrastructure.</w:t>
            </w:r>
          </w:p>
        </w:tc>
      </w:tr>
      <w:tr>
        <w:tc>
          <w:tcPr/>
          <w:p>
            <w:pPr>
              <w:pStyle w:val="Compact"/>
            </w:pPr>
            <w:r>
              <w:rPr>
                <w:b/>
                <w:bCs/>
              </w:rPr>
              <w:t xml:space="preserve">ShuleKeeper</w:t>
            </w:r>
          </w:p>
        </w:tc>
        <w:tc>
          <w:tcPr/>
          <w:p>
            <w:pPr>
              <w:pStyle w:val="Compact"/>
            </w:pPr>
            <w:r>
              <w:t xml:space="preserve">Uganda</w:t>
            </w:r>
          </w:p>
        </w:tc>
        <w:tc>
          <w:tcPr/>
          <w:p>
            <w:pPr>
              <w:pStyle w:val="Compact"/>
            </w:pPr>
            <w:r>
              <w:t xml:space="preserve">MEDIUM</w:t>
            </w:r>
          </w:p>
        </w:tc>
        <w:tc>
          <w:tcPr/>
          <w:p>
            <w:pPr>
              <w:pStyle w:val="Compact"/>
            </w:pPr>
            <w:r>
              <w:t xml:space="preserve">Active Uganda market presence; basic fee management; some web portal features</w:t>
            </w:r>
          </w:p>
        </w:tc>
        <w:tc>
          <w:tcPr/>
          <w:p>
            <w:pPr>
              <w:pStyle w:val="Compact"/>
            </w:pPr>
            <w:r>
              <w:t xml:space="preserve">60-day data deletion on lapse (PDPO violation risk); no mobile apps; WhatsApp developer as support channel; no UNEB grading; no EMIS integration</w:t>
            </w:r>
          </w:p>
        </w:tc>
        <w:tc>
          <w:tcPr/>
          <w:p>
            <w:pPr>
              <w:pStyle w:val="Compact"/>
            </w:pPr>
            <w:r>
              <w:t xml:space="preserve">Compete directly on data safety (90-day grace + permanent archive), mobile-first design, UNEB automation, and professional support SLA.</w:t>
            </w:r>
          </w:p>
        </w:tc>
      </w:tr>
      <w:tr>
        <w:tc>
          <w:tcPr/>
          <w:p>
            <w:pPr>
              <w:pStyle w:val="Compact"/>
            </w:pPr>
            <w:r>
              <w:rPr>
                <w:b/>
                <w:bCs/>
              </w:rPr>
              <w:t xml:space="preserve">Akademikit</w:t>
            </w:r>
          </w:p>
        </w:tc>
        <w:tc>
          <w:tcPr/>
          <w:p>
            <w:pPr>
              <w:pStyle w:val="Compact"/>
            </w:pPr>
            <w:r>
              <w:t xml:space="preserve">Uganda</w:t>
            </w:r>
          </w:p>
        </w:tc>
        <w:tc>
          <w:tcPr/>
          <w:p>
            <w:pPr>
              <w:pStyle w:val="Compact"/>
            </w:pPr>
            <w:r>
              <w:t xml:space="preserve">LOW–MEDIUM</w:t>
            </w:r>
          </w:p>
        </w:tc>
        <w:tc>
          <w:tcPr/>
          <w:p>
            <w:pPr>
              <w:pStyle w:val="Compact"/>
            </w:pPr>
            <w:r>
              <w:t xml:space="preserve">Uganda-built; some local school deployments</w:t>
            </w:r>
          </w:p>
        </w:tc>
        <w:tc>
          <w:tcPr/>
          <w:p>
            <w:pPr>
              <w:pStyle w:val="Compact"/>
            </w:pPr>
            <w:r>
              <w:t xml:space="preserve">Limited feature depth; no confirmed mobile apps; no public API or integration story; unclear UNEB grading support</w:t>
            </w:r>
          </w:p>
        </w:tc>
        <w:tc>
          <w:tcPr/>
          <w:p>
            <w:pPr>
              <w:pStyle w:val="Compact"/>
            </w:pPr>
            <w:r>
              <w:t xml:space="preserve">Feature depth and mobile coverage create a clear differentiation wall.</w:t>
            </w:r>
          </w:p>
        </w:tc>
      </w:tr>
      <w:tr>
        <w:tc>
          <w:tcPr/>
          <w:p>
            <w:pPr>
              <w:pStyle w:val="Compact"/>
            </w:pPr>
            <w:r>
              <w:rPr>
                <w:b/>
                <w:bCs/>
              </w:rPr>
              <w:t xml:space="preserve">Gandapps</w:t>
            </w:r>
          </w:p>
        </w:tc>
        <w:tc>
          <w:tcPr/>
          <w:p>
            <w:pPr>
              <w:pStyle w:val="Compact"/>
            </w:pPr>
            <w:r>
              <w:t xml:space="preserve">Uganda</w:t>
            </w:r>
          </w:p>
        </w:tc>
        <w:tc>
          <w:tcPr/>
          <w:p>
            <w:pPr>
              <w:pStyle w:val="Compact"/>
            </w:pPr>
            <w:r>
              <w:t xml:space="preserve">LOW</w:t>
            </w:r>
          </w:p>
        </w:tc>
        <w:tc>
          <w:tcPr/>
          <w:p>
            <w:pPr>
              <w:pStyle w:val="Compact"/>
            </w:pPr>
            <w:r>
              <w:t xml:space="preserve">Some Uganda school presence</w:t>
            </w:r>
          </w:p>
        </w:tc>
        <w:tc>
          <w:tcPr/>
          <w:p>
            <w:pPr>
              <w:pStyle w:val="Compact"/>
            </w:pPr>
            <w:r>
              <w:t xml:space="preserve">Primarily Android-based tool rather than full SaaS ERP; limited web management layer; no known UNEB or EMIS support</w:t>
            </w:r>
          </w:p>
        </w:tc>
        <w:tc>
          <w:tcPr/>
          <w:p>
            <w:pPr>
              <w:pStyle w:val="Compact"/>
            </w:pPr>
            <w:r>
              <w:t xml:space="preserve">Not a direct ERP competitor; threat is in the teacher/attendance app space only.</w:t>
            </w:r>
          </w:p>
        </w:tc>
      </w:tr>
      <w:tr>
        <w:tc>
          <w:tcPr/>
          <w:p>
            <w:pPr>
              <w:pStyle w:val="Compact"/>
            </w:pPr>
            <w:r>
              <w:rPr>
                <w:b/>
                <w:bCs/>
              </w:rPr>
              <w:t xml:space="preserve">Cloud School System</w:t>
            </w:r>
          </w:p>
        </w:tc>
        <w:tc>
          <w:tcPr/>
          <w:p>
            <w:pPr>
              <w:pStyle w:val="Compact"/>
            </w:pPr>
            <w:r>
              <w:t xml:space="preserve">East Africa</w:t>
            </w:r>
          </w:p>
        </w:tc>
        <w:tc>
          <w:tcPr/>
          <w:p>
            <w:pPr>
              <w:pStyle w:val="Compact"/>
            </w:pPr>
            <w:r>
              <w:t xml:space="preserve">MEDIUM</w:t>
            </w:r>
          </w:p>
        </w:tc>
        <w:tc>
          <w:tcPr/>
          <w:p>
            <w:pPr>
              <w:pStyle w:val="Compact"/>
            </w:pPr>
            <w:r>
              <w:t xml:space="preserve">Established in East Africa; web-based; reasonable feature coverage</w:t>
            </w:r>
          </w:p>
        </w:tc>
        <w:tc>
          <w:tcPr/>
          <w:p>
            <w:pPr>
              <w:pStyle w:val="Compact"/>
            </w:pPr>
            <w:r>
              <w:t xml:space="preserve">Not Uganda-native grading (UNEB); no confirmed SchoolPay integration; pricing not in UGX; no KUPAA micro-payment model</w:t>
            </w:r>
          </w:p>
        </w:tc>
        <w:tc>
          <w:tcPr/>
          <w:p>
            <w:pPr>
              <w:pStyle w:val="Compact"/>
            </w:pPr>
            <w:r>
              <w:t xml:space="preserve">Uganda localisation depth (UNEB grading, EMIS, SchoolPay, 3-term calendar, UGX pricing) is the primary moat against regional generalists.</w:t>
            </w:r>
          </w:p>
        </w:tc>
      </w:tr>
      <w:tr>
        <w:tc>
          <w:tcPr/>
          <w:p>
            <w:pPr>
              <w:pStyle w:val="Compact"/>
            </w:pPr>
            <w:r>
              <w:rPr>
                <w:b/>
                <w:bCs/>
              </w:rPr>
              <w:t xml:space="preserve">JibuERP</w:t>
            </w:r>
          </w:p>
        </w:tc>
        <w:tc>
          <w:tcPr/>
          <w:p>
            <w:pPr>
              <w:pStyle w:val="Compact"/>
            </w:pPr>
            <w:r>
              <w:t xml:space="preserve">East Africa</w:t>
            </w:r>
          </w:p>
        </w:tc>
        <w:tc>
          <w:tcPr/>
          <w:p>
            <w:pPr>
              <w:pStyle w:val="Compact"/>
            </w:pPr>
            <w:r>
              <w:t xml:space="preserve">LOW–MEDIUM</w:t>
            </w:r>
          </w:p>
        </w:tc>
        <w:tc>
          <w:tcPr/>
          <w:p>
            <w:pPr>
              <w:pStyle w:val="Compact"/>
            </w:pPr>
            <w:r>
              <w:t xml:space="preserve">Some East Africa school deployments; ERP framing</w:t>
            </w:r>
          </w:p>
        </w:tc>
        <w:tc>
          <w:tcPr/>
          <w:p>
            <w:pPr>
              <w:pStyle w:val="Compact"/>
            </w:pPr>
            <w:r>
              <w:t xml:space="preserve">Limited public information on Uganda-specific compliance; no confirmed UNEB integration; limited mobile presence</w:t>
            </w:r>
          </w:p>
        </w:tc>
        <w:tc>
          <w:tcPr/>
          <w:p>
            <w:pPr>
              <w:pStyle w:val="Compact"/>
            </w:pPr>
            <w:r>
              <w:t xml:space="preserve">Same Uganda localisation depth moat applies.</w:t>
            </w:r>
          </w:p>
        </w:tc>
      </w:tr>
      <w:tr>
        <w:tc>
          <w:tcPr/>
          <w:p>
            <w:pPr>
              <w:pStyle w:val="Compact"/>
            </w:pPr>
            <w:r>
              <w:rPr>
                <w:b/>
                <w:bCs/>
              </w:rPr>
              <w:t xml:space="preserve">ShulePro</w:t>
            </w:r>
          </w:p>
        </w:tc>
        <w:tc>
          <w:tcPr/>
          <w:p>
            <w:pPr>
              <w:pStyle w:val="Compact"/>
            </w:pPr>
            <w:r>
              <w:t xml:space="preserve">East Africa</w:t>
            </w:r>
          </w:p>
        </w:tc>
        <w:tc>
          <w:tcPr/>
          <w:p>
            <w:pPr>
              <w:pStyle w:val="Compact"/>
            </w:pPr>
            <w:r>
              <w:t xml:space="preserve">LOW–MEDIUM</w:t>
            </w:r>
          </w:p>
        </w:tc>
        <w:tc>
          <w:tcPr/>
          <w:p>
            <w:pPr>
              <w:pStyle w:val="Compact"/>
            </w:pPr>
            <w:r>
              <w:t xml:space="preserve">East Africa market framing; web platform</w:t>
            </w:r>
          </w:p>
        </w:tc>
        <w:tc>
          <w:tcPr/>
          <w:p>
            <w:pPr>
              <w:pStyle w:val="Compact"/>
            </w:pPr>
            <w:r>
              <w:t xml:space="preserve">Kenya-focused; M-Pesa centric; Uganda-specific requirements (UNEB, EMIS, SchoolPay) are not confirmed</w:t>
            </w:r>
          </w:p>
        </w:tc>
        <w:tc>
          <w:tcPr/>
          <w:p>
            <w:pPr>
              <w:pStyle w:val="Compact"/>
            </w:pPr>
            <w:r>
              <w:t xml:space="preserve">Uganda market entry is a separate product initiative for ShulePro; Academia Pro is already Uganda-native.</w:t>
            </w:r>
          </w:p>
        </w:tc>
      </w:tr>
      <w:tr>
        <w:tc>
          <w:tcPr/>
          <w:p>
            <w:pPr>
              <w:pStyle w:val="Compact"/>
            </w:pPr>
            <w:r>
              <w:rPr>
                <w:b/>
                <w:bCs/>
              </w:rPr>
              <w:t xml:space="preserve">DesisPay</w:t>
            </w:r>
          </w:p>
        </w:tc>
        <w:tc>
          <w:tcPr/>
          <w:p>
            <w:pPr>
              <w:pStyle w:val="Compact"/>
            </w:pPr>
            <w:r>
              <w:t xml:space="preserve">Uganda</w:t>
            </w:r>
          </w:p>
        </w:tc>
        <w:tc>
          <w:tcPr/>
          <w:p>
            <w:pPr>
              <w:pStyle w:val="Compact"/>
            </w:pPr>
            <w:r>
              <w:t xml:space="preserve">LOW</w:t>
            </w:r>
          </w:p>
        </w:tc>
        <w:tc>
          <w:tcPr/>
          <w:p>
            <w:pPr>
              <w:pStyle w:val="Compact"/>
            </w:pPr>
            <w:r>
              <w:t xml:space="preserve">Some Uganda payment processing presence</w:t>
            </w:r>
          </w:p>
        </w:tc>
        <w:tc>
          <w:tcPr/>
          <w:p>
            <w:pPr>
              <w:pStyle w:val="Compact"/>
            </w:pPr>
            <w:r>
              <w:t xml:space="preserve">Primarily a payment tool, not a school ERP; no management modules beyond fee collection</w:t>
            </w:r>
          </w:p>
        </w:tc>
        <w:tc>
          <w:tcPr/>
          <w:p>
            <w:pPr>
              <w:pStyle w:val="Compact"/>
            </w:pPr>
            <w:r>
              <w:t xml:space="preserve">Complements rather than competes — potential integration partner post-Phase 3.</w:t>
            </w:r>
          </w:p>
        </w:tc>
      </w:tr>
    </w:tbl>
    <w:p>
      <w:r>
        <w:pict>
          <v:rect style="width:0;height:1.5pt" o:hralign="center" o:hrstd="t" o:hr="t"/>
        </w:pict>
      </w:r>
    </w:p>
    <w:bookmarkEnd w:id="63"/>
    <w:bookmarkStart w:id="66" w:name="X5ce96597587e995a455dfa0e1c0ce5ab4eaf882"/>
    <w:p>
      <w:pPr>
        <w:pStyle w:val="Heading2"/>
      </w:pPr>
      <w:r>
        <w:t xml:space="preserve">2. Competitive Threat Analysis</w:t>
      </w:r>
    </w:p>
    <w:bookmarkStart w:id="64" w:name="X7ca85ca7291d99f7fa0fa1370774ab163ef1cd2"/>
    <w:p>
      <w:pPr>
        <w:pStyle w:val="Heading3"/>
      </w:pPr>
      <w:r>
        <w:t xml:space="preserve">2.1 SchoolPay ERP — Primary Threat</w:t>
      </w:r>
    </w:p>
    <w:p>
      <w:pPr>
        <w:pStyle w:val="FirstParagraph"/>
      </w:pPr>
      <w:r>
        <w:t xml:space="preserve">SchoolPay is the highest-priority threat because it controls the payment infrastructure that ~11,000 Uganda schools already depend on. If SchoolPay invests in building a full ERP (UNEB grading, EMIS, mobile apps, attendance, SIS), it could block Academia Pro's primary conversion path.</w:t>
      </w:r>
    </w:p>
    <w:p>
      <w:pPr>
        <w:pStyle w:val="BodyText"/>
      </w:pPr>
      <w:r>
        <w:rPr>
          <w:b/>
          <w:bCs/>
        </w:rPr>
        <w:t xml:space="preserve">Counter-assessment:</w:t>
      </w:r>
      <w:r>
        <w:t xml:space="preserve"> </w:t>
      </w:r>
      <w:r>
        <w:t xml:space="preserve">SchoolPay is a payment company, not an education software company. Building a production-grade grading engine (UNEB rules are non-trivial), EMIS integration, 6 mobile apps, and a compliant multi-tenant SaaS architecture requires a software engineering investment that falls outside SchoolPay's core competency. The January 2024 ERP launch — nearly 2 years in market — shows limited advancement in school management depth. The risk is real but the timeline for SchoolPay to reach Academia Pro's feature depth is estimated at 3–5 years, assuming continued investment.</w:t>
      </w:r>
    </w:p>
    <w:p>
      <w:pPr>
        <w:pStyle w:val="BodyText"/>
      </w:pPr>
      <w:r>
        <w:rPr>
          <w:b/>
          <w:bCs/>
        </w:rPr>
        <w:t xml:space="preserve">Strategy:</w:t>
      </w:r>
      <w:r>
        <w:t xml:space="preserve"> </w:t>
      </w:r>
      <w:r>
        <w:t xml:space="preserve">Complete Phase 1–8 before SchoolPay can reach full ERP parity. By the time a competitor closes the feature gap, Academia Pro will have 200–400 schools with embedded workflows, trained staff, and 2+ years of student and financial data — high switching cost.</w:t>
      </w:r>
    </w:p>
    <w:bookmarkEnd w:id="64"/>
    <w:bookmarkStart w:id="65" w:name="Xf930b8539074d5227be5435c0464473adafa0e3"/>
    <w:p>
      <w:pPr>
        <w:pStyle w:val="Heading3"/>
      </w:pPr>
      <w:r>
        <w:t xml:space="preserve">2.2 New Entrant Risk</w:t>
      </w:r>
    </w:p>
    <w:p>
      <w:pPr>
        <w:pStyle w:val="FirstParagraph"/>
      </w:pPr>
      <w:r>
        <w:t xml:space="preserve">The Uganda edtech market is small enough to attract a well-funded regional entrant (e.g., a Kenyan startup with M-Pesa + WAEC experience expanding to Uganda). This is a medium-probability, high-impact risk addressed in Section 07 (Risk Register).</w:t>
      </w:r>
    </w:p>
    <w:p>
      <w:r>
        <w:pict>
          <v:rect style="width:0;height:1.5pt" o:hralign="center" o:hrstd="t" o:hr="t"/>
        </w:pict>
      </w:r>
    </w:p>
    <w:bookmarkEnd w:id="65"/>
    <w:bookmarkEnd w:id="66"/>
    <w:bookmarkStart w:id="67" w:name="X04349edf2d05f88815f902ddeb85c5a888fee3a"/>
    <w:p>
      <w:pPr>
        <w:pStyle w:val="Heading2"/>
      </w:pPr>
      <w:r>
        <w:t xml:space="preserve">3. The Academia Pro Competitive Moat — 10-Point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Moat Component</w:t>
            </w:r>
          </w:p>
        </w:tc>
        <w:tc>
          <w:tcPr/>
          <w:p>
            <w:pPr>
              <w:pStyle w:val="Compact"/>
            </w:pPr>
            <w:r>
              <w:t xml:space="preserve">Explanation</w:t>
            </w:r>
          </w:p>
        </w:tc>
      </w:tr>
      <w:tr>
        <w:tc>
          <w:tcPr/>
          <w:p>
            <w:pPr>
              <w:pStyle w:val="Compact"/>
            </w:pPr>
            <w:r>
              <w:t xml:space="preserve">1</w:t>
            </w:r>
          </w:p>
        </w:tc>
        <w:tc>
          <w:tcPr/>
          <w:p>
            <w:pPr>
              <w:pStyle w:val="Compact"/>
            </w:pPr>
            <w:r>
              <w:rPr>
                <w:b/>
                <w:bCs/>
              </w:rPr>
              <w:t xml:space="preserve">UNEB Grading Engine</w:t>
            </w:r>
          </w:p>
        </w:tc>
        <w:tc>
          <w:tcPr/>
          <w:p>
            <w:pPr>
              <w:pStyle w:val="Compact"/>
            </w:pPr>
            <w:r>
              <w:t xml:space="preserve">PLE, UCE, UACE automated computation validated against UNEB samples. No competitor has confirmed this. Wrong grades have serious consequences — schools will not switch away from a system that gets this right.</w:t>
            </w:r>
          </w:p>
        </w:tc>
      </w:tr>
      <w:tr>
        <w:tc>
          <w:tcPr/>
          <w:p>
            <w:pPr>
              <w:pStyle w:val="Compact"/>
            </w:pPr>
            <w:r>
              <w:t xml:space="preserve">2</w:t>
            </w:r>
          </w:p>
        </w:tc>
        <w:tc>
          <w:tcPr/>
          <w:p>
            <w:pPr>
              <w:pStyle w:val="Compact"/>
            </w:pPr>
            <w:r>
              <w:rPr>
                <w:b/>
                <w:bCs/>
              </w:rPr>
              <w:t xml:space="preserve">SchoolPay Integration</w:t>
            </w:r>
          </w:p>
        </w:tc>
        <w:tc>
          <w:tcPr/>
          <w:p>
            <w:pPr>
              <w:pStyle w:val="Compact"/>
            </w:pPr>
            <w:r>
              <w:t xml:space="preserve">Phase 1 SchoolPay webhook + polling reconciliation. Schools already on SchoolPay face zero payment disruption. This removes the #1 adoption barrier.</w:t>
            </w:r>
          </w:p>
        </w:tc>
      </w:tr>
      <w:tr>
        <w:tc>
          <w:tcPr/>
          <w:p>
            <w:pPr>
              <w:pStyle w:val="Compact"/>
            </w:pPr>
            <w:r>
              <w:t xml:space="preserve">3</w:t>
            </w:r>
          </w:p>
        </w:tc>
        <w:tc>
          <w:tcPr/>
          <w:p>
            <w:pPr>
              <w:pStyle w:val="Compact"/>
            </w:pPr>
            <w:r>
              <w:rPr>
                <w:b/>
                <w:bCs/>
              </w:rPr>
              <w:t xml:space="preserve">EMIS Export Compliance</w:t>
            </w:r>
          </w:p>
        </w:tc>
        <w:tc>
          <w:tcPr/>
          <w:p>
            <w:pPr>
              <w:pStyle w:val="Compact"/>
            </w:pPr>
            <w:r>
              <w:t xml:space="preserve">Automated MoES EMIS-format data export. Eliminates 2–4 days of manual annual work per school. Compliance risk reduction creates stickiness.</w:t>
            </w:r>
          </w:p>
        </w:tc>
      </w:tr>
      <w:tr>
        <w:tc>
          <w:tcPr/>
          <w:p>
            <w:pPr>
              <w:pStyle w:val="Compact"/>
            </w:pPr>
            <w:r>
              <w:t xml:space="preserve">4</w:t>
            </w:r>
          </w:p>
        </w:tc>
        <w:tc>
          <w:tcPr/>
          <w:p>
            <w:pPr>
              <w:pStyle w:val="Compact"/>
            </w:pPr>
            <w:r>
              <w:rPr>
                <w:b/>
                <w:bCs/>
              </w:rPr>
              <w:t xml:space="preserve">Uganda 3-Term Calendar Enforcement</w:t>
            </w:r>
          </w:p>
        </w:tc>
        <w:tc>
          <w:tcPr/>
          <w:p>
            <w:pPr>
              <w:pStyle w:val="Compact"/>
            </w:pPr>
            <w:r>
              <w:t xml:space="preserve">Term-based fee structures, attendance cycles, and report card generation are native — not retrofitted from a semester calendar.</w:t>
            </w:r>
          </w:p>
        </w:tc>
      </w:tr>
      <w:tr>
        <w:tc>
          <w:tcPr/>
          <w:p>
            <w:pPr>
              <w:pStyle w:val="Compact"/>
            </w:pPr>
            <w:r>
              <w:t xml:space="preserve">5</w:t>
            </w:r>
          </w:p>
        </w:tc>
        <w:tc>
          <w:tcPr/>
          <w:p>
            <w:pPr>
              <w:pStyle w:val="Compact"/>
            </w:pPr>
            <w:r>
              <w:rPr>
                <w:b/>
                <w:bCs/>
              </w:rPr>
              <w:t xml:space="preserve">Data Safety (90-Day Grace + Archive)</w:t>
            </w:r>
          </w:p>
        </w:tc>
        <w:tc>
          <w:tcPr/>
          <w:p>
            <w:pPr>
              <w:pStyle w:val="Compact"/>
            </w:pPr>
            <w:r>
              <w:t xml:space="preserve">No data deletion on subscription lapse. A direct contrast to ShuleKeeper's 60-day permanent deletion policy. Directly addresses the most cited concern in the Uganda school admin community.</w:t>
            </w:r>
          </w:p>
        </w:tc>
      </w:tr>
      <w:tr>
        <w:tc>
          <w:tcPr/>
          <w:p>
            <w:pPr>
              <w:pStyle w:val="Compact"/>
            </w:pPr>
            <w:r>
              <w:t xml:space="preserve">6</w:t>
            </w:r>
          </w:p>
        </w:tc>
        <w:tc>
          <w:tcPr/>
          <w:p>
            <w:pPr>
              <w:pStyle w:val="Compact"/>
            </w:pPr>
            <w:r>
              <w:rPr>
                <w:b/>
                <w:bCs/>
              </w:rPr>
              <w:t xml:space="preserve">Mobile-First (6 Android Apps, Phase 1–8)</w:t>
            </w:r>
          </w:p>
        </w:tc>
        <w:tc>
          <w:tcPr/>
          <w:p>
            <w:pPr>
              <w:pStyle w:val="Compact"/>
            </w:pPr>
            <w:r>
              <w:t xml:space="preserve">Teacher, Parent, Student, Owner, Driver, Super Admin apps in Kotlin/Jetpack Compose. Most Uganda school staff and parents are smartphone-only.</w:t>
            </w:r>
          </w:p>
        </w:tc>
      </w:tr>
      <w:tr>
        <w:tc>
          <w:tcPr/>
          <w:p>
            <w:pPr>
              <w:pStyle w:val="Compact"/>
            </w:pPr>
            <w:r>
              <w:t xml:space="preserve">7</w:t>
            </w:r>
          </w:p>
        </w:tc>
        <w:tc>
          <w:tcPr/>
          <w:p>
            <w:pPr>
              <w:pStyle w:val="Compact"/>
            </w:pPr>
            <w:r>
              <w:rPr>
                <w:b/>
                <w:bCs/>
              </w:rPr>
              <w:t xml:space="preserve">KUPAA Micro-Payment Model</w:t>
            </w:r>
          </w:p>
        </w:tc>
        <w:tc>
          <w:tcPr/>
          <w:p>
            <w:pPr>
              <w:pStyle w:val="Compact"/>
            </w:pPr>
            <w:r>
              <w:t xml:space="preserve">No minimum payment floor — UGX 500 is a valid partial payment. This matches the cash-flow reality of low-income households in Uganda. No competitor is documented as supporting this model.</w:t>
            </w:r>
          </w:p>
        </w:tc>
      </w:tr>
      <w:tr>
        <w:tc>
          <w:tcPr/>
          <w:p>
            <w:pPr>
              <w:pStyle w:val="Compact"/>
            </w:pPr>
            <w:r>
              <w:t xml:space="preserve">8</w:t>
            </w:r>
          </w:p>
        </w:tc>
        <w:tc>
          <w:tcPr/>
          <w:p>
            <w:pPr>
              <w:pStyle w:val="Compact"/>
            </w:pPr>
            <w:r>
              <w:rPr>
                <w:b/>
                <w:bCs/>
              </w:rPr>
              <w:t xml:space="preserve">Uganda PDPO 2019 Architecture</w:t>
            </w:r>
          </w:p>
        </w:tc>
        <w:tc>
          <w:tcPr/>
          <w:p>
            <w:pPr>
              <w:pStyle w:val="Compact"/>
            </w:pPr>
            <w:r>
              <w:t xml:space="preserve">AES-256 at rest, TLS 1.3 in transit, 7-year record retention, data subject rights implementation, PDPO Office registration, Data Processing Agreements. Competitors show no evidence of formal PDPO compliance.</w:t>
            </w:r>
          </w:p>
        </w:tc>
      </w:tr>
      <w:tr>
        <w:tc>
          <w:tcPr/>
          <w:p>
            <w:pPr>
              <w:pStyle w:val="Compact"/>
            </w:pPr>
            <w:r>
              <w:t xml:space="preserve">9</w:t>
            </w:r>
          </w:p>
        </w:tc>
        <w:tc>
          <w:tcPr/>
          <w:p>
            <w:pPr>
              <w:pStyle w:val="Compact"/>
            </w:pPr>
            <w:r>
              <w:rPr>
                <w:b/>
                <w:bCs/>
              </w:rPr>
              <w:t xml:space="preserve">Offline PWA + Android Offline Sync</w:t>
            </w:r>
          </w:p>
        </w:tc>
        <w:tc>
          <w:tcPr/>
          <w:p>
            <w:pPr>
              <w:pStyle w:val="Compact"/>
            </w:pPr>
            <w:r>
              <w:t xml:space="preserve">Teachers can record attendance and marks without internet. Offline entries sync within 5 minutes of reconnection. Critical for Uganda's variable internet connectivity environment.</w:t>
            </w:r>
          </w:p>
        </w:tc>
      </w:tr>
      <w:tr>
        <w:tc>
          <w:tcPr/>
          <w:p>
            <w:pPr>
              <w:pStyle w:val="Compact"/>
            </w:pPr>
            <w:r>
              <w:t xml:space="preserve">10</w:t>
            </w:r>
          </w:p>
        </w:tc>
        <w:tc>
          <w:tcPr/>
          <w:p>
            <w:pPr>
              <w:pStyle w:val="Compact"/>
            </w:pPr>
            <w:r>
              <w:rPr>
                <w:b/>
                <w:bCs/>
              </w:rPr>
              <w:t xml:space="preserve">Pan-Africa by Architecture</w:t>
            </w:r>
          </w:p>
        </w:tc>
        <w:tc>
          <w:tcPr/>
          <w:p>
            <w:pPr>
              <w:pStyle w:val="Compact"/>
            </w:pPr>
            <w:r>
              <w:t xml:space="preserve">Country profiles (curriculum, payment gateway, currency, locale) are data-driven — not hardcoded. Expansion to Kenya, Tanzania, Nigeria, Ghana does not require a new codebase. This creates a long-term scale moat that Uganda-only competitors cannot match.</w:t>
            </w:r>
          </w:p>
        </w:tc>
      </w:tr>
    </w:tbl>
    <w:p>
      <w:r>
        <w:pict>
          <v:rect style="width:0;height:1.5pt" o:hralign="center" o:hrstd="t" o:hr="t"/>
        </w:pict>
      </w:r>
    </w:p>
    <w:bookmarkEnd w:id="67"/>
    <w:bookmarkStart w:id="68" w:name="X9497dee19a4b5ba6c088b7070df633caf114e8e"/>
    <w:p>
      <w:pPr>
        <w:pStyle w:val="Heading2"/>
      </w:pPr>
      <w:r>
        <w:t xml:space="preserve">4. Feature Comparison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Academia Pro</w:t>
            </w:r>
          </w:p>
        </w:tc>
        <w:tc>
          <w:tcPr/>
          <w:p>
            <w:pPr>
              <w:pStyle w:val="Compact"/>
            </w:pPr>
            <w:r>
              <w:t xml:space="preserve">SchoolPay ERP</w:t>
            </w:r>
          </w:p>
        </w:tc>
        <w:tc>
          <w:tcPr/>
          <w:p>
            <w:pPr>
              <w:pStyle w:val="Compact"/>
            </w:pPr>
            <w:r>
              <w:t xml:space="preserve">ShuleKeeper</w:t>
            </w:r>
          </w:p>
        </w:tc>
        <w:tc>
          <w:tcPr/>
          <w:p>
            <w:pPr>
              <w:pStyle w:val="Compact"/>
            </w:pPr>
            <w:r>
              <w:t xml:space="preserve">Cloud School System</w:t>
            </w:r>
          </w:p>
        </w:tc>
      </w:tr>
      <w:tr>
        <w:tc>
          <w:tcPr/>
          <w:p>
            <w:pPr>
              <w:pStyle w:val="Compact"/>
            </w:pPr>
            <w:r>
              <w:t xml:space="preserve">UNEB PLE/UCE/UACE grading engine</w:t>
            </w:r>
          </w:p>
        </w:tc>
        <w:tc>
          <w:tcPr/>
          <w:p>
            <w:pPr>
              <w:pStyle w:val="Compact"/>
            </w:pPr>
            <w:r>
              <w:t xml:space="preserve">Yes (Phase 1)</w:t>
            </w:r>
          </w:p>
        </w:tc>
        <w:tc>
          <w:tcPr/>
          <w:p>
            <w:pPr>
              <w:pStyle w:val="Compact"/>
            </w:pPr>
            <w:r>
              <w:t xml:space="preserve">No</w:t>
            </w:r>
          </w:p>
        </w:tc>
        <w:tc>
          <w:tcPr/>
          <w:p>
            <w:pPr>
              <w:pStyle w:val="Compact"/>
            </w:pPr>
            <w:r>
              <w:t xml:space="preserve">No</w:t>
            </w:r>
          </w:p>
        </w:tc>
        <w:tc>
          <w:tcPr/>
          <w:p>
            <w:pPr>
              <w:pStyle w:val="Compact"/>
            </w:pPr>
            <w:r>
              <w:t xml:space="preserve">No (unconfirmed)</w:t>
            </w:r>
          </w:p>
        </w:tc>
      </w:tr>
      <w:tr>
        <w:tc>
          <w:tcPr/>
          <w:p>
            <w:pPr>
              <w:pStyle w:val="Compact"/>
            </w:pPr>
            <w:r>
              <w:t xml:space="preserve">SchoolPay integration</w:t>
            </w:r>
          </w:p>
        </w:tc>
        <w:tc>
          <w:tcPr/>
          <w:p>
            <w:pPr>
              <w:pStyle w:val="Compact"/>
            </w:pPr>
            <w:r>
              <w:t xml:space="preserve">Yes (Phase 1)</w:t>
            </w:r>
          </w:p>
        </w:tc>
        <w:tc>
          <w:tcPr/>
          <w:p>
            <w:pPr>
              <w:pStyle w:val="Compact"/>
            </w:pPr>
            <w:r>
              <w:t xml:space="preserve">Native</w:t>
            </w:r>
          </w:p>
        </w:tc>
        <w:tc>
          <w:tcPr/>
          <w:p>
            <w:pPr>
              <w:pStyle w:val="Compact"/>
            </w:pPr>
            <w:r>
              <w:t xml:space="preserve">No</w:t>
            </w:r>
          </w:p>
        </w:tc>
        <w:tc>
          <w:tcPr/>
          <w:p>
            <w:pPr>
              <w:pStyle w:val="Compact"/>
            </w:pPr>
            <w:r>
              <w:t xml:space="preserve">No (unconfirmed)</w:t>
            </w:r>
          </w:p>
        </w:tc>
      </w:tr>
      <w:tr>
        <w:tc>
          <w:tcPr/>
          <w:p>
            <w:pPr>
              <w:pStyle w:val="Compact"/>
            </w:pPr>
            <w:r>
              <w:t xml:space="preserve">MTN MoMo direct</w:t>
            </w:r>
          </w:p>
        </w:tc>
        <w:tc>
          <w:tcPr/>
          <w:p>
            <w:pPr>
              <w:pStyle w:val="Compact"/>
            </w:pPr>
            <w:r>
              <w:t xml:space="preserve">Phase 3 (BoU licence)</w:t>
            </w:r>
          </w:p>
        </w:tc>
        <w:tc>
          <w:tcPr/>
          <w:p>
            <w:pPr>
              <w:pStyle w:val="Compact"/>
            </w:pPr>
            <w:r>
              <w:t xml:space="preserve">Yes</w:t>
            </w:r>
          </w:p>
        </w:tc>
        <w:tc>
          <w:tcPr/>
          <w:p>
            <w:pPr>
              <w:pStyle w:val="Compact"/>
            </w:pPr>
            <w:r>
              <w:t xml:space="preserve">No</w:t>
            </w:r>
          </w:p>
        </w:tc>
        <w:tc>
          <w:tcPr/>
          <w:p>
            <w:pPr>
              <w:pStyle w:val="Compact"/>
            </w:pPr>
            <w:r>
              <w:t xml:space="preserve">Unconfirmed</w:t>
            </w:r>
          </w:p>
        </w:tc>
      </w:tr>
      <w:tr>
        <w:tc>
          <w:tcPr/>
          <w:p>
            <w:pPr>
              <w:pStyle w:val="Compact"/>
            </w:pPr>
            <w:r>
              <w:t xml:space="preserve">EMIS export</w:t>
            </w:r>
          </w:p>
        </w:tc>
        <w:tc>
          <w:tcPr/>
          <w:p>
            <w:pPr>
              <w:pStyle w:val="Compact"/>
            </w:pPr>
            <w:r>
              <w:t xml:space="preserve">Yes (Phase 1)</w:t>
            </w:r>
          </w:p>
        </w:tc>
        <w:tc>
          <w:tcPr/>
          <w:p>
            <w:pPr>
              <w:pStyle w:val="Compact"/>
            </w:pPr>
            <w:r>
              <w:t xml:space="preserve">No</w:t>
            </w:r>
          </w:p>
        </w:tc>
        <w:tc>
          <w:tcPr/>
          <w:p>
            <w:pPr>
              <w:pStyle w:val="Compact"/>
            </w:pPr>
            <w:r>
              <w:t xml:space="preserve">No</w:t>
            </w:r>
          </w:p>
        </w:tc>
        <w:tc>
          <w:tcPr/>
          <w:p>
            <w:pPr>
              <w:pStyle w:val="Compact"/>
            </w:pPr>
            <w:r>
              <w:t xml:space="preserve">No (unconfirmed)</w:t>
            </w:r>
          </w:p>
        </w:tc>
      </w:tr>
      <w:tr>
        <w:tc>
          <w:tcPr/>
          <w:p>
            <w:pPr>
              <w:pStyle w:val="Compact"/>
            </w:pPr>
            <w:r>
              <w:t xml:space="preserve">Native Android apps</w:t>
            </w:r>
          </w:p>
        </w:tc>
        <w:tc>
          <w:tcPr/>
          <w:p>
            <w:pPr>
              <w:pStyle w:val="Compact"/>
            </w:pPr>
            <w:r>
              <w:t xml:space="preserve">6 apps (Phase 6)</w:t>
            </w:r>
          </w:p>
        </w:tc>
        <w:tc>
          <w:tcPr/>
          <w:p>
            <w:pPr>
              <w:pStyle w:val="Compact"/>
            </w:pPr>
            <w:r>
              <w:t xml:space="preserve">No</w:t>
            </w:r>
          </w:p>
        </w:tc>
        <w:tc>
          <w:tcPr/>
          <w:p>
            <w:pPr>
              <w:pStyle w:val="Compact"/>
            </w:pPr>
            <w:r>
              <w:t xml:space="preserve">No</w:t>
            </w:r>
          </w:p>
        </w:tc>
        <w:tc>
          <w:tcPr/>
          <w:p>
            <w:pPr>
              <w:pStyle w:val="Compact"/>
            </w:pPr>
            <w:r>
              <w:t xml:space="preserve">Unconfirmed</w:t>
            </w:r>
          </w:p>
        </w:tc>
      </w:tr>
      <w:tr>
        <w:tc>
          <w:tcPr/>
          <w:p>
            <w:pPr>
              <w:pStyle w:val="Compact"/>
            </w:pPr>
            <w:r>
              <w:t xml:space="preserve">Native iOS apps</w:t>
            </w:r>
          </w:p>
        </w:tc>
        <w:tc>
          <w:tcPr/>
          <w:p>
            <w:pPr>
              <w:pStyle w:val="Compact"/>
            </w:pPr>
            <w:r>
              <w:t xml:space="preserve">6 apps (Phase 10)</w:t>
            </w:r>
          </w:p>
        </w:tc>
        <w:tc>
          <w:tcPr/>
          <w:p>
            <w:pPr>
              <w:pStyle w:val="Compact"/>
            </w:pPr>
            <w:r>
              <w:t xml:space="preserve">No</w:t>
            </w:r>
          </w:p>
        </w:tc>
        <w:tc>
          <w:tcPr/>
          <w:p>
            <w:pPr>
              <w:pStyle w:val="Compact"/>
            </w:pPr>
            <w:r>
              <w:t xml:space="preserve">No</w:t>
            </w:r>
          </w:p>
        </w:tc>
        <w:tc>
          <w:tcPr/>
          <w:p>
            <w:pPr>
              <w:pStyle w:val="Compact"/>
            </w:pPr>
            <w:r>
              <w:t xml:space="preserve">Unconfirmed</w:t>
            </w:r>
          </w:p>
        </w:tc>
      </w:tr>
      <w:tr>
        <w:tc>
          <w:tcPr/>
          <w:p>
            <w:pPr>
              <w:pStyle w:val="Compact"/>
            </w:pPr>
            <w:r>
              <w:t xml:space="preserve">Offline attendance/marks</w:t>
            </w:r>
          </w:p>
        </w:tc>
        <w:tc>
          <w:tcPr/>
          <w:p>
            <w:pPr>
              <w:pStyle w:val="Compact"/>
            </w:pPr>
            <w:r>
              <w:t xml:space="preserve">Yes (PWA + Android)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PDPO 2019 compliant</w:t>
            </w:r>
          </w:p>
        </w:tc>
        <w:tc>
          <w:tcPr/>
          <w:p>
            <w:pPr>
              <w:pStyle w:val="Compact"/>
            </w:pPr>
            <w:r>
              <w:t xml:space="preserve">Yes (Phase 8)</w:t>
            </w:r>
          </w:p>
        </w:tc>
        <w:tc>
          <w:tcPr/>
          <w:p>
            <w:pPr>
              <w:pStyle w:val="Compact"/>
            </w:pPr>
            <w:r>
              <w:t xml:space="preserve">Unconfirmed</w:t>
            </w:r>
          </w:p>
        </w:tc>
        <w:tc>
          <w:tcPr/>
          <w:p>
            <w:pPr>
              <w:pStyle w:val="Compact"/>
            </w:pPr>
            <w:r>
              <w:t xml:space="preserve">No (60-day deletion = violation risk)</w:t>
            </w:r>
          </w:p>
        </w:tc>
        <w:tc>
          <w:tcPr/>
          <w:p>
            <w:pPr>
              <w:pStyle w:val="Compact"/>
            </w:pPr>
            <w:r>
              <w:t xml:space="preserve">Unconfirmed</w:t>
            </w:r>
          </w:p>
        </w:tc>
      </w:tr>
      <w:tr>
        <w:tc>
          <w:tcPr/>
          <w:p>
            <w:pPr>
              <w:pStyle w:val="Compact"/>
            </w:pPr>
            <w:r>
              <w:t xml:space="preserve">Data retention (7-year)</w:t>
            </w:r>
          </w:p>
        </w:tc>
        <w:tc>
          <w:tcPr/>
          <w:p>
            <w:pPr>
              <w:pStyle w:val="Compact"/>
            </w:pPr>
            <w:r>
              <w:t xml:space="preserve">Yes (hard rule)</w:t>
            </w:r>
          </w:p>
        </w:tc>
        <w:tc>
          <w:tcPr/>
          <w:p>
            <w:pPr>
              <w:pStyle w:val="Compact"/>
            </w:pPr>
            <w:r>
              <w:t xml:space="preserve">Unconfirmed</w:t>
            </w:r>
          </w:p>
        </w:tc>
        <w:tc>
          <w:tcPr/>
          <w:p>
            <w:pPr>
              <w:pStyle w:val="Compact"/>
            </w:pPr>
            <w:r>
              <w:t xml:space="preserve">No (60-day deletion)</w:t>
            </w:r>
          </w:p>
        </w:tc>
        <w:tc>
          <w:tcPr/>
          <w:p>
            <w:pPr>
              <w:pStyle w:val="Compact"/>
            </w:pPr>
            <w:r>
              <w:t xml:space="preserve">Unconfirmed</w:t>
            </w:r>
          </w:p>
        </w:tc>
      </w:tr>
      <w:tr>
        <w:tc>
          <w:tcPr/>
          <w:p>
            <w:pPr>
              <w:pStyle w:val="Compact"/>
            </w:pPr>
            <w:r>
              <w:t xml:space="preserve">UGX pricing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Uganda 3-term calendar</w:t>
            </w:r>
          </w:p>
        </w:tc>
        <w:tc>
          <w:tcPr/>
          <w:p>
            <w:pPr>
              <w:pStyle w:val="Compact"/>
            </w:pPr>
            <w:r>
              <w:t xml:space="preserve">Yes (enforced)</w:t>
            </w:r>
          </w:p>
        </w:tc>
        <w:tc>
          <w:tcPr/>
          <w:p>
            <w:pPr>
              <w:pStyle w:val="Compact"/>
            </w:pPr>
            <w:r>
              <w:t xml:space="preserve">Partial</w:t>
            </w:r>
          </w:p>
        </w:tc>
        <w:tc>
          <w:tcPr/>
          <w:p>
            <w:pPr>
              <w:pStyle w:val="Compact"/>
            </w:pPr>
            <w:r>
              <w:t xml:space="preserve">Partial</w:t>
            </w:r>
          </w:p>
        </w:tc>
        <w:tc>
          <w:tcPr/>
          <w:p>
            <w:pPr>
              <w:pStyle w:val="Compact"/>
            </w:pPr>
            <w:r>
              <w:t xml:space="preserve">No</w:t>
            </w:r>
          </w:p>
        </w:tc>
      </w:tr>
      <w:tr>
        <w:tc>
          <w:tcPr/>
          <w:p>
            <w:pPr>
              <w:pStyle w:val="Compact"/>
            </w:pPr>
            <w:r>
              <w:t xml:space="preserve">SLA-backed support</w:t>
            </w:r>
          </w:p>
        </w:tc>
        <w:tc>
          <w:tcPr/>
          <w:p>
            <w:pPr>
              <w:pStyle w:val="Compact"/>
            </w:pPr>
            <w:r>
              <w:t xml:space="preserve">Yes (Phase 12)</w:t>
            </w:r>
          </w:p>
        </w:tc>
        <w:tc>
          <w:tcPr/>
          <w:p>
            <w:pPr>
              <w:pStyle w:val="Compact"/>
            </w:pPr>
            <w:r>
              <w:t xml:space="preserve">Unconfirmed</w:t>
            </w:r>
          </w:p>
        </w:tc>
        <w:tc>
          <w:tcPr/>
          <w:p>
            <w:pPr>
              <w:pStyle w:val="Compact"/>
            </w:pPr>
            <w:r>
              <w:t xml:space="preserve">No (WhatsApp only)</w:t>
            </w:r>
          </w:p>
        </w:tc>
        <w:tc>
          <w:tcPr/>
          <w:p>
            <w:pPr>
              <w:pStyle w:val="Compact"/>
            </w:pPr>
            <w:r>
              <w:t xml:space="preserve">Unconfirmed</w:t>
            </w:r>
          </w:p>
        </w:tc>
      </w:tr>
      <w:tr>
        <w:tc>
          <w:tcPr/>
          <w:p>
            <w:pPr>
              <w:pStyle w:val="Compact"/>
            </w:pPr>
            <w:r>
              <w:t xml:space="preserve">Pan-Africa architecture</w:t>
            </w:r>
          </w:p>
        </w:tc>
        <w:tc>
          <w:tcPr/>
          <w:p>
            <w:pPr>
              <w:pStyle w:val="Compact"/>
            </w:pPr>
            <w:r>
              <w:t xml:space="preserve">Yes (Phase 11)</w:t>
            </w:r>
          </w:p>
        </w:tc>
        <w:tc>
          <w:tcPr/>
          <w:p>
            <w:pPr>
              <w:pStyle w:val="Compact"/>
            </w:pPr>
            <w:r>
              <w:t xml:space="preserve">Uganda only</w:t>
            </w:r>
          </w:p>
        </w:tc>
        <w:tc>
          <w:tcPr/>
          <w:p>
            <w:pPr>
              <w:pStyle w:val="Compact"/>
            </w:pPr>
            <w:r>
              <w:t xml:space="preserve">Uganda only</w:t>
            </w:r>
          </w:p>
        </w:tc>
        <w:tc>
          <w:tcPr/>
          <w:p>
            <w:pPr>
              <w:pStyle w:val="Compact"/>
            </w:pPr>
            <w:r>
              <w:t xml:space="preserve">East Africa</w:t>
            </w:r>
          </w:p>
        </w:tc>
      </w:tr>
    </w:tbl>
    <w:p>
      <w:pPr>
        <w:pStyle w:val="BodyText"/>
      </w:pPr>
      <w:r>
        <w:rPr>
          <w:i/>
          <w:iCs/>
        </w:rPr>
        <w:t xml:space="preserve">"Unconfirmed" = no public documentation confirming support. Not assumed to be supported.</w:t>
      </w:r>
    </w:p>
    <w:bookmarkEnd w:id="68"/>
    <w:bookmarkEnd w:id="69"/>
    <w:bookmarkStart w:id="85" w:name="financial-model--academia-pro"/>
    <w:p>
      <w:pPr>
        <w:pStyle w:val="Heading1"/>
      </w:pPr>
      <w:r>
        <w:t xml:space="preserve">Financial Model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All figures in this section are planning estimates used for investment decision support. They are clearly marked as assumptions, not audited projections. Currency: Uganda Shillings (UGX). Exchange rate assumption: USD 1 = UGX 3,750 (planning rate, March 2026).</w:t>
      </w:r>
    </w:p>
    <w:p>
      <w:r>
        <w:pict>
          <v:rect style="width:0;height:1.5pt" o:hralign="center" o:hrstd="t" o:hr="t"/>
        </w:pict>
      </w:r>
    </w:p>
    <w:bookmarkStart w:id="72" w:name="X56b5b4a9395d9788963b7158a119fe3e197a1ef"/>
    <w:p>
      <w:pPr>
        <w:pStyle w:val="Heading2"/>
      </w:pPr>
      <w:r>
        <w:t xml:space="preserve">1. Pricing Model</w:t>
      </w:r>
    </w:p>
    <w:bookmarkStart w:id="70" w:name="Xc44e34387c1e76342179270d63757fdc4244f21"/>
    <w:p>
      <w:pPr>
        <w:pStyle w:val="Heading3"/>
      </w:pPr>
      <w:r>
        <w:t xml:space="preserve">1.1 Subscription Tiers</w:t>
      </w:r>
    </w:p>
    <w:p>
      <w:pPr>
        <w:pStyle w:val="FirstParagraph"/>
      </w:pPr>
      <w:r>
        <w:t xml:space="preserve">Three tiers, priced per school per month in UGX, billed monthly. Annual prepay receives a 10% discount.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Pupil Range</w:t>
            </w:r>
          </w:p>
        </w:tc>
        <w:tc>
          <w:tcPr/>
          <w:p>
            <w:pPr>
              <w:pStyle w:val="Compact"/>
            </w:pPr>
            <w:r>
              <w:t xml:space="preserve">Monthly Price (UGX)</w:t>
            </w:r>
          </w:p>
        </w:tc>
        <w:tc>
          <w:tcPr/>
          <w:p>
            <w:pPr>
              <w:pStyle w:val="Compact"/>
            </w:pPr>
            <w:r>
              <w:t xml:space="preserve">Annual Price (UGX)</w:t>
            </w:r>
          </w:p>
        </w:tc>
        <w:tc>
          <w:tcPr/>
          <w:p>
            <w:pPr>
              <w:pStyle w:val="Compact"/>
            </w:pPr>
            <w:r>
              <w:t xml:space="preserve">Annual Discount Price (UGX)</w:t>
            </w:r>
          </w:p>
        </w:tc>
      </w:tr>
      <w:tr>
        <w:tc>
          <w:tcPr/>
          <w:p>
            <w:pPr>
              <w:pStyle w:val="Compact"/>
            </w:pPr>
            <w:r>
              <w:rPr>
                <w:b/>
                <w:bCs/>
              </w:rPr>
              <w:t xml:space="preserve">Starter</w:t>
            </w:r>
          </w:p>
        </w:tc>
        <w:tc>
          <w:tcPr/>
          <w:p>
            <w:pPr>
              <w:pStyle w:val="Compact"/>
            </w:pPr>
            <w:r>
              <w:t xml:space="preserve">50–200 pupils</w:t>
            </w:r>
          </w:p>
        </w:tc>
        <w:tc>
          <w:tcPr/>
          <w:p>
            <w:pPr>
              <w:pStyle w:val="Compact"/>
            </w:pPr>
            <w:r>
              <w:t xml:space="preserve">150,000</w:t>
            </w:r>
          </w:p>
        </w:tc>
        <w:tc>
          <w:tcPr/>
          <w:p>
            <w:pPr>
              <w:pStyle w:val="Compact"/>
            </w:pPr>
            <w:r>
              <w:t xml:space="preserve">1,800,000</w:t>
            </w:r>
          </w:p>
        </w:tc>
        <w:tc>
          <w:tcPr/>
          <w:p>
            <w:pPr>
              <w:pStyle w:val="Compact"/>
            </w:pPr>
            <w:r>
              <w:t xml:space="preserve">1,620,000</w:t>
            </w:r>
          </w:p>
        </w:tc>
      </w:tr>
      <w:tr>
        <w:tc>
          <w:tcPr/>
          <w:p>
            <w:pPr>
              <w:pStyle w:val="Compact"/>
            </w:pPr>
            <w:r>
              <w:rPr>
                <w:b/>
                <w:bCs/>
              </w:rPr>
              <w:t xml:space="preserve">Growth</w:t>
            </w:r>
          </w:p>
        </w:tc>
        <w:tc>
          <w:tcPr/>
          <w:p>
            <w:pPr>
              <w:pStyle w:val="Compact"/>
            </w:pPr>
            <w:r>
              <w:t xml:space="preserve">201–500 pupils</w:t>
            </w:r>
          </w:p>
        </w:tc>
        <w:tc>
          <w:tcPr/>
          <w:p>
            <w:pPr>
              <w:pStyle w:val="Compact"/>
            </w:pPr>
            <w:r>
              <w:t xml:space="preserve">280,000</w:t>
            </w:r>
          </w:p>
        </w:tc>
        <w:tc>
          <w:tcPr/>
          <w:p>
            <w:pPr>
              <w:pStyle w:val="Compact"/>
            </w:pPr>
            <w:r>
              <w:t xml:space="preserve">3,360,000</w:t>
            </w:r>
          </w:p>
        </w:tc>
        <w:tc>
          <w:tcPr/>
          <w:p>
            <w:pPr>
              <w:pStyle w:val="Compact"/>
            </w:pPr>
            <w:r>
              <w:t xml:space="preserve">3,024,000</w:t>
            </w:r>
          </w:p>
        </w:tc>
      </w:tr>
      <w:tr>
        <w:tc>
          <w:tcPr/>
          <w:p>
            <w:pPr>
              <w:pStyle w:val="Compact"/>
            </w:pPr>
            <w:r>
              <w:rPr>
                <w:b/>
                <w:bCs/>
              </w:rPr>
              <w:t xml:space="preserve">Pro</w:t>
            </w:r>
          </w:p>
        </w:tc>
        <w:tc>
          <w:tcPr/>
          <w:p>
            <w:pPr>
              <w:pStyle w:val="Compact"/>
            </w:pPr>
            <w:r>
              <w:t xml:space="preserve">501+ pupils</w:t>
            </w:r>
          </w:p>
        </w:tc>
        <w:tc>
          <w:tcPr/>
          <w:p>
            <w:pPr>
              <w:pStyle w:val="Compact"/>
            </w:pPr>
            <w:r>
              <w:t xml:space="preserve">450,000</w:t>
            </w:r>
          </w:p>
        </w:tc>
        <w:tc>
          <w:tcPr/>
          <w:p>
            <w:pPr>
              <w:pStyle w:val="Compact"/>
            </w:pPr>
            <w:r>
              <w:t xml:space="preserve">5,400,000</w:t>
            </w:r>
          </w:p>
        </w:tc>
        <w:tc>
          <w:tcPr/>
          <w:p>
            <w:pPr>
              <w:pStyle w:val="Compact"/>
            </w:pPr>
            <w:r>
              <w:t xml:space="preserve">4,860,000</w:t>
            </w:r>
          </w:p>
        </w:tc>
      </w:tr>
    </w:tbl>
    <w:p>
      <w:pPr>
        <w:pStyle w:val="BodyText"/>
      </w:pPr>
      <w:r>
        <w:rPr>
          <w:b/>
          <w:bCs/>
        </w:rPr>
        <w:t xml:space="preserve">Pricing assumptions and rationale:</w:t>
      </w:r>
    </w:p>
    <w:p>
      <w:pPr>
        <w:pStyle w:val="Compact"/>
        <w:numPr>
          <w:ilvl w:val="0"/>
          <w:numId w:val="1022"/>
        </w:numPr>
      </w:pPr>
      <w:r>
        <w:t xml:space="preserve">UGX 150,000/month (Starter) = approximately USD 40/month. A 150-pupil school collecting UGX 1,500 per pupil per term in fees generates UGX 675,000/term in fee revenue. The SaaS subscription is 7% of one month's term fee — within range for a product that automates reconciliation, reporting, and UNEB grading.</w:t>
      </w:r>
    </w:p>
    <w:p>
      <w:pPr>
        <w:pStyle w:val="Compact"/>
        <w:numPr>
          <w:ilvl w:val="0"/>
          <w:numId w:val="1022"/>
        </w:numPr>
      </w:pPr>
      <w:r>
        <w:t xml:space="preserve">UGX 280,000/month (Growth) = approximately USD 75/month. A 350-pupil school at UGX 2,000/term collects UGX 2,100,000/term. The subscription is 4% of one term's fee collection.</w:t>
      </w:r>
    </w:p>
    <w:p>
      <w:pPr>
        <w:pStyle w:val="Compact"/>
        <w:numPr>
          <w:ilvl w:val="0"/>
          <w:numId w:val="1022"/>
        </w:numPr>
      </w:pPr>
      <w:r>
        <w:t xml:space="preserve">UGX 450,000/month (Pro) = approximately USD 120/month. A 700-pupil school at UGX 3,000/term collects UGX 6,300,000/term. The subscription is 2% of one term's fee collection.</w:t>
      </w:r>
    </w:p>
    <w:p>
      <w:pPr>
        <w:pStyle w:val="Compact"/>
        <w:numPr>
          <w:ilvl w:val="0"/>
          <w:numId w:val="1022"/>
        </w:numPr>
      </w:pPr>
      <w:r>
        <w:t xml:space="preserve">These are launch prices. Pricing is reviewed annually. ARPU growth is expected as optional modules (Phase 2) are activated.</w:t>
      </w:r>
    </w:p>
    <w:bookmarkEnd w:id="70"/>
    <w:bookmarkStart w:id="71" w:name="X4ea7177ffe8dd753b6d22186eaaae80a6f8b0e1"/>
    <w:p>
      <w:pPr>
        <w:pStyle w:val="Heading3"/>
      </w:pPr>
      <w:r>
        <w:t xml:space="preserve">1.2 Revenue Mix Assumption</w:t>
      </w:r>
    </w:p>
    <w:p>
      <w:pPr>
        <w:pStyle w:val="FirstParagraph"/>
      </w:pPr>
      <w:r>
        <w:rPr>
          <w:b/>
          <w:bCs/>
        </w:rPr>
        <w:t xml:space="preserve">Assumption F1:</w:t>
      </w:r>
      <w:r>
        <w:t xml:space="preserve"> </w:t>
      </w:r>
      <w:r>
        <w:t xml:space="preserve">School distribution across tiers at Year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 of Schools</w:t>
            </w:r>
          </w:p>
        </w:tc>
        <w:tc>
          <w:tcPr/>
          <w:p>
            <w:pPr>
              <w:pStyle w:val="Compact"/>
            </w:pPr>
            <w:r>
              <w:t xml:space="preserve">Conservative (300 schools)</w:t>
            </w:r>
          </w:p>
        </w:tc>
        <w:tc>
          <w:tcPr/>
          <w:p>
            <w:pPr>
              <w:pStyle w:val="Compact"/>
            </w:pPr>
            <w:r>
              <w:t xml:space="preserve">Optimistic (600 schools)</w:t>
            </w:r>
          </w:p>
        </w:tc>
      </w:tr>
      <w:tr>
        <w:tc>
          <w:tcPr/>
          <w:p>
            <w:pPr>
              <w:pStyle w:val="Compact"/>
            </w:pPr>
            <w:r>
              <w:t xml:space="preserve">Starter</w:t>
            </w:r>
          </w:p>
        </w:tc>
        <w:tc>
          <w:tcPr/>
          <w:p>
            <w:pPr>
              <w:pStyle w:val="Compact"/>
            </w:pPr>
            <w:r>
              <w:t xml:space="preserve">55%</w:t>
            </w:r>
          </w:p>
        </w:tc>
        <w:tc>
          <w:tcPr/>
          <w:p>
            <w:pPr>
              <w:pStyle w:val="Compact"/>
            </w:pPr>
            <w:r>
              <w:t xml:space="preserve">165</w:t>
            </w:r>
          </w:p>
        </w:tc>
        <w:tc>
          <w:tcPr/>
          <w:p>
            <w:pPr>
              <w:pStyle w:val="Compact"/>
            </w:pPr>
            <w:r>
              <w:t xml:space="preserve">330</w:t>
            </w:r>
          </w:p>
        </w:tc>
      </w:tr>
      <w:tr>
        <w:tc>
          <w:tcPr/>
          <w:p>
            <w:pPr>
              <w:pStyle w:val="Compact"/>
            </w:pPr>
            <w:r>
              <w:t xml:space="preserve">Growth</w:t>
            </w:r>
          </w:p>
        </w:tc>
        <w:tc>
          <w:tcPr/>
          <w:p>
            <w:pPr>
              <w:pStyle w:val="Compact"/>
            </w:pPr>
            <w:r>
              <w:t xml:space="preserve">35%</w:t>
            </w:r>
          </w:p>
        </w:tc>
        <w:tc>
          <w:tcPr/>
          <w:p>
            <w:pPr>
              <w:pStyle w:val="Compact"/>
            </w:pPr>
            <w:r>
              <w:t xml:space="preserve">105</w:t>
            </w:r>
          </w:p>
        </w:tc>
        <w:tc>
          <w:tcPr/>
          <w:p>
            <w:pPr>
              <w:pStyle w:val="Compact"/>
            </w:pPr>
            <w:r>
              <w:t xml:space="preserve">210</w:t>
            </w:r>
          </w:p>
        </w:tc>
      </w:tr>
      <w:tr>
        <w:tc>
          <w:tcPr/>
          <w:p>
            <w:pPr>
              <w:pStyle w:val="Compact"/>
            </w:pPr>
            <w:r>
              <w:t xml:space="preserve">Pro</w:t>
            </w:r>
          </w:p>
        </w:tc>
        <w:tc>
          <w:tcPr/>
          <w:p>
            <w:pPr>
              <w:pStyle w:val="Compact"/>
            </w:pPr>
            <w:r>
              <w:t xml:space="preserve">10%</w:t>
            </w:r>
          </w:p>
        </w:tc>
        <w:tc>
          <w:tcPr/>
          <w:p>
            <w:pPr>
              <w:pStyle w:val="Compact"/>
            </w:pPr>
            <w:r>
              <w:t xml:space="preserve">30</w:t>
            </w:r>
          </w:p>
        </w:tc>
        <w:tc>
          <w:tcPr/>
          <w:p>
            <w:pPr>
              <w:pStyle w:val="Compact"/>
            </w:pPr>
            <w:r>
              <w:t xml:space="preserve">60</w:t>
            </w:r>
          </w:p>
        </w:tc>
      </w:tr>
    </w:tbl>
    <w:p>
      <w:pPr>
        <w:pStyle w:val="BodyText"/>
      </w:pPr>
      <w:r>
        <w:rPr>
          <w:b/>
          <w:bCs/>
        </w:rPr>
        <w:t xml:space="preserve">Blended ARPU calculation (conservative Year 3):</w:t>
      </w:r>
    </w:p>
    <w:p>
      <w:pPr>
        <w:pStyle w:val="BodyText"/>
      </w:pPr>
      <m:oMathPara>
        <m:oMathParaPr>
          <m:jc m:val="center"/>
        </m:oMathParaPr>
        <m:oMath>
          <m:r>
            <m:t>A</m:t>
          </m:r>
          <m:r>
            <m:t>R</m:t>
          </m:r>
          <m:r>
            <m:t>P</m:t>
          </m:r>
          <m:r>
            <m:t>U</m:t>
          </m:r>
          <m:r>
            <m:rPr>
              <m:sty m:val="p"/>
            </m:rPr>
            <m:t>=</m:t>
          </m:r>
          <m:f>
            <m:fPr>
              <m:type m:val="bar"/>
            </m:fPr>
            <m:num>
              <m:r>
                <m:rPr>
                  <m:sty m:val="p"/>
                </m:rPr>
                <m:t>(</m:t>
              </m:r>
              <m:r>
                <m:t>165</m:t>
              </m:r>
              <m:r>
                <m:rPr>
                  <m:sty m:val="p"/>
                </m:rPr>
                <m:t>×</m:t>
              </m:r>
              <m:r>
                <m:t>150</m:t>
              </m:r>
              <m:r>
                <m:rPr>
                  <m:sty m:val="p"/>
                </m:rPr>
                <m:t>,</m:t>
              </m:r>
              <m:r>
                <m:t>000</m:t>
              </m:r>
              <m:r>
                <m:rPr>
                  <m:sty m:val="p"/>
                </m:rPr>
                <m:t>)</m:t>
              </m:r>
              <m:r>
                <m:rPr>
                  <m:sty m:val="p"/>
                </m:rPr>
                <m:t>+</m:t>
              </m:r>
              <m:r>
                <m:rPr>
                  <m:sty m:val="p"/>
                </m:rPr>
                <m:t>(</m:t>
              </m:r>
              <m:r>
                <m:t>105</m:t>
              </m:r>
              <m:r>
                <m:rPr>
                  <m:sty m:val="p"/>
                </m:rPr>
                <m:t>×</m:t>
              </m:r>
              <m:r>
                <m:t>280</m:t>
              </m:r>
              <m:r>
                <m:rPr>
                  <m:sty m:val="p"/>
                </m:rPr>
                <m:t>,</m:t>
              </m:r>
              <m:r>
                <m:t>000</m:t>
              </m:r>
              <m:r>
                <m:rPr>
                  <m:sty m:val="p"/>
                </m:rPr>
                <m:t>)</m:t>
              </m:r>
              <m:r>
                <m:rPr>
                  <m:sty m:val="p"/>
                </m:rPr>
                <m:t>+</m:t>
              </m:r>
              <m:r>
                <m:rPr>
                  <m:sty m:val="p"/>
                </m:rPr>
                <m:t>(</m:t>
              </m:r>
              <m:r>
                <m:t>30</m:t>
              </m:r>
              <m:r>
                <m:rPr>
                  <m:sty m:val="p"/>
                </m:rPr>
                <m:t>×</m:t>
              </m:r>
              <m:r>
                <m:t>450</m:t>
              </m:r>
              <m:r>
                <m:rPr>
                  <m:sty m:val="p"/>
                </m:rPr>
                <m:t>,</m:t>
              </m:r>
              <m:r>
                <m:t>000</m:t>
              </m:r>
              <m:r>
                <m:rPr>
                  <m:sty m:val="p"/>
                </m:rPr>
                <m:t>)</m:t>
              </m:r>
            </m:num>
            <m:den>
              <m:r>
                <m:t>300</m:t>
              </m:r>
            </m:den>
          </m:f>
        </m:oMath>
      </m:oMathPara>
    </w:p>
    <w:p>
      <w:pPr>
        <w:pStyle w:val="FirstParagraph"/>
      </w:pPr>
      <m:oMathPara>
        <m:oMathParaPr>
          <m:jc m:val="center"/>
        </m:oMathParaPr>
        <m:oMath>
          <m:r>
            <m:t>A</m:t>
          </m:r>
          <m:r>
            <m:t>R</m:t>
          </m:r>
          <m:r>
            <m:t>P</m:t>
          </m:r>
          <m:r>
            <m:t>U</m:t>
          </m:r>
          <m:r>
            <m:rPr>
              <m:sty m:val="p"/>
            </m:rPr>
            <m:t>=</m:t>
          </m:r>
          <m:f>
            <m:fPr>
              <m:type m:val="bar"/>
            </m:fPr>
            <m:num>
              <m:r>
                <m:t>24</m:t>
              </m:r>
              <m:r>
                <m:rPr>
                  <m:sty m:val="p"/>
                </m:rPr>
                <m:t>,</m:t>
              </m:r>
              <m:r>
                <m:t>750</m:t>
              </m:r>
              <m:r>
                <m:rPr>
                  <m:sty m:val="p"/>
                </m:rPr>
                <m:t>,</m:t>
              </m:r>
              <m:r>
                <m:t>000</m:t>
              </m:r>
              <m:r>
                <m:rPr>
                  <m:sty m:val="p"/>
                </m:rPr>
                <m:t>+</m:t>
              </m:r>
              <m:r>
                <m:t>29</m:t>
              </m:r>
              <m:r>
                <m:rPr>
                  <m:sty m:val="p"/>
                </m:rPr>
                <m:t>,</m:t>
              </m:r>
              <m:r>
                <m:t>400</m:t>
              </m:r>
              <m:r>
                <m:rPr>
                  <m:sty m:val="p"/>
                </m:rPr>
                <m:t>,</m:t>
              </m:r>
              <m:r>
                <m:t>000</m:t>
              </m:r>
              <m:r>
                <m:rPr>
                  <m:sty m:val="p"/>
                </m:rPr>
                <m:t>+</m:t>
              </m:r>
              <m:r>
                <m:t>13</m:t>
              </m:r>
              <m:r>
                <m:rPr>
                  <m:sty m:val="p"/>
                </m:rPr>
                <m:t>,</m:t>
              </m:r>
              <m:r>
                <m:t>500</m:t>
              </m:r>
              <m:r>
                <m:rPr>
                  <m:sty m:val="p"/>
                </m:rPr>
                <m:t>,</m:t>
              </m:r>
              <m:r>
                <m:t>000</m:t>
              </m:r>
            </m:num>
            <m:den>
              <m:r>
                <m:t>300</m:t>
              </m:r>
            </m:den>
          </m:f>
          <m:r>
            <m:rPr>
              <m:sty m:val="p"/>
            </m:rPr>
            <m:t>=</m:t>
          </m:r>
          <m:f>
            <m:fPr>
              <m:type m:val="bar"/>
            </m:fPr>
            <m:num>
              <m:r>
                <m:t>67</m:t>
              </m:r>
              <m:r>
                <m:rPr>
                  <m:sty m:val="p"/>
                </m:rPr>
                <m:t>,</m:t>
              </m:r>
              <m:r>
                <m:t>650</m:t>
              </m:r>
              <m:r>
                <m:rPr>
                  <m:sty m:val="p"/>
                </m:rPr>
                <m:t>,</m:t>
              </m:r>
              <m:r>
                <m:t>000</m:t>
              </m:r>
            </m:num>
            <m:den>
              <m:r>
                <m:t>300</m:t>
              </m:r>
            </m:den>
          </m:f>
          <m:r>
            <m:rPr>
              <m:sty m:val="p"/>
            </m:rPr>
            <m:t>=</m:t>
          </m:r>
          <m:r>
            <m:t>U</m:t>
          </m:r>
          <m:r>
            <m:t>G</m:t>
          </m:r>
          <m:r>
            <m:t>X</m:t>
          </m:r>
          <m:r>
            <m:t> </m:t>
          </m:r>
          <m:r>
            <m:t>225</m:t>
          </m:r>
          <m:r>
            <m:rPr>
              <m:sty m:val="p"/>
            </m:rPr>
            <m:t>,</m:t>
          </m:r>
          <m:r>
            <m:t>500</m:t>
          </m:r>
          <m:r>
            <m:rPr>
              <m:sty m:val="p"/>
            </m:rPr>
            <m:t>/</m:t>
          </m:r>
          <m:r>
            <m:t>m</m:t>
          </m:r>
          <m:r>
            <m:t>o</m:t>
          </m:r>
          <m:r>
            <m:t>n</m:t>
          </m:r>
          <m:r>
            <m:t>t</m:t>
          </m:r>
          <m:r>
            <m:t>h</m:t>
          </m:r>
        </m:oMath>
      </m:oMathPara>
    </w:p>
    <w:p>
      <w:r>
        <w:pict>
          <v:rect style="width:0;height:1.5pt" o:hralign="center" o:hrstd="t" o:hr="t"/>
        </w:pict>
      </w:r>
    </w:p>
    <w:bookmarkEnd w:id="71"/>
    <w:bookmarkEnd w:id="72"/>
    <w:bookmarkStart w:id="76" w:name="X8881deb9bb4601c2eb57f2f7cd7eaa58501a89d"/>
    <w:p>
      <w:pPr>
        <w:pStyle w:val="Heading2"/>
      </w:pPr>
      <w:r>
        <w:t xml:space="preserve">2. Revenue Projections</w:t>
      </w:r>
    </w:p>
    <w:bookmarkStart w:id="73" w:name="X9fa022119ced609d83c1ba44fa84c18201d0a2e"/>
    <w:p>
      <w:pPr>
        <w:pStyle w:val="Heading3"/>
      </w:pPr>
      <w:r>
        <w:t xml:space="preserve">2.1 Conservative Scenario</w:t>
      </w:r>
    </w:p>
    <w:p>
      <w:pPr>
        <w:pStyle w:val="FirstParagraph"/>
      </w:pPr>
      <w:r>
        <w:rPr>
          <w:b/>
          <w:bCs/>
        </w:rPr>
        <w:t xml:space="preserve">Assumption F2 (Conservative):</w:t>
      </w:r>
      <w:r>
        <w:t xml:space="preserve"> </w:t>
      </w:r>
      <w:r>
        <w:t xml:space="preserve">50 schools at Phase 8 go-live (Year 1), 150 schools by Year 2, 300 schools by Year 3. Average school onboards at Starter tier; upgrades to Growth within 6 months.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Schools</w:t>
            </w:r>
          </w:p>
        </w:tc>
        <w:tc>
          <w:tcPr/>
          <w:p>
            <w:pPr>
              <w:pStyle w:val="Compact"/>
            </w:pPr>
            <w:r>
              <w:t xml:space="preserve">Blended ARPU (UGX/mo)</w:t>
            </w:r>
          </w:p>
        </w:tc>
        <w:tc>
          <w:tcPr/>
          <w:p>
            <w:pPr>
              <w:pStyle w:val="Compact"/>
            </w:pPr>
            <w:r>
              <w:t xml:space="preserve">Annual Revenue (UGX)</w:t>
            </w:r>
          </w:p>
        </w:tc>
        <w:tc>
          <w:tcPr/>
          <w:p>
            <w:pPr>
              <w:pStyle w:val="Compact"/>
            </w:pPr>
            <w:r>
              <w:t xml:space="preserve">Annual Revenue (USD)</w:t>
            </w:r>
          </w:p>
        </w:tc>
      </w:tr>
      <w:tr>
        <w:tc>
          <w:tcPr/>
          <w:p>
            <w:pPr>
              <w:pStyle w:val="Compact"/>
            </w:pPr>
            <w:r>
              <w:t xml:space="preserve">Year 1</w:t>
            </w:r>
          </w:p>
        </w:tc>
        <w:tc>
          <w:tcPr/>
          <w:p>
            <w:pPr>
              <w:pStyle w:val="Compact"/>
            </w:pPr>
            <w:r>
              <w:t xml:space="preserve">50</w:t>
            </w:r>
          </w:p>
        </w:tc>
        <w:tc>
          <w:tcPr/>
          <w:p>
            <w:pPr>
              <w:pStyle w:val="Compact"/>
            </w:pPr>
            <w:r>
              <w:t xml:space="preserve">175,000</w:t>
            </w:r>
          </w:p>
        </w:tc>
        <w:tc>
          <w:tcPr/>
          <w:p>
            <w:pPr>
              <w:pStyle w:val="Compact"/>
            </w:pPr>
            <w:r>
              <w:t xml:space="preserve">105,000,000</w:t>
            </w:r>
          </w:p>
        </w:tc>
        <w:tc>
          <w:tcPr/>
          <w:p>
            <w:pPr>
              <w:pStyle w:val="Compact"/>
            </w:pPr>
            <w:r>
              <w:t xml:space="preserve">~28,000</w:t>
            </w:r>
          </w:p>
        </w:tc>
      </w:tr>
      <w:tr>
        <w:tc>
          <w:tcPr/>
          <w:p>
            <w:pPr>
              <w:pStyle w:val="Compact"/>
            </w:pPr>
            <w:r>
              <w:t xml:space="preserve">Year 2</w:t>
            </w:r>
          </w:p>
        </w:tc>
        <w:tc>
          <w:tcPr/>
          <w:p>
            <w:pPr>
              <w:pStyle w:val="Compact"/>
            </w:pPr>
            <w:r>
              <w:t xml:space="preserve">150</w:t>
            </w:r>
          </w:p>
        </w:tc>
        <w:tc>
          <w:tcPr/>
          <w:p>
            <w:pPr>
              <w:pStyle w:val="Compact"/>
            </w:pPr>
            <w:r>
              <w:t xml:space="preserve">210,000</w:t>
            </w:r>
          </w:p>
        </w:tc>
        <w:tc>
          <w:tcPr/>
          <w:p>
            <w:pPr>
              <w:pStyle w:val="Compact"/>
            </w:pPr>
            <w:r>
              <w:t xml:space="preserve">378,000,000</w:t>
            </w:r>
          </w:p>
        </w:tc>
        <w:tc>
          <w:tcPr/>
          <w:p>
            <w:pPr>
              <w:pStyle w:val="Compact"/>
            </w:pPr>
            <w:r>
              <w:t xml:space="preserve">~100,800</w:t>
            </w:r>
          </w:p>
        </w:tc>
      </w:tr>
      <w:tr>
        <w:tc>
          <w:tcPr/>
          <w:p>
            <w:pPr>
              <w:pStyle w:val="Compact"/>
            </w:pPr>
            <w:r>
              <w:t xml:space="preserve">Year 3</w:t>
            </w:r>
          </w:p>
        </w:tc>
        <w:tc>
          <w:tcPr/>
          <w:p>
            <w:pPr>
              <w:pStyle w:val="Compact"/>
            </w:pPr>
            <w:r>
              <w:t xml:space="preserve">300</w:t>
            </w:r>
          </w:p>
        </w:tc>
        <w:tc>
          <w:tcPr/>
          <w:p>
            <w:pPr>
              <w:pStyle w:val="Compact"/>
            </w:pPr>
            <w:r>
              <w:t xml:space="preserve">225,500</w:t>
            </w:r>
          </w:p>
        </w:tc>
        <w:tc>
          <w:tcPr/>
          <w:p>
            <w:pPr>
              <w:pStyle w:val="Compact"/>
            </w:pPr>
            <w:r>
              <w:t xml:space="preserve">811,800,000</w:t>
            </w:r>
          </w:p>
        </w:tc>
        <w:tc>
          <w:tcPr/>
          <w:p>
            <w:pPr>
              <w:pStyle w:val="Compact"/>
            </w:pPr>
            <w:r>
              <w:t xml:space="preserve">~216,480</w:t>
            </w:r>
          </w:p>
        </w:tc>
      </w:tr>
    </w:tbl>
    <w:p>
      <w:pPr>
        <w:pStyle w:val="BodyText"/>
      </w:pPr>
      <w:r>
        <w:t xml:space="preserve">Year 1 ARPU is lower (50,000 below Year 3) because the school cohort is predominantly Starter-tier early adopters. ARPU rises as Phase 2 optional modules are activated and the Growth/Pro mix grows.</w:t>
      </w:r>
    </w:p>
    <w:bookmarkEnd w:id="73"/>
    <w:bookmarkStart w:id="74" w:name="X0f8428bb948a52887ae72b078415175b22264f4"/>
    <w:p>
      <w:pPr>
        <w:pStyle w:val="Heading3"/>
      </w:pPr>
      <w:r>
        <w:t xml:space="preserve">2.2 Optimistic Scenario</w:t>
      </w:r>
    </w:p>
    <w:p>
      <w:pPr>
        <w:pStyle w:val="FirstParagraph"/>
      </w:pPr>
      <w:r>
        <w:rPr>
          <w:b/>
          <w:bCs/>
        </w:rPr>
        <w:t xml:space="preserve">Assumption F3 (Optimistic):</w:t>
      </w:r>
      <w:r>
        <w:t xml:space="preserve"> </w:t>
      </w:r>
      <w:r>
        <w:t xml:space="preserve">100 schools at Year 1, 300 at Year 2, 600 at Year 3. Assumes faster word-of-mouth conversion within the SchoolPay school network.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Schools</w:t>
            </w:r>
          </w:p>
        </w:tc>
        <w:tc>
          <w:tcPr/>
          <w:p>
            <w:pPr>
              <w:pStyle w:val="Compact"/>
            </w:pPr>
            <w:r>
              <w:t xml:space="preserve">Blended ARPU (UGX/mo)</w:t>
            </w:r>
          </w:p>
        </w:tc>
        <w:tc>
          <w:tcPr/>
          <w:p>
            <w:pPr>
              <w:pStyle w:val="Compact"/>
            </w:pPr>
            <w:r>
              <w:t xml:space="preserve">Annual Revenue (UGX)</w:t>
            </w:r>
          </w:p>
        </w:tc>
        <w:tc>
          <w:tcPr/>
          <w:p>
            <w:pPr>
              <w:pStyle w:val="Compact"/>
            </w:pPr>
            <w:r>
              <w:t xml:space="preserve">Annual Revenue (USD)</w:t>
            </w:r>
          </w:p>
        </w:tc>
      </w:tr>
      <w:tr>
        <w:tc>
          <w:tcPr/>
          <w:p>
            <w:pPr>
              <w:pStyle w:val="Compact"/>
            </w:pPr>
            <w:r>
              <w:t xml:space="preserve">Year 1</w:t>
            </w:r>
          </w:p>
        </w:tc>
        <w:tc>
          <w:tcPr/>
          <w:p>
            <w:pPr>
              <w:pStyle w:val="Compact"/>
            </w:pPr>
            <w:r>
              <w:t xml:space="preserve">100</w:t>
            </w:r>
          </w:p>
        </w:tc>
        <w:tc>
          <w:tcPr/>
          <w:p>
            <w:pPr>
              <w:pStyle w:val="Compact"/>
            </w:pPr>
            <w:r>
              <w:t xml:space="preserve">175,000</w:t>
            </w:r>
          </w:p>
        </w:tc>
        <w:tc>
          <w:tcPr/>
          <w:p>
            <w:pPr>
              <w:pStyle w:val="Compact"/>
            </w:pPr>
            <w:r>
              <w:t xml:space="preserve">210,000,000</w:t>
            </w:r>
          </w:p>
        </w:tc>
        <w:tc>
          <w:tcPr/>
          <w:p>
            <w:pPr>
              <w:pStyle w:val="Compact"/>
            </w:pPr>
            <w:r>
              <w:t xml:space="preserve">~56,000</w:t>
            </w:r>
          </w:p>
        </w:tc>
      </w:tr>
      <w:tr>
        <w:tc>
          <w:tcPr/>
          <w:p>
            <w:pPr>
              <w:pStyle w:val="Compact"/>
            </w:pPr>
            <w:r>
              <w:t xml:space="preserve">Year 2</w:t>
            </w:r>
          </w:p>
        </w:tc>
        <w:tc>
          <w:tcPr/>
          <w:p>
            <w:pPr>
              <w:pStyle w:val="Compact"/>
            </w:pPr>
            <w:r>
              <w:t xml:space="preserve">300</w:t>
            </w:r>
          </w:p>
        </w:tc>
        <w:tc>
          <w:tcPr/>
          <w:p>
            <w:pPr>
              <w:pStyle w:val="Compact"/>
            </w:pPr>
            <w:r>
              <w:t xml:space="preserve">210,000</w:t>
            </w:r>
          </w:p>
        </w:tc>
        <w:tc>
          <w:tcPr/>
          <w:p>
            <w:pPr>
              <w:pStyle w:val="Compact"/>
            </w:pPr>
            <w:r>
              <w:t xml:space="preserve">756,000,000</w:t>
            </w:r>
          </w:p>
        </w:tc>
        <w:tc>
          <w:tcPr/>
          <w:p>
            <w:pPr>
              <w:pStyle w:val="Compact"/>
            </w:pPr>
            <w:r>
              <w:t xml:space="preserve">~201,600</w:t>
            </w:r>
          </w:p>
        </w:tc>
      </w:tr>
      <w:tr>
        <w:tc>
          <w:tcPr/>
          <w:p>
            <w:pPr>
              <w:pStyle w:val="Compact"/>
            </w:pPr>
            <w:r>
              <w:t xml:space="preserve">Year 3</w:t>
            </w:r>
          </w:p>
        </w:tc>
        <w:tc>
          <w:tcPr/>
          <w:p>
            <w:pPr>
              <w:pStyle w:val="Compact"/>
            </w:pPr>
            <w:r>
              <w:t xml:space="preserve">600</w:t>
            </w:r>
          </w:p>
        </w:tc>
        <w:tc>
          <w:tcPr/>
          <w:p>
            <w:pPr>
              <w:pStyle w:val="Compact"/>
            </w:pPr>
            <w:r>
              <w:t xml:space="preserve">225,500</w:t>
            </w:r>
          </w:p>
        </w:tc>
        <w:tc>
          <w:tcPr/>
          <w:p>
            <w:pPr>
              <w:pStyle w:val="Compact"/>
            </w:pPr>
            <w:r>
              <w:t xml:space="preserve">1,623,600,000</w:t>
            </w:r>
          </w:p>
        </w:tc>
        <w:tc>
          <w:tcPr/>
          <w:p>
            <w:pPr>
              <w:pStyle w:val="Compact"/>
            </w:pPr>
            <w:r>
              <w:t xml:space="preserve">~432,960</w:t>
            </w:r>
          </w:p>
        </w:tc>
      </w:tr>
    </w:tbl>
    <w:bookmarkEnd w:id="74"/>
    <w:bookmarkStart w:id="75" w:name="Xeeec5772511717074bc2e28c3607886a4c962ae"/>
    <w:p>
      <w:pPr>
        <w:pStyle w:val="Heading3"/>
      </w:pPr>
      <w:r>
        <w:t xml:space="preserve">2.3 Revenue Formula</w:t>
      </w:r>
    </w:p>
    <w:p>
      <w:pPr>
        <w:pStyle w:val="FirstParagraph"/>
      </w:pPr>
      <m:oMathPara>
        <m:oMathParaPr>
          <m:jc m:val="center"/>
        </m:oMathParaPr>
        <m:oMath>
          <m:r>
            <m:t>R</m:t>
          </m:r>
          <m:r>
            <m:t>e</m:t>
          </m:r>
          <m:r>
            <m:t>v</m:t>
          </m:r>
          <m:r>
            <m:t>e</m:t>
          </m:r>
          <m:r>
            <m:t>n</m:t>
          </m:r>
          <m:r>
            <m:t>u</m:t>
          </m:r>
          <m:sSub>
            <m:e>
              <m:r>
                <m:t>e</m:t>
              </m:r>
            </m:e>
            <m:sub>
              <m:r>
                <m:t>a</m:t>
              </m:r>
              <m:r>
                <m:t>n</m:t>
              </m:r>
              <m:r>
                <m:t>n</m:t>
              </m:r>
              <m:r>
                <m:t>u</m:t>
              </m:r>
              <m:r>
                <m:t>a</m:t>
              </m:r>
              <m:r>
                <m:t>l</m:t>
              </m:r>
            </m:sub>
          </m:sSub>
          <m:r>
            <m:rPr>
              <m:sty m:val="p"/>
            </m:rPr>
            <m:t>=</m:t>
          </m:r>
          <m:r>
            <m:t>S</m:t>
          </m:r>
          <m:r>
            <m:t>c</m:t>
          </m:r>
          <m:r>
            <m:t>h</m:t>
          </m:r>
          <m:r>
            <m:t>o</m:t>
          </m:r>
          <m:r>
            <m:t>o</m:t>
          </m:r>
          <m:r>
            <m:t>l</m:t>
          </m:r>
          <m:r>
            <m:t>s</m:t>
          </m:r>
          <m:r>
            <m:rPr>
              <m:sty m:val="p"/>
            </m:rPr>
            <m:t>×</m:t>
          </m:r>
          <m:r>
            <m:t>A</m:t>
          </m:r>
          <m:r>
            <m:t>R</m:t>
          </m:r>
          <m:r>
            <m:t>P</m:t>
          </m:r>
          <m:sSub>
            <m:e>
              <m:r>
                <m:t>U</m:t>
              </m:r>
            </m:e>
            <m:sub>
              <m:r>
                <m:t>m</m:t>
              </m:r>
              <m:r>
                <m:t>o</m:t>
              </m:r>
              <m:r>
                <m:t>n</m:t>
              </m:r>
              <m:r>
                <m:t>t</m:t>
              </m:r>
              <m:r>
                <m:t>h</m:t>
              </m:r>
              <m:r>
                <m:t>l</m:t>
              </m:r>
              <m:r>
                <m:t>y</m:t>
              </m:r>
            </m:sub>
          </m:sSub>
          <m:r>
            <m:rPr>
              <m:sty m:val="p"/>
            </m:rPr>
            <m:t>×</m:t>
          </m:r>
          <m:r>
            <m:t>12</m:t>
          </m:r>
        </m:oMath>
      </m:oMathPara>
    </w:p>
    <w:p>
      <w:pPr>
        <w:pStyle w:val="FirstParagraph"/>
      </w:pPr>
      <m:oMathPara>
        <m:oMathParaPr>
          <m:jc m:val="center"/>
        </m:oMathParaPr>
        <m:oMath>
          <m:r>
            <m:t>Y</m:t>
          </m:r>
          <m:r>
            <m:t>e</m:t>
          </m:r>
          <m:r>
            <m:t>a</m:t>
          </m:r>
          <m:r>
            <m:t>r</m:t>
          </m:r>
          <m:r>
            <m:t> </m:t>
          </m:r>
          <m:r>
            <m:t>3</m:t>
          </m:r>
          <m:r>
            <m:t> </m:t>
          </m:r>
          <m:r>
            <m:t>C</m:t>
          </m:r>
          <m:r>
            <m:t>o</m:t>
          </m:r>
          <m:r>
            <m:t>n</m:t>
          </m:r>
          <m:r>
            <m:t>s</m:t>
          </m:r>
          <m:r>
            <m:t>e</m:t>
          </m:r>
          <m:r>
            <m:t>r</m:t>
          </m:r>
          <m:r>
            <m:t>v</m:t>
          </m:r>
          <m:r>
            <m:t>a</m:t>
          </m:r>
          <m:r>
            <m:t>t</m:t>
          </m:r>
          <m:r>
            <m:t>i</m:t>
          </m:r>
          <m:r>
            <m:t>v</m:t>
          </m:r>
          <m:r>
            <m:t>e</m:t>
          </m:r>
          <m:r>
            <m:rPr>
              <m:sty m:val="p"/>
            </m:rPr>
            <m:t>:</m:t>
          </m:r>
          <m:r>
            <m:t> </m:t>
          </m:r>
          <m:r>
            <m:t>300</m:t>
          </m:r>
          <m:r>
            <m:rPr>
              <m:sty m:val="p"/>
            </m:rPr>
            <m:t>×</m:t>
          </m:r>
          <m:r>
            <m:t>225</m:t>
          </m:r>
          <m:r>
            <m:rPr>
              <m:sty m:val="p"/>
            </m:rPr>
            <m:t>,</m:t>
          </m:r>
          <m:r>
            <m:t>500</m:t>
          </m:r>
          <m:r>
            <m:rPr>
              <m:sty m:val="p"/>
            </m:rPr>
            <m:t>×</m:t>
          </m:r>
          <m:r>
            <m:t>12</m:t>
          </m:r>
          <m:r>
            <m:rPr>
              <m:sty m:val="p"/>
            </m:rPr>
            <m:t>=</m:t>
          </m:r>
          <m:r>
            <m:t>U</m:t>
          </m:r>
          <m:r>
            <m:t>G</m:t>
          </m:r>
          <m:r>
            <m:t>X</m:t>
          </m:r>
          <m:r>
            <m:t> </m:t>
          </m:r>
          <m:r>
            <m:t>811</m:t>
          </m:r>
          <m:r>
            <m:rPr>
              <m:sty m:val="p"/>
            </m:rPr>
            <m:t>,</m:t>
          </m:r>
          <m:r>
            <m:t>800</m:t>
          </m:r>
          <m:r>
            <m:rPr>
              <m:sty m:val="p"/>
            </m:rPr>
            <m:t>,</m:t>
          </m:r>
          <m:r>
            <m:t>000</m:t>
          </m:r>
        </m:oMath>
      </m:oMathPara>
    </w:p>
    <w:p>
      <w:pPr>
        <w:pStyle w:val="FirstParagraph"/>
      </w:pPr>
      <m:oMathPara>
        <m:oMathParaPr>
          <m:jc m:val="center"/>
        </m:oMathParaPr>
        <m:oMath>
          <m:r>
            <m:t>Y</m:t>
          </m:r>
          <m:r>
            <m:t>e</m:t>
          </m:r>
          <m:r>
            <m:t>a</m:t>
          </m:r>
          <m:r>
            <m:t>r</m:t>
          </m:r>
          <m:r>
            <m:t> </m:t>
          </m:r>
          <m:r>
            <m:t>3</m:t>
          </m:r>
          <m:r>
            <m:t> </m:t>
          </m:r>
          <m:r>
            <m:t>O</m:t>
          </m:r>
          <m:r>
            <m:t>p</m:t>
          </m:r>
          <m:r>
            <m:t>t</m:t>
          </m:r>
          <m:r>
            <m:t>i</m:t>
          </m:r>
          <m:r>
            <m:t>m</m:t>
          </m:r>
          <m:r>
            <m:t>i</m:t>
          </m:r>
          <m:r>
            <m:t>s</m:t>
          </m:r>
          <m:r>
            <m:t>t</m:t>
          </m:r>
          <m:r>
            <m:t>i</m:t>
          </m:r>
          <m:r>
            <m:t>c</m:t>
          </m:r>
          <m:r>
            <m:rPr>
              <m:sty m:val="p"/>
            </m:rPr>
            <m:t>:</m:t>
          </m:r>
          <m:r>
            <m:t> </m:t>
          </m:r>
          <m:r>
            <m:t>600</m:t>
          </m:r>
          <m:r>
            <m:rPr>
              <m:sty m:val="p"/>
            </m:rPr>
            <m:t>×</m:t>
          </m:r>
          <m:r>
            <m:t>225</m:t>
          </m:r>
          <m:r>
            <m:rPr>
              <m:sty m:val="p"/>
            </m:rPr>
            <m:t>,</m:t>
          </m:r>
          <m:r>
            <m:t>500</m:t>
          </m:r>
          <m:r>
            <m:rPr>
              <m:sty m:val="p"/>
            </m:rPr>
            <m:t>×</m:t>
          </m:r>
          <m:r>
            <m:t>12</m:t>
          </m:r>
          <m:r>
            <m:rPr>
              <m:sty m:val="p"/>
            </m:rPr>
            <m:t>=</m:t>
          </m:r>
          <m:r>
            <m:t>U</m:t>
          </m:r>
          <m:r>
            <m:t>G</m:t>
          </m:r>
          <m:r>
            <m:t>X</m:t>
          </m:r>
          <m:r>
            <m:t> </m:t>
          </m:r>
          <m:r>
            <m:t>1</m:t>
          </m:r>
          <m:r>
            <m:rPr>
              <m:sty m:val="p"/>
            </m:rPr>
            <m:t>,</m:t>
          </m:r>
          <m:r>
            <m:t>623</m:t>
          </m:r>
          <m:r>
            <m:rPr>
              <m:sty m:val="p"/>
            </m:rPr>
            <m:t>,</m:t>
          </m:r>
          <m:r>
            <m:t>600</m:t>
          </m:r>
          <m:r>
            <m:rPr>
              <m:sty m:val="p"/>
            </m:rPr>
            <m:t>,</m:t>
          </m:r>
          <m:r>
            <m:t>000</m:t>
          </m:r>
        </m:oMath>
      </m:oMathPara>
    </w:p>
    <w:p>
      <w:r>
        <w:pict>
          <v:rect style="width:0;height:1.5pt" o:hralign="center" o:hrstd="t" o:hr="t"/>
        </w:pict>
      </w:r>
    </w:p>
    <w:bookmarkEnd w:id="75"/>
    <w:bookmarkEnd w:id="76"/>
    <w:bookmarkStart w:id="82" w:name="X771877845c9a44bbeac2be5d982d06254429861"/>
    <w:p>
      <w:pPr>
        <w:pStyle w:val="Heading2"/>
      </w:pPr>
      <w:r>
        <w:t xml:space="preserve">3. Cost Assumptions</w:t>
      </w:r>
    </w:p>
    <w:p>
      <w:pPr>
        <w:pStyle w:val="FirstParagraph"/>
      </w:pPr>
      <w:r>
        <w:rPr>
          <w:i/>
          <w:iCs/>
        </w:rPr>
        <w:t xml:space="preserve">All cost figures are estimates based on publicly available pricing as of March 2026. Actual costs depend on final vendor selection, negotiated rates, and usage volume.</w:t>
      </w:r>
    </w:p>
    <w:bookmarkStart w:id="77" w:name="X5c1f34c9d6cb7f1b60c077cab9f7a55b8c3cd01"/>
    <w:p>
      <w:pPr>
        <w:pStyle w:val="Heading3"/>
      </w:pPr>
      <w:r>
        <w:t xml:space="preserve">3.1 Infrastructure Costs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Phase 1–7 (VPS) (UGX/mo)</w:t>
            </w:r>
          </w:p>
        </w:tc>
        <w:tc>
          <w:tcPr/>
          <w:p>
            <w:pPr>
              <w:pStyle w:val="Compact"/>
            </w:pPr>
            <w:r>
              <w:t xml:space="preserve">Phase 8+ (AWS ECS) (UGX/mo)</w:t>
            </w:r>
          </w:p>
        </w:tc>
        <w:tc>
          <w:tcPr/>
          <w:p>
            <w:pPr>
              <w:pStyle w:val="Compact"/>
            </w:pPr>
            <w:r>
              <w:t xml:space="preserve">Notes</w:t>
            </w:r>
          </w:p>
        </w:tc>
      </w:tr>
      <w:tr>
        <w:tc>
          <w:tcPr/>
          <w:p>
            <w:pPr>
              <w:pStyle w:val="Compact"/>
            </w:pPr>
            <w:r>
              <w:t xml:space="preserve">Server / compute</w:t>
            </w:r>
          </w:p>
        </w:tc>
        <w:tc>
          <w:tcPr/>
          <w:p>
            <w:pPr>
              <w:pStyle w:val="Compact"/>
            </w:pPr>
            <w:r>
              <w:t xml:space="preserve">450,000</w:t>
            </w:r>
          </w:p>
        </w:tc>
        <w:tc>
          <w:tcPr/>
          <w:p>
            <w:pPr>
              <w:pStyle w:val="Compact"/>
            </w:pPr>
            <w:r>
              <w:t xml:space="preserve">1,500,000–3,750,000</w:t>
            </w:r>
          </w:p>
        </w:tc>
        <w:tc>
          <w:tcPr/>
          <w:p>
            <w:pPr>
              <w:pStyle w:val="Compact"/>
            </w:pPr>
            <w:r>
              <w:t xml:space="preserve">VPS ~USD 120/mo; ECS scales with usage</w:t>
            </w:r>
          </w:p>
        </w:tc>
      </w:tr>
      <w:tr>
        <w:tc>
          <w:tcPr/>
          <w:p>
            <w:pPr>
              <w:pStyle w:val="Compact"/>
            </w:pPr>
            <w:r>
              <w:t xml:space="preserve">MySQL (managed)</w:t>
            </w:r>
          </w:p>
        </w:tc>
        <w:tc>
          <w:tcPr/>
          <w:p>
            <w:pPr>
              <w:pStyle w:val="Compact"/>
            </w:pPr>
            <w:r>
              <w:t xml:space="preserve">Included in VPS</w:t>
            </w:r>
          </w:p>
        </w:tc>
        <w:tc>
          <w:tcPr/>
          <w:p>
            <w:pPr>
              <w:pStyle w:val="Compact"/>
            </w:pPr>
            <w:r>
              <w:t xml:space="preserve">750,000</w:t>
            </w:r>
          </w:p>
        </w:tc>
        <w:tc>
          <w:tcPr/>
          <w:p>
            <w:pPr>
              <w:pStyle w:val="Compact"/>
            </w:pPr>
            <w:r>
              <w:t xml:space="preserve">AWS RDS or equivalent</w:t>
            </w:r>
          </w:p>
        </w:tc>
      </w:tr>
      <w:tr>
        <w:tc>
          <w:tcPr/>
          <w:p>
            <w:pPr>
              <w:pStyle w:val="Compact"/>
            </w:pPr>
            <w:r>
              <w:t xml:space="preserve">Redis (managed)</w:t>
            </w:r>
          </w:p>
        </w:tc>
        <w:tc>
          <w:tcPr/>
          <w:p>
            <w:pPr>
              <w:pStyle w:val="Compact"/>
            </w:pPr>
            <w:r>
              <w:t xml:space="preserve">Included in VPS</w:t>
            </w:r>
          </w:p>
        </w:tc>
        <w:tc>
          <w:tcPr/>
          <w:p>
            <w:pPr>
              <w:pStyle w:val="Compact"/>
            </w:pPr>
            <w:r>
              <w:t xml:space="preserve">375,000</w:t>
            </w:r>
          </w:p>
        </w:tc>
        <w:tc>
          <w:tcPr/>
          <w:p>
            <w:pPr>
              <w:pStyle w:val="Compact"/>
            </w:pPr>
            <w:r>
              <w:t xml:space="preserve">ElastiCache or equivalent</w:t>
            </w:r>
          </w:p>
        </w:tc>
      </w:tr>
      <w:tr>
        <w:tc>
          <w:tcPr/>
          <w:p>
            <w:pPr>
              <w:pStyle w:val="Compact"/>
            </w:pPr>
            <w:r>
              <w:t xml:space="preserve">AWS S3 + CloudFront</w:t>
            </w:r>
          </w:p>
        </w:tc>
        <w:tc>
          <w:tcPr/>
          <w:p>
            <w:pPr>
              <w:pStyle w:val="Compact"/>
            </w:pPr>
            <w:r>
              <w:t xml:space="preserve">75,000</w:t>
            </w:r>
          </w:p>
        </w:tc>
        <w:tc>
          <w:tcPr/>
          <w:p>
            <w:pPr>
              <w:pStyle w:val="Compact"/>
            </w:pPr>
            <w:r>
              <w:t xml:space="preserve">375,000–750,000</w:t>
            </w:r>
          </w:p>
        </w:tc>
        <w:tc>
          <w:tcPr/>
          <w:p>
            <w:pPr>
              <w:pStyle w:val="Compact"/>
            </w:pPr>
            <w:r>
              <w:t xml:space="preserve">Scales with PDF storage volume</w:t>
            </w:r>
          </w:p>
        </w:tc>
      </w:tr>
      <w:tr>
        <w:tc>
          <w:tcPr/>
          <w:p>
            <w:pPr>
              <w:pStyle w:val="Compact"/>
            </w:pPr>
            <w:r>
              <w:t xml:space="preserve">Cloudflare (DNS + WAF)</w:t>
            </w:r>
          </w:p>
        </w:tc>
        <w:tc>
          <w:tcPr/>
          <w:p>
            <w:pPr>
              <w:pStyle w:val="Compact"/>
            </w:pPr>
            <w:r>
              <w:t xml:space="preserve">75,000</w:t>
            </w:r>
          </w:p>
        </w:tc>
        <w:tc>
          <w:tcPr/>
          <w:p>
            <w:pPr>
              <w:pStyle w:val="Compact"/>
            </w:pPr>
            <w:r>
              <w:t xml:space="preserve">75,000–375,000</w:t>
            </w:r>
          </w:p>
        </w:tc>
        <w:tc>
          <w:tcPr/>
          <w:p>
            <w:pPr>
              <w:pStyle w:val="Compact"/>
            </w:pPr>
            <w:r>
              <w:t xml:space="preserve">Pro plan</w:t>
            </w:r>
          </w:p>
        </w:tc>
      </w:tr>
      <w:tr>
        <w:tc>
          <w:tcPr/>
          <w:p>
            <w:pPr>
              <w:pStyle w:val="Compact"/>
            </w:pPr>
            <w:r>
              <w:t xml:space="preserve">SSL / Let's Encrypt</w:t>
            </w:r>
          </w:p>
        </w:tc>
        <w:tc>
          <w:tcPr/>
          <w:p>
            <w:pPr>
              <w:pStyle w:val="Compact"/>
            </w:pPr>
            <w:r>
              <w:t xml:space="preserve">0</w:t>
            </w:r>
          </w:p>
        </w:tc>
        <w:tc>
          <w:tcPr/>
          <w:p>
            <w:pPr>
              <w:pStyle w:val="Compact"/>
            </w:pPr>
            <w:r>
              <w:t xml:space="preserve">0</w:t>
            </w:r>
          </w:p>
        </w:tc>
        <w:tc>
          <w:tcPr/>
          <w:p>
            <w:pPr>
              <w:pStyle w:val="Compact"/>
            </w:pPr>
            <w:r>
              <w:t xml:space="preserve">Auto-renew; free</w:t>
            </w:r>
          </w:p>
        </w:tc>
      </w:tr>
      <w:tr>
        <w:tc>
          <w:tcPr/>
          <w:p>
            <w:pPr>
              <w:pStyle w:val="Compact"/>
            </w:pPr>
            <w:r>
              <w:rPr>
                <w:b/>
                <w:bCs/>
              </w:rPr>
              <w:t xml:space="preserve">Infrastructure subtotal</w:t>
            </w:r>
          </w:p>
        </w:tc>
        <w:tc>
          <w:tcPr/>
          <w:p>
            <w:pPr>
              <w:pStyle w:val="Compact"/>
            </w:pPr>
            <w:r>
              <w:rPr>
                <w:b/>
                <w:bCs/>
              </w:rPr>
              <w:t xml:space="preserve">~600,000</w:t>
            </w:r>
          </w:p>
        </w:tc>
        <w:tc>
          <w:tcPr/>
          <w:p>
            <w:pPr>
              <w:pStyle w:val="Compact"/>
            </w:pPr>
            <w:r>
              <w:rPr>
                <w:b/>
                <w:bCs/>
              </w:rPr>
              <w:t xml:space="preserve">~3,000,000–6,000,000</w:t>
            </w:r>
          </w:p>
        </w:tc>
        <w:tc>
          <w:tcPr/>
          <w:p>
            <w:pPr>
              <w:pStyle w:val="Compact"/>
            </w:pPr>
            <w:r>
              <w:t xml:space="preserve">At 300 schools, mid-range estimate</w:t>
            </w:r>
          </w:p>
        </w:tc>
      </w:tr>
    </w:tbl>
    <w:bookmarkEnd w:id="77"/>
    <w:bookmarkStart w:id="78" w:name="Xeabaf60636cf38fce6dd5d9c5cec9e713a033ef"/>
    <w:p>
      <w:pPr>
        <w:pStyle w:val="Heading3"/>
      </w:pPr>
      <w:r>
        <w:t xml:space="preserve">3.2 Per-School Variable Costs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Unit Cost</w:t>
            </w:r>
          </w:p>
        </w:tc>
        <w:tc>
          <w:tcPr/>
          <w:p>
            <w:pPr>
              <w:pStyle w:val="Compact"/>
            </w:pPr>
            <w:r>
              <w:t xml:space="preserve">Usage Assumption</w:t>
            </w:r>
          </w:p>
        </w:tc>
        <w:tc>
          <w:tcPr/>
          <w:p>
            <w:pPr>
              <w:pStyle w:val="Compact"/>
            </w:pPr>
            <w:r>
              <w:t xml:space="preserve">Cost/School/Month (UGX)</w:t>
            </w:r>
          </w:p>
        </w:tc>
      </w:tr>
      <w:tr>
        <w:tc>
          <w:tcPr/>
          <w:p>
            <w:pPr>
              <w:pStyle w:val="Compact"/>
            </w:pPr>
            <w:r>
              <w:t xml:space="preserve">SMS (Africa's Talking)</w:t>
            </w:r>
          </w:p>
        </w:tc>
        <w:tc>
          <w:tcPr/>
          <w:p>
            <w:pPr>
              <w:pStyle w:val="Compact"/>
            </w:pPr>
            <w:r>
              <w:t xml:space="preserve">UGX 65/SMS</w:t>
            </w:r>
          </w:p>
        </w:tc>
        <w:tc>
          <w:tcPr/>
          <w:p>
            <w:pPr>
              <w:pStyle w:val="Compact"/>
            </w:pPr>
            <w:r>
              <w:t xml:space="preserve">50 SMS/school/month (attendance alerts, fee reminders)</w:t>
            </w:r>
          </w:p>
        </w:tc>
        <w:tc>
          <w:tcPr/>
          <w:p>
            <w:pPr>
              <w:pStyle w:val="Compact"/>
            </w:pPr>
            <w:r>
              <w:t xml:space="preserve">3,250</w:t>
            </w:r>
          </w:p>
        </w:tc>
      </w:tr>
      <w:tr>
        <w:tc>
          <w:tcPr/>
          <w:p>
            <w:pPr>
              <w:pStyle w:val="Compact"/>
            </w:pPr>
            <w:r>
              <w:t xml:space="preserve">WhatsApp (Meta Business API)</w:t>
            </w:r>
          </w:p>
        </w:tc>
        <w:tc>
          <w:tcPr/>
          <w:p>
            <w:pPr>
              <w:pStyle w:val="Compact"/>
            </w:pPr>
            <w:r>
              <w:t xml:space="preserve">~UGX 40/conversation</w:t>
            </w:r>
          </w:p>
        </w:tc>
        <w:tc>
          <w:tcPr/>
          <w:p>
            <w:pPr>
              <w:pStyle w:val="Compact"/>
            </w:pPr>
            <w:r>
              <w:t xml:space="preserve">20 conversations/school/month</w:t>
            </w:r>
          </w:p>
        </w:tc>
        <w:tc>
          <w:tcPr/>
          <w:p>
            <w:pPr>
              <w:pStyle w:val="Compact"/>
            </w:pPr>
            <w:r>
              <w:t xml:space="preserve">800</w:t>
            </w:r>
          </w:p>
        </w:tc>
      </w:tr>
      <w:tr>
        <w:tc>
          <w:tcPr/>
          <w:p>
            <w:pPr>
              <w:pStyle w:val="Compact"/>
            </w:pPr>
            <w:r>
              <w:t xml:space="preserve">Email (Mailgun/Postmark)</w:t>
            </w:r>
          </w:p>
        </w:tc>
        <w:tc>
          <w:tcPr/>
          <w:p>
            <w:pPr>
              <w:pStyle w:val="Compact"/>
            </w:pPr>
            <w:r>
              <w:t xml:space="preserve">~UGX 0.4/email</w:t>
            </w:r>
          </w:p>
        </w:tc>
        <w:tc>
          <w:tcPr/>
          <w:p>
            <w:pPr>
              <w:pStyle w:val="Compact"/>
            </w:pPr>
            <w:r>
              <w:t xml:space="preserve">200 emails/school/month</w:t>
            </w:r>
          </w:p>
        </w:tc>
        <w:tc>
          <w:tcPr/>
          <w:p>
            <w:pPr>
              <w:pStyle w:val="Compact"/>
            </w:pPr>
            <w:r>
              <w:t xml:space="preserve">80</w:t>
            </w:r>
          </w:p>
        </w:tc>
      </w:tr>
      <w:tr>
        <w:tc>
          <w:tcPr/>
          <w:p>
            <w:pPr>
              <w:pStyle w:val="Compact"/>
            </w:pPr>
            <w:r>
              <w:t xml:space="preserve">Push notifications (FCM)</w:t>
            </w:r>
          </w:p>
        </w:tc>
        <w:tc>
          <w:tcPr/>
          <w:p>
            <w:pPr>
              <w:pStyle w:val="Compact"/>
            </w:pPr>
            <w:r>
              <w:t xml:space="preserve">Free (Firebase free tier)</w:t>
            </w:r>
          </w:p>
        </w:tc>
        <w:tc>
          <w:tcPr/>
          <w:p>
            <w:pPr>
              <w:pStyle w:val="Compact"/>
            </w:pPr>
            <w:r>
              <w:t xml:space="preserve">Unlimited</w:t>
            </w:r>
          </w:p>
        </w:tc>
        <w:tc>
          <w:tcPr/>
          <w:p>
            <w:pPr>
              <w:pStyle w:val="Compact"/>
            </w:pPr>
            <w:r>
              <w:t xml:space="preserve">0</w:t>
            </w:r>
          </w:p>
        </w:tc>
      </w:tr>
      <w:tr>
        <w:tc>
          <w:tcPr/>
          <w:p>
            <w:pPr>
              <w:pStyle w:val="Compact"/>
            </w:pPr>
            <w:r>
              <w:rPr>
                <w:b/>
                <w:bCs/>
              </w:rPr>
              <w:t xml:space="preserve">Variable comms/school/month</w:t>
            </w:r>
          </w:p>
        </w:tc>
        <w:tc>
          <w:tcPr/>
          <w:p>
            <w:pPr>
              <w:pStyle w:val="Compact"/>
            </w:pPr>
          </w:p>
        </w:tc>
        <w:tc>
          <w:tcPr/>
          <w:p>
            <w:pPr>
              <w:pStyle w:val="Compact"/>
            </w:pPr>
          </w:p>
        </w:tc>
        <w:tc>
          <w:tcPr/>
          <w:p>
            <w:pPr>
              <w:pStyle w:val="Compact"/>
            </w:pPr>
            <w:r>
              <w:rPr>
                <w:b/>
                <w:bCs/>
              </w:rPr>
              <w:t xml:space="preserve">~4,130</w:t>
            </w:r>
          </w:p>
        </w:tc>
      </w:tr>
    </w:tbl>
    <w:p>
      <w:pPr>
        <w:pStyle w:val="BodyText"/>
      </w:pPr>
      <w:r>
        <w:t xml:space="preserve">At 300 schools: UGX 4,130 × 300 =</w:t>
      </w:r>
      <w:r>
        <w:t xml:space="preserve"> </w:t>
      </w:r>
      <w:r>
        <w:rPr>
          <w:b/>
          <w:bCs/>
        </w:rPr>
        <w:t xml:space="preserve">UGX 1,239,000/month</w:t>
      </w:r>
      <w:r>
        <w:t xml:space="preserve"> </w:t>
      </w:r>
      <w:r>
        <w:t xml:space="preserve">in variable comms costs.</w:t>
      </w:r>
    </w:p>
    <w:bookmarkEnd w:id="78"/>
    <w:bookmarkStart w:id="79" w:name="X04d393f59c1bf76ec6aa32bfc7b79da72c577b7"/>
    <w:p>
      <w:pPr>
        <w:pStyle w:val="Heading3"/>
      </w:pPr>
      <w:r>
        <w:t xml:space="preserve">3.3 AI API Costs (Claude API)</w:t>
      </w:r>
    </w:p>
    <w:p>
      <w:pPr>
        <w:pStyle w:val="FirstParagraph"/>
      </w:pPr>
      <w:r>
        <w:rPr>
          <w:b/>
          <w:bCs/>
        </w:rPr>
        <w:t xml:space="preserve">Assumption F4:</w:t>
      </w:r>
      <w:r>
        <w:t xml:space="preserve"> </w:t>
      </w:r>
      <w:r>
        <w:t xml:space="preserve">The Claude API (claude-sonnet-4-6) is used for predictive defaulter alerts, attendance pattern analysis, and natural-language report commentary. Estimated usage at 300-school scale:</w:t>
      </w:r>
    </w:p>
    <w:p>
      <w:pPr>
        <w:pStyle w:val="Compact"/>
        <w:numPr>
          <w:ilvl w:val="0"/>
          <w:numId w:val="1023"/>
        </w:numPr>
      </w:pPr>
      <w:r>
        <w:t xml:space="preserve">Average tokens per school per month: ~50,000 input + 10,000 output</w:t>
      </w:r>
    </w:p>
    <w:p>
      <w:pPr>
        <w:pStyle w:val="Compact"/>
        <w:numPr>
          <w:ilvl w:val="0"/>
          <w:numId w:val="1023"/>
        </w:numPr>
      </w:pPr>
      <w:r>
        <w:t xml:space="preserve">At Anthropic published rates (~USD 3/million input tokens, USD 15/million output tokens):</w:t>
      </w:r>
    </w:p>
    <w:p>
      <w:pPr>
        <w:pStyle w:val="Compact"/>
        <w:numPr>
          <w:ilvl w:val="0"/>
          <w:numId w:val="1023"/>
        </w:numPr>
      </w:pPr>
      <w:r>
        <w:t xml:space="preserve">Cost per school per month: ~USD 0.30 (UGX 1,125)</w:t>
      </w:r>
    </w:p>
    <w:p>
      <w:pPr>
        <w:pStyle w:val="Compact"/>
        <w:numPr>
          <w:ilvl w:val="0"/>
          <w:numId w:val="1023"/>
        </w:numPr>
      </w:pPr>
      <w:r>
        <w:t xml:space="preserve">At 300 schools:</w:t>
      </w:r>
      <w:r>
        <w:t xml:space="preserve"> </w:t>
      </w:r>
      <w:r>
        <w:rPr>
          <w:b/>
          <w:bCs/>
        </w:rPr>
        <w:t xml:space="preserve">UGX 337,500/month</w:t>
      </w:r>
      <w:r>
        <w:t xml:space="preserve"> </w:t>
      </w:r>
      <w:r>
        <w:t xml:space="preserve">(approximately)</w:t>
      </w:r>
    </w:p>
    <w:bookmarkEnd w:id="79"/>
    <w:bookmarkStart w:id="80" w:name="X301868d8280e0c21c1f28c0446569a1a7b13e18"/>
    <w:p>
      <w:pPr>
        <w:pStyle w:val="Heading3"/>
      </w:pPr>
      <w:r>
        <w:t xml:space="preserve">3.4 Total Operating Cost Summary (Year 3, 300 Schools)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Monthly (UGX)</w:t>
            </w:r>
          </w:p>
        </w:tc>
        <w:tc>
          <w:tcPr/>
          <w:p>
            <w:pPr>
              <w:pStyle w:val="Compact"/>
            </w:pPr>
            <w:r>
              <w:t xml:space="preserve">Annual (UGX)</w:t>
            </w:r>
          </w:p>
        </w:tc>
      </w:tr>
      <w:tr>
        <w:tc>
          <w:tcPr/>
          <w:p>
            <w:pPr>
              <w:pStyle w:val="Compact"/>
            </w:pPr>
            <w:r>
              <w:t xml:space="preserve">Infrastructure (Phase 8+ mid)</w:t>
            </w:r>
          </w:p>
        </w:tc>
        <w:tc>
          <w:tcPr/>
          <w:p>
            <w:pPr>
              <w:pStyle w:val="Compact"/>
            </w:pPr>
            <w:r>
              <w:t xml:space="preserve">4,500,000</w:t>
            </w:r>
          </w:p>
        </w:tc>
        <w:tc>
          <w:tcPr/>
          <w:p>
            <w:pPr>
              <w:pStyle w:val="Compact"/>
            </w:pPr>
            <w:r>
              <w:t xml:space="preserve">54,000,000</w:t>
            </w:r>
          </w:p>
        </w:tc>
      </w:tr>
      <w:tr>
        <w:tc>
          <w:tcPr/>
          <w:p>
            <w:pPr>
              <w:pStyle w:val="Compact"/>
            </w:pPr>
            <w:r>
              <w:t xml:space="preserve">Variable communications</w:t>
            </w:r>
          </w:p>
        </w:tc>
        <w:tc>
          <w:tcPr/>
          <w:p>
            <w:pPr>
              <w:pStyle w:val="Compact"/>
            </w:pPr>
            <w:r>
              <w:t xml:space="preserve">1,239,000</w:t>
            </w:r>
          </w:p>
        </w:tc>
        <w:tc>
          <w:tcPr/>
          <w:p>
            <w:pPr>
              <w:pStyle w:val="Compact"/>
            </w:pPr>
            <w:r>
              <w:t xml:space="preserve">14,868,000</w:t>
            </w:r>
          </w:p>
        </w:tc>
      </w:tr>
      <w:tr>
        <w:tc>
          <w:tcPr/>
          <w:p>
            <w:pPr>
              <w:pStyle w:val="Compact"/>
            </w:pPr>
            <w:r>
              <w:t xml:space="preserve">Claude API</w:t>
            </w:r>
          </w:p>
        </w:tc>
        <w:tc>
          <w:tcPr/>
          <w:p>
            <w:pPr>
              <w:pStyle w:val="Compact"/>
            </w:pPr>
            <w:r>
              <w:t xml:space="preserve">337,500</w:t>
            </w:r>
          </w:p>
        </w:tc>
        <w:tc>
          <w:tcPr/>
          <w:p>
            <w:pPr>
              <w:pStyle w:val="Compact"/>
            </w:pPr>
            <w:r>
              <w:t xml:space="preserve">4,050,000</w:t>
            </w:r>
          </w:p>
        </w:tc>
      </w:tr>
      <w:tr>
        <w:tc>
          <w:tcPr/>
          <w:p>
            <w:pPr>
              <w:pStyle w:val="Compact"/>
            </w:pPr>
            <w:r>
              <w:t xml:space="preserve">Support / tooling (GitHub, monitoring, etc.)</w:t>
            </w:r>
          </w:p>
        </w:tc>
        <w:tc>
          <w:tcPr/>
          <w:p>
            <w:pPr>
              <w:pStyle w:val="Compact"/>
            </w:pPr>
            <w:r>
              <w:t xml:space="preserve">300,000</w:t>
            </w:r>
          </w:p>
        </w:tc>
        <w:tc>
          <w:tcPr/>
          <w:p>
            <w:pPr>
              <w:pStyle w:val="Compact"/>
            </w:pPr>
            <w:r>
              <w:t xml:space="preserve">3,600,000</w:t>
            </w:r>
          </w:p>
        </w:tc>
      </w:tr>
      <w:tr>
        <w:tc>
          <w:tcPr/>
          <w:p>
            <w:pPr>
              <w:pStyle w:val="Compact"/>
            </w:pPr>
            <w:r>
              <w:rPr>
                <w:b/>
                <w:bCs/>
              </w:rPr>
              <w:t xml:space="preserve">Total OpEx (Year 3)</w:t>
            </w:r>
          </w:p>
        </w:tc>
        <w:tc>
          <w:tcPr/>
          <w:p>
            <w:pPr>
              <w:pStyle w:val="Compact"/>
            </w:pPr>
            <w:r>
              <w:rPr>
                <w:b/>
                <w:bCs/>
              </w:rPr>
              <w:t xml:space="preserve">~6,376,500</w:t>
            </w:r>
          </w:p>
        </w:tc>
        <w:tc>
          <w:tcPr/>
          <w:p>
            <w:pPr>
              <w:pStyle w:val="Compact"/>
            </w:pPr>
            <w:r>
              <w:rPr>
                <w:b/>
                <w:bCs/>
              </w:rPr>
              <w:t xml:space="preserve">~76,518,000</w:t>
            </w:r>
          </w:p>
        </w:tc>
      </w:tr>
    </w:tbl>
    <w:bookmarkEnd w:id="80"/>
    <w:bookmarkStart w:id="81" w:name="Xcf62ce83a1551f909c21704c33b1a3577b386b3"/>
    <w:p>
      <w:pPr>
        <w:pStyle w:val="Heading3"/>
      </w:pPr>
      <w:r>
        <w:t xml:space="preserve">3.5 Gross Margin</w:t>
      </w:r>
    </w:p>
    <w:p>
      <w:pPr>
        <w:pStyle w:val="FirstParagraph"/>
      </w:pPr>
      <m:oMathPara>
        <m:oMathParaPr>
          <m:jc m:val="center"/>
        </m:oMathParaPr>
        <m:oMath>
          <m:r>
            <m:t>G</m:t>
          </m:r>
          <m:r>
            <m:t>r</m:t>
          </m:r>
          <m:r>
            <m:t>o</m:t>
          </m:r>
          <m:r>
            <m:t>s</m:t>
          </m:r>
          <m:r>
            <m:t>s</m:t>
          </m:r>
          <m:r>
            <m:t> </m:t>
          </m:r>
          <m:r>
            <m:t>M</m:t>
          </m:r>
          <m:r>
            <m:t>a</m:t>
          </m:r>
          <m:r>
            <m:t>r</m:t>
          </m:r>
          <m:r>
            <m:t>g</m:t>
          </m:r>
          <m:r>
            <m:t>i</m:t>
          </m:r>
          <m:r>
            <m:t>n</m:t>
          </m:r>
          <m:r>
            <m:rPr>
              <m:sty m:val="p"/>
            </m:rPr>
            <m:t>=</m:t>
          </m:r>
          <m:f>
            <m:fPr>
              <m:type m:val="bar"/>
            </m:fPr>
            <m:num>
              <m:r>
                <m:t>R</m:t>
              </m:r>
              <m:r>
                <m:t>e</m:t>
              </m:r>
              <m:r>
                <m:t>v</m:t>
              </m:r>
              <m:r>
                <m:t>e</m:t>
              </m:r>
              <m:r>
                <m:t>n</m:t>
              </m:r>
              <m:r>
                <m:t>u</m:t>
              </m:r>
              <m:r>
                <m:t>e</m:t>
              </m:r>
              <m:r>
                <m:rPr>
                  <m:sty m:val="p"/>
                </m:rPr>
                <m:t>−</m:t>
              </m:r>
              <m:r>
                <m:t>V</m:t>
              </m:r>
              <m:r>
                <m:t>a</m:t>
              </m:r>
              <m:r>
                <m:t>r</m:t>
              </m:r>
              <m:r>
                <m:t>i</m:t>
              </m:r>
              <m:r>
                <m:t>a</m:t>
              </m:r>
              <m:r>
                <m:t>b</m:t>
              </m:r>
              <m:r>
                <m:t>l</m:t>
              </m:r>
              <m:r>
                <m:t>e</m:t>
              </m:r>
              <m:r>
                <m:t> </m:t>
              </m:r>
              <m:r>
                <m:t>C</m:t>
              </m:r>
              <m:r>
                <m:t>o</m:t>
              </m:r>
              <m:r>
                <m:t>s</m:t>
              </m:r>
              <m:r>
                <m:t>t</m:t>
              </m:r>
              <m:r>
                <m:t>s</m:t>
              </m:r>
            </m:num>
            <m:den>
              <m:r>
                <m:t>R</m:t>
              </m:r>
              <m:r>
                <m:t>e</m:t>
              </m:r>
              <m:r>
                <m:t>v</m:t>
              </m:r>
              <m:r>
                <m:t>e</m:t>
              </m:r>
              <m:r>
                <m:t>n</m:t>
              </m:r>
              <m:r>
                <m:t>u</m:t>
              </m:r>
              <m:r>
                <m:t>e</m:t>
              </m:r>
            </m:den>
          </m:f>
          <m:r>
            <m:rPr>
              <m:sty m:val="p"/>
            </m:rPr>
            <m:t>×</m:t>
          </m:r>
          <m:r>
            <m:t>100</m:t>
          </m:r>
          <m:r>
            <m:rPr>
              <m:sty m:val="p"/>
            </m:rPr>
            <m:t>%</m:t>
          </m:r>
        </m:oMath>
      </m:oMathPara>
    </w:p>
    <w:p>
      <w:pPr>
        <w:pStyle w:val="FirstParagraph"/>
      </w:pPr>
      <w:r>
        <w:t xml:space="preserve">At Year 3 Conservative (Revenue = UGX 811,800,000; Variable Costs = UGX 76,518,000):</w:t>
      </w:r>
    </w:p>
    <w:p>
      <w:pPr>
        <w:pStyle w:val="BodyText"/>
      </w:pPr>
      <m:oMathPara>
        <m:oMathParaPr>
          <m:jc m:val="center"/>
        </m:oMathParaPr>
        <m:oMath>
          <m:r>
            <m:t>G</m:t>
          </m:r>
          <m:r>
            <m:t>r</m:t>
          </m:r>
          <m:r>
            <m:t>o</m:t>
          </m:r>
          <m:r>
            <m:t>s</m:t>
          </m:r>
          <m:r>
            <m:t>s</m:t>
          </m:r>
          <m:r>
            <m:t> </m:t>
          </m:r>
          <m:r>
            <m:t>M</m:t>
          </m:r>
          <m:r>
            <m:t>a</m:t>
          </m:r>
          <m:r>
            <m:t>r</m:t>
          </m:r>
          <m:r>
            <m:t>g</m:t>
          </m:r>
          <m:r>
            <m:t>i</m:t>
          </m:r>
          <m:r>
            <m:t>n</m:t>
          </m:r>
          <m:r>
            <m:rPr>
              <m:sty m:val="p"/>
            </m:rPr>
            <m:t>=</m:t>
          </m:r>
          <m:f>
            <m:fPr>
              <m:type m:val="bar"/>
            </m:fPr>
            <m:num>
              <m:r>
                <m:t>811</m:t>
              </m:r>
              <m:r>
                <m:rPr>
                  <m:sty m:val="p"/>
                </m:rPr>
                <m:t>,</m:t>
              </m:r>
              <m:r>
                <m:t>800</m:t>
              </m:r>
              <m:r>
                <m:rPr>
                  <m:sty m:val="p"/>
                </m:rPr>
                <m:t>,</m:t>
              </m:r>
              <m:r>
                <m:t>000</m:t>
              </m:r>
              <m:r>
                <m:rPr>
                  <m:sty m:val="p"/>
                </m:rPr>
                <m:t>−</m:t>
              </m:r>
              <m:r>
                <m:t>76</m:t>
              </m:r>
              <m:r>
                <m:rPr>
                  <m:sty m:val="p"/>
                </m:rPr>
                <m:t>,</m:t>
              </m:r>
              <m:r>
                <m:t>518</m:t>
              </m:r>
              <m:r>
                <m:rPr>
                  <m:sty m:val="p"/>
                </m:rPr>
                <m:t>,</m:t>
              </m:r>
              <m:r>
                <m:t>000</m:t>
              </m:r>
            </m:num>
            <m:den>
              <m:r>
                <m:t>811</m:t>
              </m:r>
              <m:r>
                <m:rPr>
                  <m:sty m:val="p"/>
                </m:rPr>
                <m:t>,</m:t>
              </m:r>
              <m:r>
                <m:t>800</m:t>
              </m:r>
              <m:r>
                <m:rPr>
                  <m:sty m:val="p"/>
                </m:rPr>
                <m:t>,</m:t>
              </m:r>
              <m:r>
                <m:t>000</m:t>
              </m:r>
            </m:den>
          </m:f>
          <m:r>
            <m:rPr>
              <m:sty m:val="p"/>
            </m:rPr>
            <m:t>×</m:t>
          </m:r>
          <m:r>
            <m:t>100</m:t>
          </m:r>
          <m:r>
            <m:rPr>
              <m:sty m:val="p"/>
            </m:rPr>
            <m:t>%</m:t>
          </m:r>
          <m:r>
            <m:rPr>
              <m:sty m:val="p"/>
            </m:rPr>
            <m:t>=</m:t>
          </m:r>
          <m:r>
            <m:t>90.6</m:t>
          </m:r>
          <m:r>
            <m:rPr>
              <m:sty m:val="p"/>
            </m:rPr>
            <m:t>%</m:t>
          </m:r>
        </m:oMath>
      </m:oMathPara>
    </w:p>
    <w:p>
      <w:pPr>
        <w:pStyle w:val="FirstParagraph"/>
      </w:pPr>
      <w:r>
        <w:t xml:space="preserve">This is consistent with a multi-tenant SaaS on shared infrastructure — marginal cost per additional school is predominantly the variable communications and API cost (UGX ~5,255/month), well below the minimum ARPU of UGX 150,000.</w:t>
      </w:r>
    </w:p>
    <w:p>
      <w:r>
        <w:pict>
          <v:rect style="width:0;height:1.5pt" o:hralign="center" o:hrstd="t" o:hr="t"/>
        </w:pict>
      </w:r>
    </w:p>
    <w:bookmarkEnd w:id="81"/>
    <w:bookmarkEnd w:id="82"/>
    <w:bookmarkStart w:id="83" w:name="Xad2008193b4a231c9277d0e28ea5006d76029fe"/>
    <w:p>
      <w:pPr>
        <w:pStyle w:val="Heading2"/>
      </w:pPr>
      <w:r>
        <w:t xml:space="preserve">4. Break-Even Analysis</w:t>
      </w:r>
    </w:p>
    <w:p>
      <w:pPr>
        <w:pStyle w:val="FirstParagraph"/>
      </w:pPr>
      <w:r>
        <w:rPr>
          <w:b/>
          <w:bCs/>
        </w:rPr>
        <w:t xml:space="preserve">Assumption F5:</w:t>
      </w:r>
      <w:r>
        <w:t xml:space="preserve"> </w:t>
      </w:r>
      <w:r>
        <w:t xml:space="preserve">Fixed costs (Peter's time is currently sweat equity, excluded from Year 1 calculation). At Phase 8+ with AWS infrastructure:</w:t>
      </w:r>
    </w:p>
    <w:p>
      <w:pPr>
        <w:pStyle w:val="BodyText"/>
      </w:pPr>
      <m:oMathPara>
        <m:oMathParaPr>
          <m:jc m:val="center"/>
        </m:oMathParaPr>
        <m:oMath>
          <m:r>
            <m:t>B</m:t>
          </m:r>
          <m:r>
            <m:t>r</m:t>
          </m:r>
          <m:r>
            <m:t>e</m:t>
          </m:r>
          <m:r>
            <m:t>a</m:t>
          </m:r>
          <m:r>
            <m:t>k</m:t>
          </m:r>
          <m:r>
            <m:t> </m:t>
          </m:r>
          <m:r>
            <m:t>E</m:t>
          </m:r>
          <m:r>
            <m:t>v</m:t>
          </m:r>
          <m:r>
            <m:t>e</m:t>
          </m:r>
          <m:r>
            <m:t>n</m:t>
          </m:r>
          <m:r>
            <m:t> </m:t>
          </m:r>
          <m:r>
            <m:t>S</m:t>
          </m:r>
          <m:r>
            <m:t>c</m:t>
          </m:r>
          <m:r>
            <m:t>h</m:t>
          </m:r>
          <m:r>
            <m:t>o</m:t>
          </m:r>
          <m:r>
            <m:t>o</m:t>
          </m:r>
          <m:r>
            <m:t>l</m:t>
          </m:r>
          <m:r>
            <m:t>s</m:t>
          </m:r>
          <m:r>
            <m:rPr>
              <m:sty m:val="p"/>
            </m:rPr>
            <m:t>=</m:t>
          </m:r>
          <m:f>
            <m:fPr>
              <m:type m:val="bar"/>
            </m:fPr>
            <m:num>
              <m:r>
                <m:t>F</m:t>
              </m:r>
              <m:r>
                <m:t>i</m:t>
              </m:r>
              <m:r>
                <m:t>x</m:t>
              </m:r>
              <m:r>
                <m:t>e</m:t>
              </m:r>
              <m:r>
                <m:t>d</m:t>
              </m:r>
              <m:r>
                <m:t> </m:t>
              </m:r>
              <m:r>
                <m:t>M</m:t>
              </m:r>
              <m:r>
                <m:t>o</m:t>
              </m:r>
              <m:r>
                <m:t>n</m:t>
              </m:r>
              <m:r>
                <m:t>t</m:t>
              </m:r>
              <m:r>
                <m:t>h</m:t>
              </m:r>
              <m:r>
                <m:t>l</m:t>
              </m:r>
              <m:r>
                <m:t>y</m:t>
              </m:r>
              <m:r>
                <m:t> </m:t>
              </m:r>
              <m:r>
                <m:t>C</m:t>
              </m:r>
              <m:r>
                <m:t>o</m:t>
              </m:r>
              <m:r>
                <m:t>s</m:t>
              </m:r>
              <m:r>
                <m:t>t</m:t>
              </m:r>
              <m:r>
                <m:t>s</m:t>
              </m:r>
            </m:num>
            <m:den>
              <m:r>
                <m:t>A</m:t>
              </m:r>
              <m:r>
                <m:t>R</m:t>
              </m:r>
              <m:r>
                <m:t>P</m:t>
              </m:r>
              <m:r>
                <m:t>U</m:t>
              </m:r>
              <m:r>
                <m:rPr>
                  <m:sty m:val="p"/>
                </m:rPr>
                <m:t>−</m:t>
              </m:r>
              <m:r>
                <m:t>V</m:t>
              </m:r>
              <m:r>
                <m:t>a</m:t>
              </m:r>
              <m:r>
                <m:t>r</m:t>
              </m:r>
              <m:r>
                <m:t>i</m:t>
              </m:r>
              <m:r>
                <m:t>a</m:t>
              </m:r>
              <m:r>
                <m:t>b</m:t>
              </m:r>
              <m:r>
                <m:t>l</m:t>
              </m:r>
              <m:r>
                <m:t>e</m:t>
              </m:r>
              <m:r>
                <m:t> </m:t>
              </m:r>
              <m:r>
                <m:t>C</m:t>
              </m:r>
              <m:r>
                <m:t>o</m:t>
              </m:r>
              <m:r>
                <m:t>s</m:t>
              </m:r>
              <m:r>
                <m:t>t</m:t>
              </m:r>
              <m:r>
                <m:t> </m:t>
              </m:r>
              <m:r>
                <m:t>P</m:t>
              </m:r>
              <m:r>
                <m:t>e</m:t>
              </m:r>
              <m:r>
                <m:t>r</m:t>
              </m:r>
              <m:r>
                <m:t> </m:t>
              </m:r>
              <m:r>
                <m:t>S</m:t>
              </m:r>
              <m:r>
                <m:t>c</m:t>
              </m:r>
              <m:r>
                <m:t>h</m:t>
              </m:r>
              <m:r>
                <m:t>o</m:t>
              </m:r>
              <m:r>
                <m:t>o</m:t>
              </m:r>
              <m:r>
                <m:t>l</m:t>
              </m:r>
            </m:den>
          </m:f>
        </m:oMath>
      </m:oMathPara>
    </w:p>
    <w:p>
      <w:pPr>
        <w:pStyle w:val="FirstParagraph"/>
      </w:pPr>
      <m:oMathPara>
        <m:oMathParaPr>
          <m:jc m:val="center"/>
        </m:oMathParaPr>
        <m:oMath>
          <m:r>
            <m:t>B</m:t>
          </m:r>
          <m:r>
            <m:t>r</m:t>
          </m:r>
          <m:r>
            <m:t>e</m:t>
          </m:r>
          <m:r>
            <m:t>a</m:t>
          </m:r>
          <m:r>
            <m:t>k</m:t>
          </m:r>
          <m:r>
            <m:t> </m:t>
          </m:r>
          <m:r>
            <m:t>E</m:t>
          </m:r>
          <m:r>
            <m:t>v</m:t>
          </m:r>
          <m:r>
            <m:t>e</m:t>
          </m:r>
          <m:r>
            <m:t>n</m:t>
          </m:r>
          <m:r>
            <m:rPr>
              <m:sty m:val="p"/>
            </m:rPr>
            <m:t>=</m:t>
          </m:r>
          <m:f>
            <m:fPr>
              <m:type m:val="bar"/>
            </m:fPr>
            <m:num>
              <m:r>
                <m:t>4</m:t>
              </m:r>
              <m:r>
                <m:rPr>
                  <m:sty m:val="p"/>
                </m:rPr>
                <m:t>,</m:t>
              </m:r>
              <m:r>
                <m:t>800</m:t>
              </m:r>
              <m:r>
                <m:rPr>
                  <m:sty m:val="p"/>
                </m:rPr>
                <m:t>,</m:t>
              </m:r>
              <m:r>
                <m:t>000</m:t>
              </m:r>
            </m:num>
            <m:den>
              <m:r>
                <m:t>150</m:t>
              </m:r>
              <m:r>
                <m:rPr>
                  <m:sty m:val="p"/>
                </m:rPr>
                <m:t>,</m:t>
              </m:r>
              <m:r>
                <m:t>000</m:t>
              </m:r>
              <m:r>
                <m:rPr>
                  <m:sty m:val="p"/>
                </m:rPr>
                <m:t>−</m:t>
              </m:r>
              <m:r>
                <m:t>5</m:t>
              </m:r>
              <m:r>
                <m:rPr>
                  <m:sty m:val="p"/>
                </m:rPr>
                <m:t>,</m:t>
              </m:r>
              <m:r>
                <m:t>255</m:t>
              </m:r>
            </m:den>
          </m:f>
          <m:r>
            <m:rPr>
              <m:sty m:val="p"/>
            </m:rPr>
            <m:t>=</m:t>
          </m:r>
          <m:f>
            <m:fPr>
              <m:type m:val="bar"/>
            </m:fPr>
            <m:num>
              <m:r>
                <m:t>4</m:t>
              </m:r>
              <m:r>
                <m:rPr>
                  <m:sty m:val="p"/>
                </m:rPr>
                <m:t>,</m:t>
              </m:r>
              <m:r>
                <m:t>800</m:t>
              </m:r>
              <m:r>
                <m:rPr>
                  <m:sty m:val="p"/>
                </m:rPr>
                <m:t>,</m:t>
              </m:r>
              <m:r>
                <m:t>000</m:t>
              </m:r>
            </m:num>
            <m:den>
              <m:r>
                <m:t>144</m:t>
              </m:r>
              <m:r>
                <m:rPr>
                  <m:sty m:val="p"/>
                </m:rPr>
                <m:t>,</m:t>
              </m:r>
              <m:r>
                <m:t>745</m:t>
              </m:r>
            </m:den>
          </m:f>
          <m:r>
            <m:rPr>
              <m:sty m:val="p"/>
            </m:rPr>
            <m:t>≈</m:t>
          </m:r>
          <m:r>
            <m:t>33</m:t>
          </m:r>
          <m:r>
            <m:t> </m:t>
          </m:r>
          <m:r>
            <m:t>s</m:t>
          </m:r>
          <m:r>
            <m:t>c</m:t>
          </m:r>
          <m:r>
            <m:t>h</m:t>
          </m:r>
          <m:r>
            <m:t>o</m:t>
          </m:r>
          <m:r>
            <m:t>o</m:t>
          </m:r>
          <m:r>
            <m:t>l</m:t>
          </m:r>
          <m:r>
            <m:t>s</m:t>
          </m:r>
        </m:oMath>
      </m:oMathPara>
    </w:p>
    <w:p>
      <w:pPr>
        <w:pStyle w:val="FirstParagraph"/>
      </w:pPr>
      <w:r>
        <w:t xml:space="preserve">The business reaches cash-flow positive on infrastructure costs at approximately</w:t>
      </w:r>
      <w:r>
        <w:t xml:space="preserve"> </w:t>
      </w:r>
      <w:r>
        <w:rPr>
          <w:b/>
          <w:bCs/>
        </w:rPr>
        <w:t xml:space="preserve">33 Starter-tier schools</w:t>
      </w:r>
      <w:r>
        <w:t xml:space="preserve">. At 50 schools (Year 1 conservative), the platform is cash-flow positive from go-live.</w:t>
      </w:r>
    </w:p>
    <w:p>
      <w:r>
        <w:pict>
          <v:rect style="width:0;height:1.5pt" o:hralign="center" o:hrstd="t" o:hr="t"/>
        </w:pict>
      </w:r>
    </w:p>
    <w:bookmarkEnd w:id="83"/>
    <w:bookmarkStart w:id="84" w:name="X00b0e74e5dbccd3ee0a9f941206c9f1a2a3d534"/>
    <w:p>
      <w:pPr>
        <w:pStyle w:val="Heading2"/>
      </w:pPr>
      <w:r>
        <w:t xml:space="preserve">5. Assumptions Register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Assumption</w:t>
            </w:r>
          </w:p>
        </w:tc>
        <w:tc>
          <w:tcPr/>
          <w:p>
            <w:pPr>
              <w:pStyle w:val="Compact"/>
            </w:pPr>
            <w:r>
              <w:t xml:space="preserve">Impact if Wrong</w:t>
            </w:r>
          </w:p>
        </w:tc>
      </w:tr>
      <w:tr>
        <w:tc>
          <w:tcPr/>
          <w:p>
            <w:pPr>
              <w:pStyle w:val="Compact"/>
            </w:pPr>
            <w:r>
              <w:t xml:space="preserve">F1</w:t>
            </w:r>
          </w:p>
        </w:tc>
        <w:tc>
          <w:tcPr/>
          <w:p>
            <w:pPr>
              <w:pStyle w:val="Compact"/>
            </w:pPr>
            <w:r>
              <w:t xml:space="preserve">Tier distribution 55/35/10</w:t>
            </w:r>
          </w:p>
        </w:tc>
        <w:tc>
          <w:tcPr/>
          <w:p>
            <w:pPr>
              <w:pStyle w:val="Compact"/>
            </w:pPr>
            <w:r>
              <w:t xml:space="preserve">ARPU differs; adjust blended revenue calculation</w:t>
            </w:r>
          </w:p>
        </w:tc>
      </w:tr>
      <w:tr>
        <w:tc>
          <w:tcPr/>
          <w:p>
            <w:pPr>
              <w:pStyle w:val="Compact"/>
            </w:pPr>
            <w:r>
              <w:t xml:space="preserve">F2</w:t>
            </w:r>
          </w:p>
        </w:tc>
        <w:tc>
          <w:tcPr/>
          <w:p>
            <w:pPr>
              <w:pStyle w:val="Compact"/>
            </w:pPr>
            <w:r>
              <w:t xml:space="preserve">Conservative adoption 50/150/300</w:t>
            </w:r>
          </w:p>
        </w:tc>
        <w:tc>
          <w:tcPr/>
          <w:p>
            <w:pPr>
              <w:pStyle w:val="Compact"/>
            </w:pPr>
            <w:r>
              <w:t xml:space="preserve">Core investment decision basis — downside is slower IRR</w:t>
            </w:r>
          </w:p>
        </w:tc>
      </w:tr>
      <w:tr>
        <w:tc>
          <w:tcPr/>
          <w:p>
            <w:pPr>
              <w:pStyle w:val="Compact"/>
            </w:pPr>
            <w:r>
              <w:t xml:space="preserve">F3</w:t>
            </w:r>
          </w:p>
        </w:tc>
        <w:tc>
          <w:tcPr/>
          <w:p>
            <w:pPr>
              <w:pStyle w:val="Compact"/>
            </w:pPr>
            <w:r>
              <w:t xml:space="preserve">Optimistic adoption 100/300/600</w:t>
            </w:r>
          </w:p>
        </w:tc>
        <w:tc>
          <w:tcPr/>
          <w:p>
            <w:pPr>
              <w:pStyle w:val="Compact"/>
            </w:pPr>
            <w:r>
              <w:t xml:space="preserve">Upside scenario only</w:t>
            </w:r>
          </w:p>
        </w:tc>
      </w:tr>
      <w:tr>
        <w:tc>
          <w:tcPr/>
          <w:p>
            <w:pPr>
              <w:pStyle w:val="Compact"/>
            </w:pPr>
            <w:r>
              <w:t xml:space="preserve">F4</w:t>
            </w:r>
          </w:p>
        </w:tc>
        <w:tc>
          <w:tcPr/>
          <w:p>
            <w:pPr>
              <w:pStyle w:val="Compact"/>
            </w:pPr>
            <w:r>
              <w:t xml:space="preserve">Claude API cost ~USD 0.30/school/month</w:t>
            </w:r>
          </w:p>
        </w:tc>
        <w:tc>
          <w:tcPr/>
          <w:p>
            <w:pPr>
              <w:pStyle w:val="Compact"/>
            </w:pPr>
            <w:r>
              <w:t xml:space="preserve">Costs scale linearly; adjust if usage is higher</w:t>
            </w:r>
          </w:p>
        </w:tc>
      </w:tr>
      <w:tr>
        <w:tc>
          <w:tcPr/>
          <w:p>
            <w:pPr>
              <w:pStyle w:val="Compact"/>
            </w:pPr>
            <w:r>
              <w:t xml:space="preserve">F5</w:t>
            </w:r>
          </w:p>
        </w:tc>
        <w:tc>
          <w:tcPr/>
          <w:p>
            <w:pPr>
              <w:pStyle w:val="Compact"/>
            </w:pPr>
            <w:r>
              <w:t xml:space="preserve">Peter's time excluded from Year 1 cost</w:t>
            </w:r>
          </w:p>
        </w:tc>
        <w:tc>
          <w:tcPr/>
          <w:p>
            <w:pPr>
              <w:pStyle w:val="Compact"/>
            </w:pPr>
            <w:r>
              <w:t xml:space="preserve">Real economic cost is higher; included once team is hired</w:t>
            </w:r>
          </w:p>
        </w:tc>
      </w:tr>
      <w:tr>
        <w:tc>
          <w:tcPr/>
          <w:p>
            <w:pPr>
              <w:pStyle w:val="Compact"/>
            </w:pPr>
            <w:r>
              <w:t xml:space="preserve">F6</w:t>
            </w:r>
          </w:p>
        </w:tc>
        <w:tc>
          <w:tcPr/>
          <w:p>
            <w:pPr>
              <w:pStyle w:val="Compact"/>
            </w:pPr>
            <w:r>
              <w:t xml:space="preserve">Exchange rate UGX 3,750 = USD 1</w:t>
            </w:r>
          </w:p>
        </w:tc>
        <w:tc>
          <w:tcPr/>
          <w:p>
            <w:pPr>
              <w:pStyle w:val="Compact"/>
            </w:pPr>
            <w:r>
              <w:t xml:space="preserve">USD-denominated costs (AWS, Claude) are exposed to UGX/USD movement</w:t>
            </w:r>
          </w:p>
        </w:tc>
      </w:tr>
    </w:tbl>
    <w:p>
      <w:pPr>
        <w:pStyle w:val="BodyText"/>
      </w:pPr>
      <w:r>
        <w:t xml:space="preserve">[CONTEXT-GAP: No actual SchoolPay school count has been independently verified. If the true addressable baseline is materially different from ~11,000, adoption scenario timelines require adjustment.]</w:t>
      </w:r>
    </w:p>
    <w:bookmarkEnd w:id="84"/>
    <w:bookmarkEnd w:id="85"/>
    <w:bookmarkStart w:id="89" w:name="risk-register--academia-pro"/>
    <w:p>
      <w:pPr>
        <w:pStyle w:val="Heading1"/>
      </w:pPr>
      <w:r>
        <w:t xml:space="preserve">Risk Register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Risk scoring: Probability and Impact are rated H (High), M (Medium), or L (Low). Risk Score = Probability × Impact using a 3×3 ordinal matrix: H×H = 9, H×M = 6, M×M = 4, H×L = 3, M×L = 2, L×L = 1.</w:t>
      </w:r>
    </w:p>
    <w:p>
      <w:r>
        <w:pict>
          <v:rect style="width:0;height:1.5pt" o:hralign="center" o:hrstd="t" o:hr="t"/>
        </w:pict>
      </w:r>
    </w:p>
    <w:bookmarkStart w:id="86" w:name="risk-register"/>
    <w:p>
      <w:pPr>
        <w:pStyle w:val="Heading2"/>
      </w:pPr>
      <w:r>
        <w:t xml:space="preserve">Risk Register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 Strategy</w:t>
            </w:r>
          </w:p>
        </w:tc>
      </w:tr>
      <w:tr>
        <w:tc>
          <w:tcPr/>
          <w:p>
            <w:pPr>
              <w:pStyle w:val="Compact"/>
            </w:pPr>
            <w:r>
              <w:rPr>
                <w:b/>
                <w:bCs/>
              </w:rPr>
              <w:t xml:space="preserve">RISK-001</w:t>
            </w:r>
          </w:p>
        </w:tc>
        <w:tc>
          <w:tcPr/>
          <w:p>
            <w:pPr>
              <w:pStyle w:val="Compact"/>
            </w:pPr>
            <w:r>
              <w:rPr>
                <w:b/>
                <w:bCs/>
              </w:rPr>
              <w:t xml:space="preserve">SchoolPay builds a competitive ERP.</w:t>
            </w:r>
            <w:r>
              <w:t xml:space="preserve"> </w:t>
            </w:r>
            <w:r>
              <w:t xml:space="preserve">SchoolPay deploys significant engineering resources to close the feature gap — UNEB grading, mobile apps, EMIS — within 24 months of Academia Pro's launch. Their ~11,000-school network becomes a moat against Academia Pro's primary conversion path.</w:t>
            </w:r>
          </w:p>
        </w:tc>
        <w:tc>
          <w:tcPr/>
          <w:p>
            <w:pPr>
              <w:pStyle w:val="Compact"/>
            </w:pPr>
            <w:r>
              <w:t xml:space="preserve">M</w:t>
            </w:r>
          </w:p>
        </w:tc>
        <w:tc>
          <w:tcPr/>
          <w:p>
            <w:pPr>
              <w:pStyle w:val="Compact"/>
            </w:pPr>
            <w:r>
              <w:t xml:space="preserve">H</w:t>
            </w:r>
          </w:p>
        </w:tc>
        <w:tc>
          <w:tcPr/>
          <w:p>
            <w:pPr>
              <w:pStyle w:val="Compact"/>
            </w:pPr>
            <w:r>
              <w:t xml:space="preserve">6</w:t>
            </w:r>
          </w:p>
        </w:tc>
        <w:tc>
          <w:tcPr/>
          <w:p>
            <w:pPr>
              <w:pStyle w:val="Compact"/>
            </w:pPr>
            <w:r>
              <w:t xml:space="preserve">Complete Phase 1–8 before SchoolPay reaches ERP parity (estimated 3–5 years for full feature depth). Secure 200+ schools with 2+ years of embedded data before the threat materialises. Strengthen non-payment moat: EMIS compliance, PDPO architecture, and offline sync are capabilities outside SchoolPay's core competency. Monitor SchoolPay's product announcements quarterly.</w:t>
            </w:r>
          </w:p>
        </w:tc>
      </w:tr>
      <w:tr>
        <w:tc>
          <w:tcPr/>
          <w:p>
            <w:pPr>
              <w:pStyle w:val="Compact"/>
            </w:pPr>
            <w:r>
              <w:rPr>
                <w:b/>
                <w:bCs/>
              </w:rPr>
              <w:t xml:space="preserve">RISK-002</w:t>
            </w:r>
          </w:p>
        </w:tc>
        <w:tc>
          <w:tcPr/>
          <w:p>
            <w:pPr>
              <w:pStyle w:val="Compact"/>
            </w:pPr>
            <w:r>
              <w:rPr>
                <w:b/>
                <w:bCs/>
              </w:rPr>
              <w:t xml:space="preserve">BoU payment licence not obtained in time for Phase 3.</w:t>
            </w:r>
            <w:r>
              <w:t xml:space="preserve"> </w:t>
            </w:r>
            <w:r>
              <w:t xml:space="preserve">The Bank of Uganda Payment Systems Operator (PSO) licence process takes longer than anticipated, blocking direct MTN MoMo and Airtel Money integration for Phase 3.</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Phase 1–2 revenue does not depend on direct mobile money — SchoolPay handles all payments. Phase 3 direct MoMo is additive, not foundational. Begin pre-application engagement with BoU at Phase 1 (action item in gap-analysis.md). Use a licensed aggregator (e.g., Beyonic, Pesawise) as a Phase 3 interim option if PSO licence is delayed.</w:t>
            </w:r>
          </w:p>
        </w:tc>
      </w:tr>
      <w:tr>
        <w:tc>
          <w:tcPr/>
          <w:p>
            <w:pPr>
              <w:pStyle w:val="Compact"/>
            </w:pPr>
            <w:r>
              <w:rPr>
                <w:b/>
                <w:bCs/>
              </w:rPr>
              <w:t xml:space="preserve">RISK-003</w:t>
            </w:r>
          </w:p>
        </w:tc>
        <w:tc>
          <w:tcPr/>
          <w:p>
            <w:pPr>
              <w:pStyle w:val="Compact"/>
            </w:pPr>
            <w:r>
              <w:rPr>
                <w:b/>
                <w:bCs/>
              </w:rPr>
              <w:t xml:space="preserve">Solo team capacity bottleneck.</w:t>
            </w:r>
            <w:r>
              <w:t xml:space="preserve"> </w:t>
            </w:r>
            <w:r>
              <w:t xml:space="preserve">The 12-phase build plan is substantial for a 1–3-person team. A critical illness, a personal event, or scope creep on any phase delays go-live and revenue.</w:t>
            </w:r>
          </w:p>
        </w:tc>
        <w:tc>
          <w:tcPr/>
          <w:p>
            <w:pPr>
              <w:pStyle w:val="Compact"/>
            </w:pPr>
            <w:r>
              <w:t xml:space="preserve">H</w:t>
            </w:r>
          </w:p>
        </w:tc>
        <w:tc>
          <w:tcPr/>
          <w:p>
            <w:pPr>
              <w:pStyle w:val="Compact"/>
            </w:pPr>
            <w:r>
              <w:t xml:space="preserve">H</w:t>
            </w:r>
          </w:p>
        </w:tc>
        <w:tc>
          <w:tcPr/>
          <w:p>
            <w:pPr>
              <w:pStyle w:val="Compact"/>
            </w:pPr>
            <w:r>
              <w:t xml:space="preserve">9</w:t>
            </w:r>
          </w:p>
        </w:tc>
        <w:tc>
          <w:tcPr/>
          <w:p>
            <w:pPr>
              <w:pStyle w:val="Compact"/>
            </w:pPr>
            <w:r>
              <w:t xml:space="preserve">The 12-phase gate structure (Water-Scrum-Fall) prevents scope creep by locking requirements before each phase. Phase 1–8 scoped to deliver commercial viability first; Phase 11 pan-Africa is after sustainable revenue is established. Track velocity per sprint; if Phase 1 is 20%+ behind by Week 12, reduce Phase 1 scope to core SIS + Fees + Attendance + UNEB grading + Reports only, and defer optional modules to Phase 2. Budget for 1 freelance Laravel developer from Phase 3 onward if revenue permits.</w:t>
            </w:r>
          </w:p>
        </w:tc>
      </w:tr>
      <w:tr>
        <w:tc>
          <w:tcPr/>
          <w:p>
            <w:pPr>
              <w:pStyle w:val="Compact"/>
            </w:pPr>
            <w:r>
              <w:rPr>
                <w:b/>
                <w:bCs/>
              </w:rPr>
              <w:t xml:space="preserve">RISK-004</w:t>
            </w:r>
          </w:p>
        </w:tc>
        <w:tc>
          <w:tcPr/>
          <w:p>
            <w:pPr>
              <w:pStyle w:val="Compact"/>
            </w:pPr>
            <w:r>
              <w:rPr>
                <w:b/>
                <w:bCs/>
              </w:rPr>
              <w:t xml:space="preserve">MoES changes the EMIS data format after Phase 1 build.</w:t>
            </w:r>
            <w:r>
              <w:t xml:space="preserve"> </w:t>
            </w:r>
            <w:r>
              <w:t xml:space="preserve">The Ministry updates the EMIS XML/CSV schema, invalidating Academia Pro's export format and breaking statutory compliance for all schools.</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EMIS format is isolated in a dedicated</w:t>
            </w:r>
            <w:r>
              <w:t xml:space="preserve"> </w:t>
            </w:r>
            <w:r>
              <w:rPr>
                <w:rStyle w:val="VerbatimChar"/>
              </w:rPr>
              <w:t xml:space="preserve">EmisExportService</w:t>
            </w:r>
            <w:r>
              <w:t xml:space="preserve"> </w:t>
            </w:r>
            <w:r>
              <w:t xml:space="preserve">class, not scattered across the codebase. A format change requires updating one service and its tests. Maintain direct contact with the MoES EMIS team; subscribe to MoES communications for format change notices. Phase 12 maintenance plan includes scheduled EMIS format review every academic year.</w:t>
            </w:r>
          </w:p>
        </w:tc>
      </w:tr>
      <w:tr>
        <w:tc>
          <w:tcPr/>
          <w:p>
            <w:pPr>
              <w:pStyle w:val="Compact"/>
            </w:pPr>
            <w:r>
              <w:rPr>
                <w:b/>
                <w:bCs/>
              </w:rPr>
              <w:t xml:space="preserve">RISK-005</w:t>
            </w:r>
          </w:p>
        </w:tc>
        <w:tc>
          <w:tcPr/>
          <w:p>
            <w:pPr>
              <w:pStyle w:val="Compact"/>
            </w:pPr>
            <w:r>
              <w:rPr>
                <w:b/>
                <w:bCs/>
              </w:rPr>
              <w:t xml:space="preserve">Data breach and PDPO liability.</w:t>
            </w:r>
            <w:r>
              <w:t xml:space="preserve"> </w:t>
            </w:r>
            <w:r>
              <w:t xml:space="preserve">A security incident exposes student PII — names, NINs, LINs, health records — affecting multiple schools. The PDPO 2019 requires breach notification to the PDPO Office within 72 hours. Reputational damage could trigger school churn.</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Layered security architecture: AES-256 at rest, TLS 1.3 in transit, OWASP Top 10 zero critical findings (Phase 8 penetration test), role-scoped data access, audit logging on every PII write. PDPO Office registration before Phase 8. Data Processing Agreements with each school. Incident response procedure documented in</w:t>
            </w:r>
            <w:r>
              <w:t xml:space="preserve"> </w:t>
            </w:r>
            <w:r>
              <w:rPr>
                <w:rStyle w:val="VerbatimChar"/>
              </w:rPr>
              <w:t xml:space="preserve">09-governance-compliance/</w:t>
            </w:r>
            <w:r>
              <w:t xml:space="preserve">. Phase 7 health data has additional safeguards (special category classification, restricted access roles). If breach occurs: isolate affected tenant immediately, notify PDPO Office within 72 hours, notify affected data subjects without undue delay.</w:t>
            </w:r>
          </w:p>
        </w:tc>
      </w:tr>
      <w:tr>
        <w:tc>
          <w:tcPr/>
          <w:p>
            <w:pPr>
              <w:pStyle w:val="Compact"/>
            </w:pPr>
            <w:r>
              <w:rPr>
                <w:b/>
                <w:bCs/>
              </w:rPr>
              <w:t xml:space="preserve">RISK-006</w:t>
            </w:r>
          </w:p>
        </w:tc>
        <w:tc>
          <w:tcPr/>
          <w:p>
            <w:pPr>
              <w:pStyle w:val="Compact"/>
            </w:pPr>
            <w:r>
              <w:rPr>
                <w:b/>
                <w:bCs/>
              </w:rPr>
              <w:t xml:space="preserve">School churn — low retention.</w:t>
            </w:r>
            <w:r>
              <w:t xml:space="preserve"> </w:t>
            </w:r>
            <w:r>
              <w:t xml:space="preserve">Schools subscribe, enter their data, then cancel after Term 1 because the product does not deliver on the onboarding promise (too complex, training not effective, features missing).</w:t>
            </w:r>
          </w:p>
        </w:tc>
        <w:tc>
          <w:tcPr/>
          <w:p>
            <w:pPr>
              <w:pStyle w:val="Compact"/>
            </w:pPr>
            <w:r>
              <w:t xml:space="preserve">M</w:t>
            </w:r>
          </w:p>
        </w:tc>
        <w:tc>
          <w:tcPr/>
          <w:p>
            <w:pPr>
              <w:pStyle w:val="Compact"/>
            </w:pPr>
            <w:r>
              <w:t xml:space="preserve">H</w:t>
            </w:r>
          </w:p>
        </w:tc>
        <w:tc>
          <w:tcPr/>
          <w:p>
            <w:pPr>
              <w:pStyle w:val="Compact"/>
            </w:pPr>
            <w:r>
              <w:t xml:space="preserve">6</w:t>
            </w:r>
          </w:p>
        </w:tc>
        <w:tc>
          <w:tcPr/>
          <w:p>
            <w:pPr>
              <w:pStyle w:val="Compact"/>
            </w:pPr>
            <w:r>
              <w:t xml:space="preserve">Design Covenant is a hard constraint on complexity: 30-minute onboarding, role-scoped UX, embedded video help per module. Phase 9 trial schools (10–20) provide retention data before full commercial launch. Retention metric: ≥ 80% of pilot schools renew at 12 months. If a school cancels, exit interview is mandatory — findings fed back into Phase 12 improvement cycle. 90-day data grace period removes the "I'll cancel and come back" risk by not penalising temporary lapses.</w:t>
            </w:r>
          </w:p>
        </w:tc>
      </w:tr>
      <w:tr>
        <w:tc>
          <w:tcPr/>
          <w:p>
            <w:pPr>
              <w:pStyle w:val="Compact"/>
            </w:pPr>
            <w:r>
              <w:rPr>
                <w:b/>
                <w:bCs/>
              </w:rPr>
              <w:t xml:space="preserve">RISK-007</w:t>
            </w:r>
          </w:p>
        </w:tc>
        <w:tc>
          <w:tcPr/>
          <w:p>
            <w:pPr>
              <w:pStyle w:val="Compact"/>
            </w:pPr>
            <w:r>
              <w:rPr>
                <w:b/>
                <w:bCs/>
              </w:rPr>
              <w:t xml:space="preserve">Pan-Africa localisation complexity — currency, curriculum, and regulation diverge significantly.</w:t>
            </w:r>
            <w:r>
              <w:t xml:space="preserve"> </w:t>
            </w:r>
            <w:r>
              <w:t xml:space="preserve">The country-profile architecture works for payment and currency, but curriculum engine differences (WAEC vs. UNEB vs. KCSE) require more development than estimated, delaying Phase 11.</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Pan-Africa (Phase 11) is after Uganda revenue is stable. Each country's curriculum engine is a self-contained service. Phase 11 scope is not commercially necessary for break-even (33 Uganda schools achieves that). If Phase 11 is delayed by 6–12 months, Uganda revenue continues unaffected. Prioritise Kenya first (KCSE grading is structurally similar to UNEB; M-Pesa Daraja API is well-documented).</w:t>
            </w:r>
          </w:p>
        </w:tc>
      </w:tr>
      <w:tr>
        <w:tc>
          <w:tcPr/>
          <w:p>
            <w:pPr>
              <w:pStyle w:val="Compact"/>
            </w:pPr>
            <w:r>
              <w:rPr>
                <w:b/>
                <w:bCs/>
              </w:rPr>
              <w:t xml:space="preserve">RISK-008</w:t>
            </w:r>
          </w:p>
        </w:tc>
        <w:tc>
          <w:tcPr/>
          <w:p>
            <w:pPr>
              <w:pStyle w:val="Compact"/>
            </w:pPr>
            <w:r>
              <w:rPr>
                <w:b/>
                <w:bCs/>
              </w:rPr>
              <w:t xml:space="preserve">UNEB changes grading rules without adequate notice.</w:t>
            </w:r>
            <w:r>
              <w:t xml:space="preserve"> </w:t>
            </w:r>
            <w:r>
              <w:t xml:space="preserve">UNEB modifies PLE, UCE, or UACE grading rules mid-development, requiring the grading engine to be rebuilt.</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The grading engine is data-driven: grading rules are configuration, not hardcoded. A rule change requires updating the rule set and rerunning tests against UNEB sample sheets — not a full rebuild. Maintain direct contact with UNEB; validate engine against each published examination cycle's results. Phase 12 maintenance includes annual UNEB rule review.</w:t>
            </w:r>
          </w:p>
        </w:tc>
      </w:tr>
      <w:tr>
        <w:tc>
          <w:tcPr/>
          <w:p>
            <w:pPr>
              <w:pStyle w:val="Compact"/>
            </w:pPr>
            <w:r>
              <w:rPr>
                <w:b/>
                <w:bCs/>
              </w:rPr>
              <w:t xml:space="preserve">RISK-009</w:t>
            </w:r>
          </w:p>
        </w:tc>
        <w:tc>
          <w:tcPr/>
          <w:p>
            <w:pPr>
              <w:pStyle w:val="Compact"/>
            </w:pPr>
            <w:r>
              <w:rPr>
                <w:b/>
                <w:bCs/>
              </w:rPr>
              <w:t xml:space="preserve">SchoolPay API changes or removes a critical endpoint.</w:t>
            </w:r>
            <w:r>
              <w:t xml:space="preserve"> </w:t>
            </w:r>
            <w:r>
              <w:t xml:space="preserve">SchoolPay changes its API contract (endpoint URLs, authentication scheme, or payload format) without adequate notice, breaking Academia Pro's reconciliation system.</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All SchoolPay API calls are isolated in a</w:t>
            </w:r>
            <w:r>
              <w:t xml:space="preserve"> </w:t>
            </w:r>
            <w:r>
              <w:rPr>
                <w:rStyle w:val="VerbatimChar"/>
              </w:rPr>
              <w:t xml:space="preserve">SchoolPayGateway</w:t>
            </w:r>
            <w:r>
              <w:t xml:space="preserve"> </w:t>
            </w:r>
            <w:r>
              <w:t xml:space="preserve">class — a facade pattern. An API change requires updating one class. Nightly polling fallback (</w:t>
            </w:r>
            <w:r>
              <w:rPr>
                <w:rStyle w:val="VerbatimChar"/>
              </w:rPr>
              <w:t xml:space="preserve">SyncSchoolTransactions</w:t>
            </w:r>
            <w:r>
              <w:t xml:space="preserve">) is a secondary reconciliation layer that reduces real-time dependency. Bursar manual reconciliation is a tertiary fallback. Formal merchant partnership agreement with SchoolPay should include an advance notice clause for breaking API changes.</w:t>
            </w:r>
          </w:p>
        </w:tc>
      </w:tr>
      <w:tr>
        <w:tc>
          <w:tcPr/>
          <w:p>
            <w:pPr>
              <w:pStyle w:val="Compact"/>
            </w:pPr>
            <w:r>
              <w:rPr>
                <w:b/>
                <w:bCs/>
              </w:rPr>
              <w:t xml:space="preserve">RISK-010</w:t>
            </w:r>
          </w:p>
        </w:tc>
        <w:tc>
          <w:tcPr/>
          <w:p>
            <w:pPr>
              <w:pStyle w:val="Compact"/>
            </w:pPr>
            <w:r>
              <w:rPr>
                <w:b/>
                <w:bCs/>
              </w:rPr>
              <w:t xml:space="preserve">Android app rejected from Google Play Store.</w:t>
            </w:r>
            <w:r>
              <w:t xml:space="preserve"> </w:t>
            </w:r>
            <w:r>
              <w:t xml:space="preserve">Google Play Store review rejects one or more of the 6 Android apps for policy compliance reasons (permissions, data safety declaration, or PDPO/privacy policy gaps), delaying Phase 8 go-live.</w:t>
            </w:r>
          </w:p>
        </w:tc>
        <w:tc>
          <w:tcPr/>
          <w:p>
            <w:pPr>
              <w:pStyle w:val="Compact"/>
            </w:pPr>
            <w:r>
              <w:t xml:space="preserve">L</w:t>
            </w:r>
          </w:p>
        </w:tc>
        <w:tc>
          <w:tcPr/>
          <w:p>
            <w:pPr>
              <w:pStyle w:val="Compact"/>
            </w:pPr>
            <w:r>
              <w:t xml:space="preserve">M</w:t>
            </w:r>
          </w:p>
        </w:tc>
        <w:tc>
          <w:tcPr/>
          <w:p>
            <w:pPr>
              <w:pStyle w:val="Compact"/>
            </w:pPr>
            <w:r>
              <w:t xml:space="preserve">2</w:t>
            </w:r>
          </w:p>
        </w:tc>
        <w:tc>
          <w:tcPr/>
          <w:p>
            <w:pPr>
              <w:pStyle w:val="Compact"/>
            </w:pPr>
            <w:r>
              <w:t xml:space="preserve">Follow Google Play Store compliance guidelines from Phase 1 planning (data safety section, sensitive permissions declaration, privacy policy URL). Run an internal Play Store compliance check at Phase 7 completion — before the Phase 8 submission. Address rejection criteria immediately; average Play Store review time is 3–7 days for re-submissions.</w:t>
            </w:r>
          </w:p>
        </w:tc>
      </w:tr>
    </w:tbl>
    <w:p>
      <w:r>
        <w:pict>
          <v:rect style="width:0;height:1.5pt" o:hralign="center" o:hrstd="t" o:hr="t"/>
        </w:pict>
      </w:r>
    </w:p>
    <w:bookmarkEnd w:id="86"/>
    <w:bookmarkStart w:id="87" w:name="risk-heatmap"/>
    <w:p>
      <w:pPr>
        <w:pStyle w:val="Heading2"/>
      </w:pPr>
      <w:r>
        <w:t xml:space="preserve">Risk Heatmap</w:t>
      </w:r>
    </w:p>
    <w:p>
      <w:pPr>
        <w:pStyle w:val="SourceCode"/>
      </w:pPr>
      <w:r>
        <w:rPr>
          <w:rStyle w:val="VerbatimChar"/>
        </w:rPr>
        <w:t xml:space="preserve">        IMPACT</w:t>
      </w:r>
      <w:r>
        <w:br/>
      </w:r>
      <w:r>
        <w:rPr>
          <w:rStyle w:val="VerbatimChar"/>
        </w:rPr>
        <w:t xml:space="preserve">         L     M     H</w:t>
      </w:r>
      <w:r>
        <w:br/>
      </w:r>
      <w:r>
        <w:rPr>
          <w:rStyle w:val="VerbatimChar"/>
        </w:rPr>
        <w:t xml:space="preserve">       +-----+-----+-----+</w:t>
      </w:r>
      <w:r>
        <w:br/>
      </w:r>
      <w:r>
        <w:rPr>
          <w:rStyle w:val="VerbatimChar"/>
        </w:rPr>
        <w:t xml:space="preserve">  H    |     |     | R03 |</w:t>
      </w:r>
      <w:r>
        <w:br/>
      </w:r>
      <w:r>
        <w:rPr>
          <w:rStyle w:val="VerbatimChar"/>
        </w:rPr>
        <w:t xml:space="preserve">       +-----+-----+-----+</w:t>
      </w:r>
      <w:r>
        <w:br/>
      </w:r>
      <w:r>
        <w:rPr>
          <w:rStyle w:val="VerbatimChar"/>
        </w:rPr>
        <w:t xml:space="preserve">  M    |     |R02  | R01 |</w:t>
      </w:r>
      <w:r>
        <w:br/>
      </w:r>
      <w:r>
        <w:rPr>
          <w:rStyle w:val="VerbatimChar"/>
        </w:rPr>
        <w:t xml:space="preserve">P      |     |R04  | R06 |</w:t>
      </w:r>
      <w:r>
        <w:br/>
      </w:r>
      <w:r>
        <w:rPr>
          <w:rStyle w:val="VerbatimChar"/>
        </w:rPr>
        <w:t xml:space="preserve">R      |     |R007 |     |</w:t>
      </w:r>
      <w:r>
        <w:br/>
      </w:r>
      <w:r>
        <w:rPr>
          <w:rStyle w:val="VerbatimChar"/>
        </w:rPr>
        <w:t xml:space="preserve">O      +-----+-----+-----+</w:t>
      </w:r>
      <w:r>
        <w:br/>
      </w:r>
      <w:r>
        <w:rPr>
          <w:rStyle w:val="VerbatimChar"/>
        </w:rPr>
        <w:t xml:space="preserve">B  L   | R10 |     | R05 |</w:t>
      </w:r>
      <w:r>
        <w:br/>
      </w:r>
      <w:r>
        <w:rPr>
          <w:rStyle w:val="VerbatimChar"/>
        </w:rPr>
        <w:t xml:space="preserve">       |     |     | R08 |</w:t>
      </w:r>
      <w:r>
        <w:br/>
      </w:r>
      <w:r>
        <w:rPr>
          <w:rStyle w:val="VerbatimChar"/>
        </w:rPr>
        <w:t xml:space="preserve">       |     |     | R09 |</w:t>
      </w:r>
      <w:r>
        <w:br/>
      </w:r>
      <w:r>
        <w:rPr>
          <w:rStyle w:val="VerbatimChar"/>
        </w:rPr>
        <w:t xml:space="preserve">       +-----+-----+-----+</w:t>
      </w:r>
    </w:p>
    <w:p>
      <w:pPr>
        <w:pStyle w:val="FirstParagraph"/>
      </w:pPr>
      <w:r>
        <w:rPr>
          <w:b/>
          <w:bCs/>
        </w:rPr>
        <w:t xml:space="preserve">Critical risks (score ≥ 6):</w:t>
      </w:r>
    </w:p>
    <w:p>
      <w:pPr>
        <w:pStyle w:val="Compact"/>
        <w:numPr>
          <w:ilvl w:val="0"/>
          <w:numId w:val="1024"/>
        </w:numPr>
      </w:pPr>
      <w:r>
        <w:rPr>
          <w:b/>
          <w:bCs/>
        </w:rPr>
        <w:t xml:space="preserve">RISK-003</w:t>
      </w:r>
      <w:r>
        <w:t xml:space="preserve"> </w:t>
      </w:r>
      <w:r>
        <w:t xml:space="preserve">(Solo team capacity, score 9) — highest priority; mitigated by phase gating and scope management</w:t>
      </w:r>
    </w:p>
    <w:p>
      <w:pPr>
        <w:pStyle w:val="Compact"/>
        <w:numPr>
          <w:ilvl w:val="0"/>
          <w:numId w:val="1024"/>
        </w:numPr>
      </w:pPr>
      <w:r>
        <w:rPr>
          <w:b/>
          <w:bCs/>
        </w:rPr>
        <w:t xml:space="preserve">RISK-001</w:t>
      </w:r>
      <w:r>
        <w:t xml:space="preserve"> </w:t>
      </w:r>
      <w:r>
        <w:t xml:space="preserve">(SchoolPay ERP competition, score 6) — mitigated by speed to Phase 8 and moat depth</w:t>
      </w:r>
    </w:p>
    <w:p>
      <w:pPr>
        <w:pStyle w:val="Compact"/>
        <w:numPr>
          <w:ilvl w:val="0"/>
          <w:numId w:val="1024"/>
        </w:numPr>
      </w:pPr>
      <w:r>
        <w:rPr>
          <w:b/>
          <w:bCs/>
        </w:rPr>
        <w:t xml:space="preserve">RISK-006</w:t>
      </w:r>
      <w:r>
        <w:t xml:space="preserve"> </w:t>
      </w:r>
      <w:r>
        <w:t xml:space="preserve">(School churn, score 6) — mitigated by Design Covenant and Phase 9 pilot validation</w:t>
      </w:r>
    </w:p>
    <w:p>
      <w:r>
        <w:pict>
          <v:rect style="width:0;height:1.5pt" o:hralign="center" o:hrstd="t" o:hr="t"/>
        </w:pict>
      </w:r>
    </w:p>
    <w:bookmarkEnd w:id="87"/>
    <w:bookmarkStart w:id="88" w:name="action-items-from-risk-register"/>
    <w:p>
      <w:pPr>
        <w:pStyle w:val="Heading2"/>
      </w:pPr>
      <w:r>
        <w:t xml:space="preserve">Action Items from Risk Register</w:t>
      </w:r>
    </w:p>
    <w:p>
      <w:pPr>
        <w:pStyle w:val="Compact"/>
        <w:numPr>
          <w:ilvl w:val="0"/>
          <w:numId w:val="1025"/>
        </w:numPr>
      </w:pPr>
      <w:r>
        <w:t xml:space="preserve">Begin BoU PSO licence pre-application engagement at Phase 1 (RISK-002).</w:t>
      </w:r>
    </w:p>
    <w:p>
      <w:pPr>
        <w:pStyle w:val="Compact"/>
        <w:numPr>
          <w:ilvl w:val="0"/>
          <w:numId w:val="1025"/>
        </w:numPr>
      </w:pPr>
      <w:r>
        <w:t xml:space="preserve">Contact SchoolPay for formal merchant partnership agreement with API change notice clause (RISK-009).</w:t>
      </w:r>
    </w:p>
    <w:p>
      <w:pPr>
        <w:pStyle w:val="Compact"/>
        <w:numPr>
          <w:ilvl w:val="0"/>
          <w:numId w:val="1025"/>
        </w:numPr>
      </w:pPr>
      <w:r>
        <w:t xml:space="preserve">Track Phase 1 build velocity from Week 1; define scope reduction triggers at Week 12 if behind schedule (RISK-003).</w:t>
      </w:r>
    </w:p>
    <w:p>
      <w:pPr>
        <w:pStyle w:val="Compact"/>
        <w:numPr>
          <w:ilvl w:val="0"/>
          <w:numId w:val="1025"/>
        </w:numPr>
      </w:pPr>
      <w:r>
        <w:t xml:space="preserve">Register Chwezi Core Systems with the PDPO Office before Phase 8 go-live (RISK-005).</w:t>
      </w:r>
    </w:p>
    <w:p>
      <w:pPr>
        <w:pStyle w:val="Compact"/>
        <w:numPr>
          <w:ilvl w:val="0"/>
          <w:numId w:val="1025"/>
        </w:numPr>
      </w:pPr>
      <w:r>
        <w:t xml:space="preserve">Schedule a Google Play Store compliance self-audit at Phase 7 completion (RISK-010).</w:t>
      </w:r>
    </w:p>
    <w:bookmarkEnd w:id="88"/>
    <w:bookmarkEnd w:id="89"/>
    <w:bookmarkStart w:id="97" w:name="go--no-go-recommendation--academia-pro"/>
    <w:p>
      <w:pPr>
        <w:pStyle w:val="Heading1"/>
      </w:pPr>
      <w:r>
        <w:t xml:space="preserve">Go / No-Go Recommendation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r>
        <w:t xml:space="preserve"> </w:t>
      </w:r>
      <w:r>
        <w:rPr>
          <w:b/>
          <w:bCs/>
        </w:rPr>
        <w:t xml:space="preserve">Decision Authority:</w:t>
      </w:r>
      <w:r>
        <w:t xml:space="preserve"> </w:t>
      </w:r>
      <w:r>
        <w:t xml:space="preserve">Peter / Chwezi Core Systems</w:t>
      </w:r>
    </w:p>
    <w:p>
      <w:r>
        <w:pict>
          <v:rect style="width:0;height:1.5pt" o:hralign="center" o:hrstd="t" o:hr="t"/>
        </w:pict>
      </w:r>
    </w:p>
    <w:bookmarkStart w:id="90" w:name="X4e245aea7cc935a5530563396dbc6b4bb9e6f4f"/>
    <w:p>
      <w:pPr>
        <w:pStyle w:val="Heading2"/>
      </w:pPr>
      <w:r>
        <w:t xml:space="preserve">1. Recommendation</w:t>
      </w:r>
    </w:p>
    <w:p>
      <w:pPr>
        <w:pStyle w:val="FirstParagraph"/>
      </w:pPr>
      <w:r>
        <w:rPr>
          <w:b/>
          <w:bCs/>
        </w:rPr>
        <w:t xml:space="preserve">GO.</w:t>
      </w:r>
    </w:p>
    <w:p>
      <w:pPr>
        <w:pStyle w:val="BodyText"/>
      </w:pPr>
      <w:r>
        <w:t xml:space="preserve">The evidence presented in this business case supports proceeding with Academia Pro development. The recommendation is conditional on completing the Phase 1 gate criteria listed in Section 3 of this document before the first line of production code is written.</w:t>
      </w:r>
    </w:p>
    <w:p>
      <w:r>
        <w:pict>
          <v:rect style="width:0;height:1.5pt" o:hralign="center" o:hrstd="t" o:hr="t"/>
        </w:pict>
      </w:r>
    </w:p>
    <w:bookmarkEnd w:id="90"/>
    <w:bookmarkStart w:id="93" w:name="Xae62bd6bebf843ccde60355323b1d7ebec489da"/>
    <w:p>
      <w:pPr>
        <w:pStyle w:val="Heading2"/>
      </w:pPr>
      <w:r>
        <w:t xml:space="preserve">2. Decision Rationale</w:t>
      </w:r>
    </w:p>
    <w:bookmarkStart w:id="91" w:name="Xa02b860575c45fd1e2f0941c52308cc67604c39"/>
    <w:p>
      <w:pPr>
        <w:pStyle w:val="Heading3"/>
      </w:pPr>
      <w:r>
        <w:t xml:space="preserve">2.1 Factors Supporting 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Evidence</w:t>
            </w:r>
          </w:p>
        </w:tc>
      </w:tr>
      <w:tr>
        <w:tc>
          <w:tcPr/>
          <w:p>
            <w:pPr>
              <w:pStyle w:val="Compact"/>
            </w:pPr>
            <w:r>
              <w:t xml:space="preserve">Quantified market gap</w:t>
            </w:r>
          </w:p>
        </w:tc>
        <w:tc>
          <w:tcPr/>
          <w:p>
            <w:pPr>
              <w:pStyle w:val="Compact"/>
            </w:pPr>
            <w:r>
              <w:t xml:space="preserve">~25,000 Uganda schools; majority operating on paper or Excel. No competitor meets all 6 requirements identified in Section 02.</w:t>
            </w:r>
          </w:p>
        </w:tc>
      </w:tr>
      <w:tr>
        <w:tc>
          <w:tcPr/>
          <w:p>
            <w:pPr>
              <w:pStyle w:val="Compact"/>
            </w:pPr>
            <w:r>
              <w:t xml:space="preserve">Payment integration path is clear</w:t>
            </w:r>
          </w:p>
        </w:tc>
        <w:tc>
          <w:tcPr/>
          <w:p>
            <w:pPr>
              <w:pStyle w:val="Compact"/>
            </w:pPr>
            <w:r>
              <w:t xml:space="preserve">SchoolPay API documented; sandbox contact identified (</w:t>
            </w:r>
            <w:r>
              <w:rPr>
                <w:rStyle w:val="VerbatimChar"/>
              </w:rPr>
              <w:t xml:space="preserve">[email protected]</w:t>
            </w:r>
            <w:r>
              <w:t xml:space="preserve">); no BoU licence required for Phase 1. Schools face zero payment disruption.</w:t>
            </w:r>
          </w:p>
        </w:tc>
      </w:tr>
      <w:tr>
        <w:tc>
          <w:tcPr/>
          <w:p>
            <w:pPr>
              <w:pStyle w:val="Compact"/>
            </w:pPr>
            <w:r>
              <w:t xml:space="preserve">Break-even is achievable at low scale</w:t>
            </w:r>
          </w:p>
        </w:tc>
        <w:tc>
          <w:tcPr/>
          <w:p>
            <w:pPr>
              <w:pStyle w:val="Compact"/>
            </w:pPr>
            <w:r>
              <w:t xml:space="preserve">33 Starter-tier schools covers Phase 8+ infrastructure costs. Year 1 conservative target of 50 schools is above break-even.</w:t>
            </w:r>
          </w:p>
        </w:tc>
      </w:tr>
      <w:tr>
        <w:tc>
          <w:tcPr/>
          <w:p>
            <w:pPr>
              <w:pStyle w:val="Compact"/>
            </w:pPr>
            <w:r>
              <w:t xml:space="preserve">Competition window is open</w:t>
            </w:r>
          </w:p>
        </w:tc>
        <w:tc>
          <w:tcPr/>
          <w:p>
            <w:pPr>
              <w:pStyle w:val="Compact"/>
            </w:pPr>
            <w:r>
              <w:t xml:space="preserve">SchoolPay ERP is structurally immature (January 2024 launch). ShuleKeeper has documented compliance and technical deficiencies. No competitor has confirmed UNEB grading + EMIS + mobile apps + PDPO compliance simultaneously.</w:t>
            </w:r>
          </w:p>
        </w:tc>
      </w:tr>
      <w:tr>
        <w:tc>
          <w:tcPr/>
          <w:p>
            <w:pPr>
              <w:pStyle w:val="Compact"/>
            </w:pPr>
            <w:r>
              <w:t xml:space="preserve">Technology is standard and well-understood</w:t>
            </w:r>
          </w:p>
        </w:tc>
        <w:tc>
          <w:tcPr/>
          <w:p>
            <w:pPr>
              <w:pStyle w:val="Compact"/>
            </w:pPr>
            <w:r>
              <w:t xml:space="preserve">PHP/Laravel, React, Kotlin/Jetpack Compose, MySQL, Redis — a solo developer with this stack can build Phase 1 without exotic dependencies.</w:t>
            </w:r>
          </w:p>
        </w:tc>
      </w:tr>
      <w:tr>
        <w:tc>
          <w:tcPr/>
          <w:p>
            <w:pPr>
              <w:pStyle w:val="Compact"/>
            </w:pPr>
            <w:r>
              <w:t xml:space="preserve">Regulatory requirements are documented and solvable</w:t>
            </w:r>
          </w:p>
        </w:tc>
        <w:tc>
          <w:tcPr/>
          <w:p>
            <w:pPr>
              <w:pStyle w:val="Compact"/>
            </w:pPr>
            <w:r>
              <w:t xml:space="preserve">PDPO 2019, UNEB grading rules, EMIS format, and BoU payment regulations are all identified and mapped to concrete actions. None require multi-year licensing processes before Phase 1 launch.</w:t>
            </w:r>
          </w:p>
        </w:tc>
      </w:tr>
      <w:tr>
        <w:tc>
          <w:tcPr/>
          <w:p>
            <w:pPr>
              <w:pStyle w:val="Compact"/>
            </w:pPr>
            <w:r>
              <w:t xml:space="preserve">Phase 8 go-live is a defined target, not open-ended</w:t>
            </w:r>
          </w:p>
        </w:tc>
        <w:tc>
          <w:tcPr/>
          <w:p>
            <w:pPr>
              <w:pStyle w:val="Compact"/>
            </w:pPr>
            <w:r>
              <w:t xml:space="preserve">12 phases, each with gate criteria. Revenue begins at Phase 8 (or earlier at Phase 9 pilot). The Water-Scrum-Fall methodology enforces sign-off before each phase begins.</w:t>
            </w:r>
          </w:p>
        </w:tc>
      </w:tr>
    </w:tbl>
    <w:bookmarkEnd w:id="91"/>
    <w:bookmarkStart w:id="92" w:name="Xd50fef10c9d123db4a46a3f52151eee81c403b8"/>
    <w:p>
      <w:pPr>
        <w:pStyle w:val="Heading3"/>
      </w:pPr>
      <w:r>
        <w:t xml:space="preserve">2.2 Factors Warranting Caution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Solo team capacity (RISK-003, score 9)</w:t>
            </w:r>
          </w:p>
        </w:tc>
        <w:tc>
          <w:tcPr/>
          <w:p>
            <w:pPr>
              <w:pStyle w:val="Compact"/>
            </w:pPr>
            <w:r>
              <w:t xml:space="preserve">The single highest-risk item. Mitigated by phase gating and a defined scope reduction trigger (if Phase 1 is 20%+ behind at Week 12, reduce scope to core SIS + Fees + Attendance + UNEB + Reports).</w:t>
            </w:r>
          </w:p>
        </w:tc>
      </w:tr>
      <w:tr>
        <w:tc>
          <w:tcPr/>
          <w:p>
            <w:pPr>
              <w:pStyle w:val="Compact"/>
            </w:pPr>
            <w:r>
              <w:t xml:space="preserve">8 HIGH-priority gaps unresolved</w:t>
            </w:r>
          </w:p>
        </w:tc>
        <w:tc>
          <w:tcPr/>
          <w:p>
            <w:pPr>
              <w:pStyle w:val="Compact"/>
            </w:pPr>
            <w:r>
              <w:t xml:space="preserve">Development must not begin until all 8 HIGH gaps are resolved. Starting with unresolved gaps introduces architectural rework mid-build — the most expensive form of technical debt.</w:t>
            </w:r>
          </w:p>
        </w:tc>
      </w:tr>
      <w:tr>
        <w:tc>
          <w:tcPr/>
          <w:p>
            <w:pPr>
              <w:pStyle w:val="Compact"/>
            </w:pPr>
            <w:r>
              <w:t xml:space="preserve">SchoolPay sandbox not yet obtained</w:t>
            </w:r>
          </w:p>
        </w:tc>
        <w:tc>
          <w:tcPr/>
          <w:p>
            <w:pPr>
              <w:pStyle w:val="Compact"/>
            </w:pPr>
            <w:r>
              <w:t xml:space="preserve">Phase 1 fee module cannot be fully developed or tested without SchoolPay sandbox credentials. This is a pre-development action item, not a reason to delay the GO decision.</w:t>
            </w:r>
          </w:p>
        </w:tc>
      </w:tr>
      <w:tr>
        <w:tc>
          <w:tcPr/>
          <w:p>
            <w:pPr>
              <w:pStyle w:val="Compact"/>
            </w:pPr>
            <w:r>
              <w:t xml:space="preserve">PDPO Office not yet registered</w:t>
            </w:r>
          </w:p>
        </w:tc>
        <w:tc>
          <w:tcPr/>
          <w:p>
            <w:pPr>
              <w:pStyle w:val="Compact"/>
            </w:pPr>
            <w:r>
              <w:t xml:space="preserve">Registration is a pre-go-live requirement, not a pre-development requirement. However, the compliance architecture (data model, encryption, retention rules) must be designed into Phase 1.</w:t>
            </w:r>
          </w:p>
        </w:tc>
      </w:tr>
    </w:tbl>
    <w:p>
      <w:pPr>
        <w:pStyle w:val="BodyText"/>
      </w:pPr>
      <w:r>
        <w:t xml:space="preserve">No factor in the Caution column is a blocker for a GO decision — each has a defined resolution action. A NO-GO decision would be appropriate only if the SchoolPay API were found to be inaccessible for third-party integration, or if the UNEB grading rules were unavailable for implementation. Neither condition has been confirmed.</w:t>
      </w:r>
    </w:p>
    <w:p>
      <w:r>
        <w:pict>
          <v:rect style="width:0;height:1.5pt" o:hralign="center" o:hrstd="t" o:hr="t"/>
        </w:pict>
      </w:r>
    </w:p>
    <w:bookmarkEnd w:id="92"/>
    <w:bookmarkEnd w:id="93"/>
    <w:bookmarkStart w:id="94" w:name="X6253536f5d115592a0f0d3470b54f48d1dec0ea"/>
    <w:p>
      <w:pPr>
        <w:pStyle w:val="Heading2"/>
      </w:pPr>
      <w:r>
        <w:t xml:space="preserve">3. Phase 1 Gate Criteria</w:t>
      </w:r>
    </w:p>
    <w:p>
      <w:pPr>
        <w:pStyle w:val="FirstParagraph"/>
      </w:pPr>
      <w:r>
        <w:t xml:space="preserve">The following criteria must all be met before Phase 1 development begins. This is the formalised gate requirement from</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Status</w:t>
            </w:r>
          </w:p>
        </w:tc>
        <w:tc>
          <w:tcPr/>
          <w:p>
            <w:pPr>
              <w:pStyle w:val="Compact"/>
            </w:pPr>
            <w:r>
              <w:t xml:space="preserve">Owner</w:t>
            </w:r>
          </w:p>
        </w:tc>
      </w:tr>
      <w:tr>
        <w:tc>
          <w:tcPr/>
          <w:p>
            <w:pPr>
              <w:pStyle w:val="Compact"/>
            </w:pPr>
            <w:r>
              <w:t xml:space="preserve">1</w:t>
            </w:r>
          </w:p>
        </w:tc>
        <w:tc>
          <w:tcPr/>
          <w:p>
            <w:pPr>
              <w:pStyle w:val="Compact"/>
            </w:pPr>
            <w:r>
              <w:rPr>
                <w:b/>
                <w:bCs/>
              </w:rPr>
              <w:t xml:space="preserve">HIGH-001</w:t>
            </w:r>
            <w:r>
              <w:t xml:space="preserve"> </w:t>
            </w:r>
            <w:r>
              <w:t xml:space="preserve">Security architecture document written and reviewed</w:t>
            </w:r>
          </w:p>
        </w:tc>
        <w:tc>
          <w:tcPr/>
          <w:p>
            <w:pPr>
              <w:pStyle w:val="Compact"/>
            </w:pPr>
            <w:r>
              <w:t xml:space="preserve">Not started</w:t>
            </w:r>
          </w:p>
        </w:tc>
        <w:tc>
          <w:tcPr/>
          <w:p>
            <w:pPr>
              <w:pStyle w:val="Compact"/>
            </w:pPr>
            <w:r>
              <w:t xml:space="preserve">Peter</w:t>
            </w:r>
          </w:p>
        </w:tc>
      </w:tr>
      <w:tr>
        <w:tc>
          <w:tcPr/>
          <w:p>
            <w:pPr>
              <w:pStyle w:val="Compact"/>
            </w:pPr>
            <w:r>
              <w:t xml:space="preserve">2</w:t>
            </w:r>
          </w:p>
        </w:tc>
        <w:tc>
          <w:tcPr/>
          <w:p>
            <w:pPr>
              <w:pStyle w:val="Compact"/>
            </w:pPr>
            <w:r>
              <w:rPr>
                <w:b/>
                <w:bCs/>
              </w:rPr>
              <w:t xml:space="preserve">HIGH-002</w:t>
            </w:r>
            <w:r>
              <w:t xml:space="preserve"> </w:t>
            </w:r>
            <w:r>
              <w:t xml:space="preserve">Consolidated ERD drawn (Phase 1 entities minimum)</w:t>
            </w:r>
          </w:p>
        </w:tc>
        <w:tc>
          <w:tcPr/>
          <w:p>
            <w:pPr>
              <w:pStyle w:val="Compact"/>
            </w:pPr>
            <w:r>
              <w:t xml:space="preserve">Not started</w:t>
            </w:r>
          </w:p>
        </w:tc>
        <w:tc>
          <w:tcPr/>
          <w:p>
            <w:pPr>
              <w:pStyle w:val="Compact"/>
            </w:pPr>
            <w:r>
              <w:t xml:space="preserve">Peter</w:t>
            </w:r>
          </w:p>
        </w:tc>
      </w:tr>
      <w:tr>
        <w:tc>
          <w:tcPr/>
          <w:p>
            <w:pPr>
              <w:pStyle w:val="Compact"/>
            </w:pPr>
            <w:r>
              <w:t xml:space="preserve">3</w:t>
            </w:r>
          </w:p>
        </w:tc>
        <w:tc>
          <w:tcPr/>
          <w:p>
            <w:pPr>
              <w:pStyle w:val="Compact"/>
            </w:pPr>
            <w:r>
              <w:rPr>
                <w:b/>
                <w:bCs/>
              </w:rPr>
              <w:t xml:space="preserve">HIGH-003</w:t>
            </w:r>
            <w:r>
              <w:t xml:space="preserve"> </w:t>
            </w:r>
            <w:r>
              <w:t xml:space="preserve">OpenAPI 3.1 spec written for all Phase 1 endpoints</w:t>
            </w:r>
          </w:p>
        </w:tc>
        <w:tc>
          <w:tcPr/>
          <w:p>
            <w:pPr>
              <w:pStyle w:val="Compact"/>
            </w:pPr>
            <w:r>
              <w:t xml:space="preserve">Not started</w:t>
            </w:r>
          </w:p>
        </w:tc>
        <w:tc>
          <w:tcPr/>
          <w:p>
            <w:pPr>
              <w:pStyle w:val="Compact"/>
            </w:pPr>
            <w:r>
              <w:t xml:space="preserve">Peter</w:t>
            </w:r>
          </w:p>
        </w:tc>
      </w:tr>
      <w:tr>
        <w:tc>
          <w:tcPr/>
          <w:p>
            <w:pPr>
              <w:pStyle w:val="Compact"/>
            </w:pPr>
            <w:r>
              <w:t xml:space="preserve">4</w:t>
            </w:r>
          </w:p>
        </w:tc>
        <w:tc>
          <w:tcPr/>
          <w:p>
            <w:pPr>
              <w:pStyle w:val="Compact"/>
            </w:pPr>
            <w:r>
              <w:rPr>
                <w:b/>
                <w:bCs/>
              </w:rPr>
              <w:t xml:space="preserve">HIGH-004</w:t>
            </w:r>
            <w:r>
              <w:t xml:space="preserve"> </w:t>
            </w:r>
            <w:r>
              <w:t xml:space="preserve">Academic year lifecycle management spec completed</w:t>
            </w:r>
          </w:p>
        </w:tc>
        <w:tc>
          <w:tcPr/>
          <w:p>
            <w:pPr>
              <w:pStyle w:val="Compact"/>
            </w:pPr>
            <w:r>
              <w:t xml:space="preserve">Not started</w:t>
            </w:r>
          </w:p>
        </w:tc>
        <w:tc>
          <w:tcPr/>
          <w:p>
            <w:pPr>
              <w:pStyle w:val="Compact"/>
            </w:pPr>
            <w:r>
              <w:t xml:space="preserve">Peter</w:t>
            </w:r>
          </w:p>
        </w:tc>
      </w:tr>
      <w:tr>
        <w:tc>
          <w:tcPr/>
          <w:p>
            <w:pPr>
              <w:pStyle w:val="Compact"/>
            </w:pPr>
            <w:r>
              <w:t xml:space="preserve">5</w:t>
            </w:r>
          </w:p>
        </w:tc>
        <w:tc>
          <w:tcPr/>
          <w:p>
            <w:pPr>
              <w:pStyle w:val="Compact"/>
            </w:pPr>
            <w:r>
              <w:rPr>
                <w:b/>
                <w:bCs/>
              </w:rPr>
              <w:t xml:space="preserve">HIGH-005</w:t>
            </w:r>
            <w:r>
              <w:t xml:space="preserve"> </w:t>
            </w:r>
            <w:r>
              <w:t xml:space="preserve">Full RBAC permission matrix produced</w:t>
            </w:r>
          </w:p>
        </w:tc>
        <w:tc>
          <w:tcPr/>
          <w:p>
            <w:pPr>
              <w:pStyle w:val="Compact"/>
            </w:pPr>
            <w:r>
              <w:t xml:space="preserve">Not started</w:t>
            </w:r>
          </w:p>
        </w:tc>
        <w:tc>
          <w:tcPr/>
          <w:p>
            <w:pPr>
              <w:pStyle w:val="Compact"/>
            </w:pPr>
            <w:r>
              <w:t xml:space="preserve">Peter</w:t>
            </w:r>
          </w:p>
        </w:tc>
      </w:tr>
      <w:tr>
        <w:tc>
          <w:tcPr/>
          <w:p>
            <w:pPr>
              <w:pStyle w:val="Compact"/>
            </w:pPr>
            <w:r>
              <w:t xml:space="preserve">6</w:t>
            </w:r>
          </w:p>
        </w:tc>
        <w:tc>
          <w:tcPr/>
          <w:p>
            <w:pPr>
              <w:pStyle w:val="Compact"/>
            </w:pPr>
            <w:r>
              <w:rPr>
                <w:b/>
                <w:bCs/>
              </w:rPr>
              <w:t xml:space="preserve">HIGH-006</w:t>
            </w:r>
            <w:r>
              <w:t xml:space="preserve"> </w:t>
            </w:r>
            <w:r>
              <w:t xml:space="preserve">Double-payment prevention rules fully specified</w:t>
            </w:r>
          </w:p>
        </w:tc>
        <w:tc>
          <w:tcPr/>
          <w:p>
            <w:pPr>
              <w:pStyle w:val="Compact"/>
            </w:pPr>
            <w:r>
              <w:t xml:space="preserve">Not started</w:t>
            </w:r>
          </w:p>
        </w:tc>
        <w:tc>
          <w:tcPr/>
          <w:p>
            <w:pPr>
              <w:pStyle w:val="Compact"/>
            </w:pPr>
            <w:r>
              <w:t xml:space="preserve">Peter</w:t>
            </w:r>
          </w:p>
        </w:tc>
      </w:tr>
      <w:tr>
        <w:tc>
          <w:tcPr/>
          <w:p>
            <w:pPr>
              <w:pStyle w:val="Compact"/>
            </w:pPr>
            <w:r>
              <w:t xml:space="preserve">7</w:t>
            </w:r>
          </w:p>
        </w:tc>
        <w:tc>
          <w:tcPr/>
          <w:p>
            <w:pPr>
              <w:pStyle w:val="Compact"/>
            </w:pPr>
            <w:r>
              <w:rPr>
                <w:b/>
                <w:bCs/>
              </w:rPr>
              <w:t xml:space="preserve">HIGH-007</w:t>
            </w:r>
            <w:r>
              <w:t xml:space="preserve"> </w:t>
            </w:r>
            <w:r>
              <w:t xml:space="preserve">Data migration specification written</w:t>
            </w:r>
          </w:p>
        </w:tc>
        <w:tc>
          <w:tcPr/>
          <w:p>
            <w:pPr>
              <w:pStyle w:val="Compact"/>
            </w:pPr>
            <w:r>
              <w:t xml:space="preserve">Not started</w:t>
            </w:r>
          </w:p>
        </w:tc>
        <w:tc>
          <w:tcPr/>
          <w:p>
            <w:pPr>
              <w:pStyle w:val="Compact"/>
            </w:pPr>
            <w:r>
              <w:t xml:space="preserve">Peter</w:t>
            </w:r>
          </w:p>
        </w:tc>
      </w:tr>
      <w:tr>
        <w:tc>
          <w:tcPr/>
          <w:p>
            <w:pPr>
              <w:pStyle w:val="Compact"/>
            </w:pPr>
            <w:r>
              <w:t xml:space="preserve">8</w:t>
            </w:r>
          </w:p>
        </w:tc>
        <w:tc>
          <w:tcPr/>
          <w:p>
            <w:pPr>
              <w:pStyle w:val="Compact"/>
            </w:pPr>
            <w:r>
              <w:rPr>
                <w:b/>
                <w:bCs/>
              </w:rPr>
              <w:t xml:space="preserve">HIGH-008</w:t>
            </w:r>
            <w:r>
              <w:t xml:space="preserve"> </w:t>
            </w:r>
            <w:r>
              <w:t xml:space="preserve">Uganda PDPO 2019 compliance document written; PDPO registration initiated</w:t>
            </w:r>
          </w:p>
        </w:tc>
        <w:tc>
          <w:tcPr/>
          <w:p>
            <w:pPr>
              <w:pStyle w:val="Compact"/>
            </w:pPr>
            <w:r>
              <w:t xml:space="preserve">Not started</w:t>
            </w:r>
          </w:p>
        </w:tc>
        <w:tc>
          <w:tcPr/>
          <w:p>
            <w:pPr>
              <w:pStyle w:val="Compact"/>
            </w:pPr>
            <w:r>
              <w:t xml:space="preserve">Peter</w:t>
            </w:r>
          </w:p>
        </w:tc>
      </w:tr>
    </w:tbl>
    <w:p>
      <w:pPr>
        <w:pStyle w:val="BodyText"/>
      </w:pPr>
      <w:r>
        <w:t xml:space="preserve">All 8 gates are documented in</w:t>
      </w:r>
      <w:r>
        <w:t xml:space="preserve"> </w:t>
      </w:r>
      <w:r>
        <w:rPr>
          <w:rStyle w:val="VerbatimChar"/>
        </w:rPr>
        <w:t xml:space="preserve">_context/gap-analysis.md</w:t>
      </w:r>
      <w:r>
        <w:t xml:space="preserve">. Development of Phase 1 is</w:t>
      </w:r>
      <w:r>
        <w:t xml:space="preserve"> </w:t>
      </w:r>
      <w:r>
        <w:rPr>
          <w:b/>
          <w:bCs/>
        </w:rPr>
        <w:t xml:space="preserve">blocked</w:t>
      </w:r>
      <w:r>
        <w:t xml:space="preserve"> </w:t>
      </w:r>
      <w:r>
        <w:t xml:space="preserve">until all 8 are marked complete and reviewed.</w:t>
      </w:r>
    </w:p>
    <w:p>
      <w:r>
        <w:pict>
          <v:rect style="width:0;height:1.5pt" o:hralign="center" o:hrstd="t" o:hr="t"/>
        </w:pict>
      </w:r>
    </w:p>
    <w:bookmarkEnd w:id="94"/>
    <w:bookmarkStart w:id="95" w:name="Xd6e5ba456efcd3fd2e8b4ff8ae8c0b40180991b"/>
    <w:p>
      <w:pPr>
        <w:pStyle w:val="Heading2"/>
      </w:pPr>
      <w:r>
        <w:t xml:space="preserve">4. Immediate Next Steps</w:t>
      </w:r>
    </w:p>
    <w:p>
      <w:pPr>
        <w:pStyle w:val="FirstParagraph"/>
      </w:pPr>
      <w:r>
        <w:t xml:space="preserve">Execute the following actions in order. Actions 1–4 are prerequisites for Phase 1 gate resolution. Actions 5–8 run in parallel.</w:t>
      </w:r>
    </w:p>
    <w:p>
      <w:pPr>
        <w:numPr>
          <w:ilvl w:val="0"/>
          <w:numId w:val="1026"/>
        </w:numPr>
      </w:pPr>
      <w:r>
        <w:rPr>
          <w:b/>
          <w:bCs/>
        </w:rPr>
        <w:t xml:space="preserve">Resolve HIGH-001 through HIGH-008.</w:t>
      </w:r>
      <w:r>
        <w:t xml:space="preserve"> </w:t>
      </w:r>
      <w:r>
        <w:t xml:space="preserve">Work through each gap in order. Estimated effort: 15–25 hours of specification work. Output: 8 documents written to the paths specified in</w:t>
      </w:r>
      <w:r>
        <w:t xml:space="preserve"> </w:t>
      </w:r>
      <w:r>
        <w:rPr>
          <w:rStyle w:val="VerbatimChar"/>
        </w:rPr>
        <w:t xml:space="preserve">_context/gap-analysis.md</w:t>
      </w:r>
      <w:r>
        <w:t xml:space="preserve">.</w:t>
      </w:r>
    </w:p>
    <w:p>
      <w:pPr>
        <w:numPr>
          <w:ilvl w:val="0"/>
          <w:numId w:val="1026"/>
        </w:numPr>
      </w:pPr>
      <w:r>
        <w:rPr>
          <w:b/>
          <w:bCs/>
        </w:rPr>
        <w:t xml:space="preserve">Contact SchoolPay for sandbox credentials.</w:t>
      </w:r>
      <w:r>
        <w:t xml:space="preserve"> </w:t>
      </w:r>
      <w:r>
        <w:t xml:space="preserve">Email</w:t>
      </w:r>
      <w:r>
        <w:t xml:space="preserve"> </w:t>
      </w:r>
      <w:r>
        <w:rPr>
          <w:rStyle w:val="VerbatimChar"/>
        </w:rPr>
        <w:t xml:space="preserve">[email protected]</w:t>
      </w:r>
      <w:r>
        <w:t xml:space="preserve">. Request: merchant API documentation, sandbox environment access, and the formal merchant onboarding process. This must be completed before Phase 1 fee module development begins. Target: sandbox active within 4 weeks.</w:t>
      </w:r>
    </w:p>
    <w:p>
      <w:pPr>
        <w:numPr>
          <w:ilvl w:val="0"/>
          <w:numId w:val="1026"/>
        </w:numPr>
      </w:pPr>
      <w:r>
        <w:rPr>
          <w:b/>
          <w:bCs/>
        </w:rPr>
        <w:t xml:space="preserve">Contact UNEB for grading sample data.</w:t>
      </w:r>
      <w:r>
        <w:t xml:space="preserve"> </w:t>
      </w:r>
      <w:r>
        <w:t xml:space="preserve">Obtain the candidate registration manual and a set of sample mark sheets (PLE, UCE, UACE) for grading engine validation. UNEB grading engine cannot be validated without official sample data. Target: contact initiated within 2 weeks.</w:t>
      </w:r>
    </w:p>
    <w:p>
      <w:pPr>
        <w:numPr>
          <w:ilvl w:val="0"/>
          <w:numId w:val="1026"/>
        </w:numPr>
      </w:pPr>
      <w:r>
        <w:rPr>
          <w:b/>
          <w:bCs/>
        </w:rPr>
        <w:t xml:space="preserve">Register Chwezi Core Systems with the PDPO Office.</w:t>
      </w:r>
      <w:r>
        <w:t xml:space="preserve"> </w:t>
      </w:r>
      <w:r>
        <w:t xml:space="preserve">Download the Uganda Data Protection and Privacy Act 2019 from ULRC (ulrc.go.ug). Initiate Data Controller registration with the Personal Data Protection Office. This is a legal obligation — not a pre-development action but a pre-go-live obligation. Starting early reduces Phase 8 risk.</w:t>
      </w:r>
    </w:p>
    <w:p>
      <w:pPr>
        <w:numPr>
          <w:ilvl w:val="0"/>
          <w:numId w:val="1026"/>
        </w:numPr>
      </w:pPr>
      <w:r>
        <w:rPr>
          <w:b/>
          <w:bCs/>
        </w:rPr>
        <w:t xml:space="preserve">Confirm cloud hosting decision.</w:t>
      </w:r>
      <w:r>
        <w:t xml:space="preserve"> </w:t>
      </w:r>
      <w:r>
        <w:t xml:space="preserve">Decide between AWS, Azure, and a local Uganda data centre for Phase 8+ production. This decision affects PDPO data residency requirements (Uganda PDPO 2019 has data localisation provisions that should be assessed). Document decision in</w:t>
      </w:r>
      <w:r>
        <w:t xml:space="preserve"> </w:t>
      </w:r>
      <w:r>
        <w:rPr>
          <w:rStyle w:val="VerbatimChar"/>
        </w:rPr>
        <w:t xml:space="preserve">_context/tech_stack.md</w:t>
      </w:r>
      <w:r>
        <w:t xml:space="preserve">.</w:t>
      </w:r>
    </w:p>
    <w:p>
      <w:pPr>
        <w:numPr>
          <w:ilvl w:val="0"/>
          <w:numId w:val="1026"/>
        </w:numPr>
      </w:pPr>
      <w:r>
        <w:rPr>
          <w:b/>
          <w:bCs/>
        </w:rPr>
        <w:t xml:space="preserve">Register software copyright with URSB.</w:t>
      </w:r>
      <w:r>
        <w:t xml:space="preserve"> </w:t>
      </w:r>
      <w:r>
        <w:t xml:space="preserve">Under the Uganda Copyright Act 2006, register Academia Pro as a software work with the Uganda Registration Services Bureau before Phase 8 go-live. Begin the registration process during Phase 3 to avoid a last-minute blocker.</w:t>
      </w:r>
    </w:p>
    <w:p>
      <w:pPr>
        <w:numPr>
          <w:ilvl w:val="0"/>
          <w:numId w:val="1026"/>
        </w:numPr>
      </w:pPr>
      <w:r>
        <w:rPr>
          <w:b/>
          <w:bCs/>
        </w:rPr>
        <w:t xml:space="preserve">Draft Data Processing Agreements (DPAs) for pilot schools.</w:t>
      </w:r>
      <w:r>
        <w:t xml:space="preserve"> </w:t>
      </w:r>
      <w:r>
        <w:t xml:space="preserve">DPAs must be signed before any school data enters the production system. Draft the DPA template during Phase 7. One signed DPA per school is required before Phase 9 trial onboarding.</w:t>
      </w:r>
    </w:p>
    <w:p>
      <w:pPr>
        <w:numPr>
          <w:ilvl w:val="0"/>
          <w:numId w:val="1026"/>
        </w:numPr>
      </w:pPr>
      <w:r>
        <w:rPr>
          <w:b/>
          <w:bCs/>
        </w:rPr>
        <w:t xml:space="preserve">Engage BoU for PSO licence pre-application guidance.</w:t>
      </w:r>
      <w:r>
        <w:t xml:space="preserve"> </w:t>
      </w:r>
      <w:r>
        <w:t xml:space="preserve">Phase 3 direct MTN MoMo/Airtel Money processing requires a BoU Payment Systems Operator licence. Contact BoU's Payment Systems department to understand the application timeline and requirements. This is a Phase 3 preparation action — it can run in parallel with Phase 1–2 development.</w:t>
      </w:r>
    </w:p>
    <w:p>
      <w:r>
        <w:pict>
          <v:rect style="width:0;height:1.5pt" o:hralign="center" o:hrstd="t" o:hr="t"/>
        </w:pict>
      </w:r>
    </w:p>
    <w:bookmarkEnd w:id="95"/>
    <w:bookmarkStart w:id="96" w:name="X193a7c5c71d42abe91727a3b59f3f207592b29c"/>
    <w:p>
      <w:pPr>
        <w:pStyle w:val="Heading2"/>
      </w:pPr>
      <w:r>
        <w:t xml:space="preserve">5. Decision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Assessment</w:t>
            </w:r>
          </w:p>
        </w:tc>
      </w:tr>
      <w:tr>
        <w:tc>
          <w:tcPr/>
          <w:p>
            <w:pPr>
              <w:pStyle w:val="Compact"/>
            </w:pPr>
            <w:r>
              <w:t xml:space="preserve">Market opportunity</w:t>
            </w:r>
          </w:p>
        </w:tc>
        <w:tc>
          <w:tcPr/>
          <w:p>
            <w:pPr>
              <w:pStyle w:val="Compact"/>
            </w:pPr>
            <w:r>
              <w:t xml:space="preserve">Confirmed — quantified gap, documented competitive weaknesses</w:t>
            </w:r>
          </w:p>
        </w:tc>
      </w:tr>
      <w:tr>
        <w:tc>
          <w:tcPr/>
          <w:p>
            <w:pPr>
              <w:pStyle w:val="Compact"/>
            </w:pPr>
            <w:r>
              <w:t xml:space="preserve">Technical feasibility</w:t>
            </w:r>
          </w:p>
        </w:tc>
        <w:tc>
          <w:tcPr/>
          <w:p>
            <w:pPr>
              <w:pStyle w:val="Compact"/>
            </w:pPr>
            <w:r>
              <w:t xml:space="preserve">Confirmed — standard technology stack, documented architecture</w:t>
            </w:r>
          </w:p>
        </w:tc>
      </w:tr>
      <w:tr>
        <w:tc>
          <w:tcPr/>
          <w:p>
            <w:pPr>
              <w:pStyle w:val="Compact"/>
            </w:pPr>
            <w:r>
              <w:t xml:space="preserve">Financial viability</w:t>
            </w:r>
          </w:p>
        </w:tc>
        <w:tc>
          <w:tcPr/>
          <w:p>
            <w:pPr>
              <w:pStyle w:val="Compact"/>
            </w:pPr>
            <w:r>
              <w:t xml:space="preserve">Confirmed — break-even at 33 schools; conservative Year 3 revenue ~UGX 812M</w:t>
            </w:r>
          </w:p>
        </w:tc>
      </w:tr>
      <w:tr>
        <w:tc>
          <w:tcPr/>
          <w:p>
            <w:pPr>
              <w:pStyle w:val="Compact"/>
            </w:pPr>
            <w:r>
              <w:t xml:space="preserve">Regulatory pathway</w:t>
            </w:r>
          </w:p>
        </w:tc>
        <w:tc>
          <w:tcPr/>
          <w:p>
            <w:pPr>
              <w:pStyle w:val="Compact"/>
            </w:pPr>
            <w:r>
              <w:t xml:space="preserve">Documented — PDPO, UNEB, EMIS, BoU all identified and solvable</w:t>
            </w:r>
          </w:p>
        </w:tc>
      </w:tr>
      <w:tr>
        <w:tc>
          <w:tcPr/>
          <w:p>
            <w:pPr>
              <w:pStyle w:val="Compact"/>
            </w:pPr>
            <w:r>
              <w:t xml:space="preserve">Primary risk</w:t>
            </w:r>
          </w:p>
        </w:tc>
        <w:tc>
          <w:tcPr/>
          <w:p>
            <w:pPr>
              <w:pStyle w:val="Compact"/>
            </w:pPr>
            <w:r>
              <w:t xml:space="preserve">Solo team capacity (RISK-003) — mitigated by phase gating</w:t>
            </w:r>
          </w:p>
        </w:tc>
      </w:tr>
      <w:tr>
        <w:tc>
          <w:tcPr/>
          <w:p>
            <w:pPr>
              <w:pStyle w:val="Compact"/>
            </w:pPr>
            <w:r>
              <w:t xml:space="preserve">Blocker to proceeding</w:t>
            </w:r>
          </w:p>
        </w:tc>
        <w:tc>
          <w:tcPr/>
          <w:p>
            <w:pPr>
              <w:pStyle w:val="Compact"/>
            </w:pPr>
            <w:r>
              <w:t xml:space="preserve">8 HIGH-priority gaps must be resolved before Phase 1 development begins</w:t>
            </w:r>
          </w:p>
        </w:tc>
      </w:tr>
      <w:tr>
        <w:tc>
          <w:tcPr/>
          <w:p>
            <w:pPr>
              <w:pStyle w:val="Compact"/>
            </w:pPr>
            <w:r>
              <w:rPr>
                <w:b/>
                <w:bCs/>
              </w:rPr>
              <w:t xml:space="preserve">Decision</w:t>
            </w:r>
          </w:p>
        </w:tc>
        <w:tc>
          <w:tcPr/>
          <w:p>
            <w:pPr>
              <w:pStyle w:val="Compact"/>
            </w:pPr>
            <w:r>
              <w:rPr>
                <w:b/>
                <w:bCs/>
              </w:rPr>
              <w:t xml:space="preserve">GO — conditional on Phase 1 gate criteria completion</w:t>
            </w:r>
          </w:p>
        </w:tc>
      </w:tr>
    </w:tbl>
    <w:bookmarkEnd w:id="96"/>
    <w:bookmarkEnd w:id="9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2026-04-05T07:41:12Z</dcterms:created>
  <dcterms:modified xsi:type="dcterms:W3CDTF">2026-04-05T07:41:12Z</dcterms:modified>
</cp:coreProperties>
</file>

<file path=docProps/custom.xml><?xml version="1.0" encoding="utf-8"?>
<Properties xmlns="http://schemas.openxmlformats.org/officeDocument/2006/custom-properties" xmlns:vt="http://schemas.openxmlformats.org/officeDocument/2006/docPropsVTypes"/>
</file>