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Case — BIRDC ERP</w:t>
      </w:r>
    </w:p>
    <w:p>
      <w:pPr>
        <w:pStyle w:val="Subtitle"/>
      </w:pPr>
      <w:r>
        <w:t xml:space="preserve">Banana Industrial Research and Development Centre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business-case--birdc-erp"/>
    <w:p>
      <w:pPr>
        <w:pStyle w:val="Heading1"/>
      </w:pPr>
      <w:r>
        <w:t xml:space="preserve">Business Case — BIRDC ERP</w:t>
      </w:r>
    </w:p>
    <w:p>
      <w:pPr>
        <w:pStyle w:val="FirstParagraph"/>
      </w:pPr>
      <w:r>
        <w:rPr>
          <w:b/>
          <w:bCs/>
        </w:rPr>
        <w:t xml:space="preserve">Project:</w:t>
      </w:r>
      <w:r>
        <w:t xml:space="preserve"> </w:t>
      </w:r>
      <w:r>
        <w:t xml:space="preserve">BIRDC ERP</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 — Draft for Review</w:t>
      </w:r>
      <w:r>
        <w:t xml:space="preserve"> </w:t>
      </w:r>
      <w:r>
        <w:rPr>
          <w:b/>
          <w:bCs/>
        </w:rPr>
        <w:t xml:space="preserve">Date:</w:t>
      </w:r>
      <w:r>
        <w:t xml:space="preserve"> </w:t>
      </w:r>
      <w:r>
        <w:t xml:space="preserve">2026-04-05</w:t>
      </w:r>
      <w:r>
        <w:t xml:space="preserve"> </w:t>
      </w:r>
      <w:r>
        <w:rPr>
          <w:b/>
          <w:bCs/>
        </w:rPr>
        <w:t xml:space="preserve">Classification:</w:t>
      </w:r>
      <w:r>
        <w:t xml:space="preserve"> </w:t>
      </w:r>
      <w:r>
        <w:t xml:space="preserve">Confidential — Internal Use</w:t>
      </w:r>
    </w:p>
    <w:p>
      <w:r>
        <w:pict>
          <v:rect style="width:0;height:1.5pt" o:hralign="center" o:hrstd="t" o:hr="t"/>
        </w:pict>
      </w:r>
    </w:p>
    <w:bookmarkEnd w:id="19"/>
    <w:bookmarkStart w:id="22" w:name="section-1-investment-summary"/>
    <w:p>
      <w:pPr>
        <w:pStyle w:val="Heading1"/>
      </w:pPr>
      <w:r>
        <w:t xml:space="preserve">Section 1: Investment Summary</w:t>
      </w:r>
    </w:p>
    <w:bookmarkStart w:id="20" w:name="X83541bd3c0deeabf8e7cd4d3e58595336f3c4ac"/>
    <w:p>
      <w:pPr>
        <w:pStyle w:val="Heading2"/>
      </w:pPr>
      <w:r>
        <w:t xml:space="preserve">1.1 The Investment Decision</w:t>
      </w:r>
    </w:p>
    <w:p>
      <w:pPr>
        <w:pStyle w:val="FirstParagraph"/>
      </w:pPr>
      <w:r>
        <w:t xml:space="preserve">BIRDC faces a binary investment decision:</w:t>
      </w:r>
    </w:p>
    <w:p>
      <w:pPr>
        <w:pStyle w:val="BodyText"/>
      </w:pPr>
      <w:r>
        <w:rPr>
          <w:b/>
          <w:bCs/>
        </w:rPr>
        <w:t xml:space="preserve">Option A:</w:t>
      </w:r>
      <w:r>
        <w:t xml:space="preserve"> </w:t>
      </w:r>
      <w:r>
        <w:t xml:space="preserve">Commission a purpose-built BIRDC ERP system. One-time build cost. No recurring licence fees. Full operational fit. Data sovereignty. Replicable for other government entities.</w:t>
      </w:r>
    </w:p>
    <w:p>
      <w:pPr>
        <w:pStyle w:val="BodyText"/>
      </w:pPr>
      <w:r>
        <w:rPr>
          <w:b/>
          <w:bCs/>
        </w:rPr>
        <w:t xml:space="preserve">Option B:</w:t>
      </w:r>
      <w:r>
        <w:t xml:space="preserve"> </w:t>
      </w:r>
      <w:r>
        <w:t xml:space="preserve">Adopt a generic ERP platform (SAP, Oracle NetSuite, Odoo, or ERPNext) and customise it to BIRDC's requirements. Recurring licence fees for 5+ years. Significant customisation cost for Uganda-specific and BIRDC-specific requirements. Potential data sovereignty compromise. No replication benefit.</w:t>
      </w:r>
    </w:p>
    <w:p>
      <w:pPr>
        <w:pStyle w:val="BodyText"/>
      </w:pPr>
      <w:r>
        <w:t xml:space="preserve">The business case for Option A rests on three arguments: (1) a lower 5-year total cost of ownership than any credible generic alternative; (2) quantifiable operational benefits that only a purpose-built system delivers; and (3) a risk-of-inaction cost that increases annually the longer BIRDC operates without integrated financial controls.</w:t>
      </w:r>
    </w:p>
    <w:bookmarkEnd w:id="20"/>
    <w:bookmarkStart w:id="21" w:name="X9e9482659f3203cb06fe3e6fff4afdef38ecfb9"/>
    <w:p>
      <w:pPr>
        <w:pStyle w:val="Heading2"/>
      </w:pPr>
      <w:r>
        <w:t xml:space="preserve">1.2 One-Time Build Cost Model vs. 5-Year SaaS Alternatives</w:t>
      </w:r>
    </w:p>
    <w:p>
      <w:pPr>
        <w:pStyle w:val="FirstParagraph"/>
      </w:pPr>
      <w:r>
        <w:t xml:space="preserve">The BIRDC ERP project is structured as a milestone-based build engagement across 7 delivery phases. The total build cost is a one-time capital investment with no recurring licence fees. Post-build costs are limited to hosting (BIRDC's own server hardware, already budgeted), routine maintenance, and future enhancement engagements at BIRDC's discretion.</w:t>
      </w:r>
    </w:p>
    <w:p>
      <w:pPr>
        <w:pStyle w:val="BodyText"/>
      </w:pPr>
      <w:r>
        <w:t xml:space="preserve">Indicative 5-year cost comparison (all figures in USD, indicative based on published pricing and standard Uganda implementation rates):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Cost Category</w:t>
            </w:r>
          </w:p>
        </w:tc>
        <w:tc>
          <w:tcPr/>
          <w:p>
            <w:pPr>
              <w:pStyle w:val="Compact"/>
            </w:pPr>
            <w:r>
              <w:t xml:space="preserve">BIRDC ERP Custom Build</w:t>
            </w:r>
          </w:p>
        </w:tc>
        <w:tc>
          <w:tcPr/>
          <w:p>
            <w:pPr>
              <w:pStyle w:val="Compact"/>
            </w:pPr>
            <w:r>
              <w:t xml:space="preserve">Odoo Enterprise</w:t>
            </w:r>
          </w:p>
        </w:tc>
        <w:tc>
          <w:tcPr/>
          <w:p>
            <w:pPr>
              <w:pStyle w:val="Compact"/>
            </w:pPr>
            <w:r>
              <w:t xml:space="preserve">ERPNext Cloud</w:t>
            </w:r>
          </w:p>
        </w:tc>
        <w:tc>
          <w:tcPr/>
          <w:p>
            <w:pPr>
              <w:pStyle w:val="Compact"/>
            </w:pPr>
            <w:r>
              <w:t xml:space="preserve">SAP Business One</w:t>
            </w:r>
          </w:p>
        </w:tc>
        <w:tc>
          <w:tcPr/>
          <w:p>
            <w:pPr>
              <w:pStyle w:val="Compact"/>
            </w:pPr>
            <w:r>
              <w:t xml:space="preserve">Oracle NetSuite</w:t>
            </w:r>
          </w:p>
        </w:tc>
      </w:tr>
      <w:tr>
        <w:tc>
          <w:tcPr/>
          <w:p>
            <w:pPr>
              <w:pStyle w:val="Compact"/>
            </w:pPr>
            <w:r>
              <w:t xml:space="preserve">Year 1 licence / subscription</w:t>
            </w:r>
          </w:p>
        </w:tc>
        <w:tc>
          <w:tcPr/>
          <w:p>
            <w:pPr>
              <w:pStyle w:val="Compact"/>
            </w:pPr>
            <w:r>
              <w:t xml:space="preserve">0</w:t>
            </w:r>
          </w:p>
        </w:tc>
        <w:tc>
          <w:tcPr/>
          <w:p>
            <w:pPr>
              <w:pStyle w:val="Compact"/>
            </w:pPr>
            <w:r>
              <w:t xml:space="preserve">8,000–16,000</w:t>
            </w:r>
          </w:p>
        </w:tc>
        <w:tc>
          <w:tcPr/>
          <w:p>
            <w:pPr>
              <w:pStyle w:val="Compact"/>
            </w:pPr>
            <w:r>
              <w:t xml:space="preserve">4,000–10,000</w:t>
            </w:r>
          </w:p>
        </w:tc>
        <w:tc>
          <w:tcPr/>
          <w:p>
            <w:pPr>
              <w:pStyle w:val="Compact"/>
            </w:pPr>
            <w:r>
              <w:t xml:space="preserve">20,000–40,000</w:t>
            </w:r>
          </w:p>
        </w:tc>
        <w:tc>
          <w:tcPr/>
          <w:p>
            <w:pPr>
              <w:pStyle w:val="Compact"/>
            </w:pPr>
            <w:r>
              <w:t xml:space="preserve">30,000–60,000</w:t>
            </w:r>
          </w:p>
        </w:tc>
      </w:tr>
      <w:tr>
        <w:tc>
          <w:tcPr/>
          <w:p>
            <w:pPr>
              <w:pStyle w:val="Compact"/>
            </w:pPr>
            <w:r>
              <w:t xml:space="preserve">Years 2–5 licence (recurring)</w:t>
            </w:r>
          </w:p>
        </w:tc>
        <w:tc>
          <w:tcPr/>
          <w:p>
            <w:pPr>
              <w:pStyle w:val="Compact"/>
            </w:pPr>
            <w:r>
              <w:t xml:space="preserve">0</w:t>
            </w:r>
          </w:p>
        </w:tc>
        <w:tc>
          <w:tcPr/>
          <w:p>
            <w:pPr>
              <w:pStyle w:val="Compact"/>
            </w:pPr>
            <w:r>
              <w:t xml:space="preserve">32,000–64,000</w:t>
            </w:r>
          </w:p>
        </w:tc>
        <w:tc>
          <w:tcPr/>
          <w:p>
            <w:pPr>
              <w:pStyle w:val="Compact"/>
            </w:pPr>
            <w:r>
              <w:t xml:space="preserve">16,000–40,000</w:t>
            </w:r>
          </w:p>
        </w:tc>
        <w:tc>
          <w:tcPr/>
          <w:p>
            <w:pPr>
              <w:pStyle w:val="Compact"/>
            </w:pPr>
            <w:r>
              <w:t xml:space="preserve">80,000–160,000</w:t>
            </w:r>
          </w:p>
        </w:tc>
        <w:tc>
          <w:tcPr/>
          <w:p>
            <w:pPr>
              <w:pStyle w:val="Compact"/>
            </w:pPr>
            <w:r>
              <w:t xml:space="preserve">120,000–240,000</w:t>
            </w:r>
          </w:p>
        </w:tc>
      </w:tr>
      <w:tr>
        <w:tc>
          <w:tcPr/>
          <w:p>
            <w:pPr>
              <w:pStyle w:val="Compact"/>
            </w:pPr>
            <w:r>
              <w:t xml:space="preserve">Initial implementation</w:t>
            </w:r>
          </w:p>
        </w:tc>
        <w:tc>
          <w:tcPr/>
          <w:p>
            <w:pPr>
              <w:pStyle w:val="Compact"/>
            </w:pPr>
            <w:r>
              <w:t xml:space="preserve">Build cost (one-time)</w:t>
            </w:r>
          </w:p>
        </w:tc>
        <w:tc>
          <w:tcPr/>
          <w:p>
            <w:pPr>
              <w:pStyle w:val="Compact"/>
            </w:pPr>
            <w:r>
              <w:t xml:space="preserve">60,000–100,000</w:t>
            </w:r>
          </w:p>
        </w:tc>
        <w:tc>
          <w:tcPr/>
          <w:p>
            <w:pPr>
              <w:pStyle w:val="Compact"/>
            </w:pPr>
            <w:r>
              <w:t xml:space="preserve">30,000–60,000</w:t>
            </w:r>
          </w:p>
        </w:tc>
        <w:tc>
          <w:tcPr/>
          <w:p>
            <w:pPr>
              <w:pStyle w:val="Compact"/>
            </w:pPr>
            <w:r>
              <w:t xml:space="preserve">80,000–150,000</w:t>
            </w:r>
          </w:p>
        </w:tc>
        <w:tc>
          <w:tcPr/>
          <w:p>
            <w:pPr>
              <w:pStyle w:val="Compact"/>
            </w:pPr>
            <w:r>
              <w:t xml:space="preserve">100,000–200,000</w:t>
            </w:r>
          </w:p>
        </w:tc>
      </w:tr>
      <w:tr>
        <w:tc>
          <w:tcPr/>
          <w:p>
            <w:pPr>
              <w:pStyle w:val="Compact"/>
            </w:pPr>
            <w:r>
              <w:t xml:space="preserve">EFRIS integration (Uganda)</w:t>
            </w:r>
          </w:p>
        </w:tc>
        <w:tc>
          <w:tcPr/>
          <w:p>
            <w:pPr>
              <w:pStyle w:val="Compact"/>
            </w:pPr>
            <w:r>
              <w:t xml:space="preserve">Included in build</w:t>
            </w:r>
          </w:p>
        </w:tc>
        <w:tc>
          <w:tcPr/>
          <w:p>
            <w:pPr>
              <w:pStyle w:val="Compact"/>
            </w:pPr>
            <w:r>
              <w:t xml:space="preserve">15,000–25,000 (custom)</w:t>
            </w:r>
          </w:p>
        </w:tc>
        <w:tc>
          <w:tcPr/>
          <w:p>
            <w:pPr>
              <w:pStyle w:val="Compact"/>
            </w:pPr>
            <w:r>
              <w:t xml:space="preserve">15,000–25,000 (custom)</w:t>
            </w:r>
          </w:p>
        </w:tc>
        <w:tc>
          <w:tcPr/>
          <w:p>
            <w:pPr>
              <w:pStyle w:val="Compact"/>
            </w:pPr>
            <w:r>
              <w:t xml:space="preserve">20,000–40,000 (custom)</w:t>
            </w:r>
          </w:p>
        </w:tc>
        <w:tc>
          <w:tcPr/>
          <w:p>
            <w:pPr>
              <w:pStyle w:val="Compact"/>
            </w:pPr>
            <w:r>
              <w:t xml:space="preserve">20,000–40,000 (custom)</w:t>
            </w:r>
          </w:p>
        </w:tc>
      </w:tr>
      <w:tr>
        <w:tc>
          <w:tcPr/>
          <w:p>
            <w:pPr>
              <w:pStyle w:val="Compact"/>
            </w:pPr>
            <w:r>
              <w:t xml:space="preserve">Dual-mode parliamentary accounting</w:t>
            </w:r>
          </w:p>
        </w:tc>
        <w:tc>
          <w:tcPr/>
          <w:p>
            <w:pPr>
              <w:pStyle w:val="Compact"/>
            </w:pPr>
            <w:r>
              <w:t xml:space="preserve">Included in build</w:t>
            </w:r>
          </w:p>
        </w:tc>
        <w:tc>
          <w:tcPr/>
          <w:p>
            <w:pPr>
              <w:pStyle w:val="Compact"/>
            </w:pPr>
            <w:r>
              <w:t xml:space="preserve">20,000–40,000 (custom)</w:t>
            </w:r>
          </w:p>
        </w:tc>
        <w:tc>
          <w:tcPr/>
          <w:p>
            <w:pPr>
              <w:pStyle w:val="Compact"/>
            </w:pPr>
            <w:r>
              <w:t xml:space="preserve">20,000–40,000 (custom)</w:t>
            </w:r>
          </w:p>
        </w:tc>
        <w:tc>
          <w:tcPr/>
          <w:p>
            <w:pPr>
              <w:pStyle w:val="Compact"/>
            </w:pPr>
            <w:r>
              <w:t xml:space="preserve">30,000–60,000 (custom)</w:t>
            </w:r>
          </w:p>
        </w:tc>
        <w:tc>
          <w:tcPr/>
          <w:p>
            <w:pPr>
              <w:pStyle w:val="Compact"/>
            </w:pPr>
            <w:r>
              <w:t xml:space="preserve">30,000–60,000 (custom)</w:t>
            </w:r>
          </w:p>
        </w:tc>
      </w:tr>
      <w:tr>
        <w:tc>
          <w:tcPr/>
          <w:p>
            <w:pPr>
              <w:pStyle w:val="Compact"/>
            </w:pPr>
            <w:r>
              <w:t xml:space="preserve">Cooperative farmer procurement (5-stage)</w:t>
            </w:r>
          </w:p>
        </w:tc>
        <w:tc>
          <w:tcPr/>
          <w:p>
            <w:pPr>
              <w:pStyle w:val="Compact"/>
            </w:pPr>
            <w:r>
              <w:t xml:space="preserve">Included in build</w:t>
            </w:r>
          </w:p>
        </w:tc>
        <w:tc>
          <w:tcPr/>
          <w:p>
            <w:pPr>
              <w:pStyle w:val="Compact"/>
            </w:pPr>
            <w:r>
              <w:t xml:space="preserve">25,000–50,000 (custom)</w:t>
            </w:r>
          </w:p>
        </w:tc>
        <w:tc>
          <w:tcPr/>
          <w:p>
            <w:pPr>
              <w:pStyle w:val="Compact"/>
            </w:pPr>
            <w:r>
              <w:t xml:space="preserve">20,000–40,000 (custom)</w:t>
            </w:r>
          </w:p>
        </w:tc>
        <w:tc>
          <w:tcPr/>
          <w:p>
            <w:pPr>
              <w:pStyle w:val="Compact"/>
            </w:pPr>
            <w:r>
              <w:t xml:space="preserve">35,000–60,000 (custom)</w:t>
            </w:r>
          </w:p>
        </w:tc>
        <w:tc>
          <w:tcPr/>
          <w:p>
            <w:pPr>
              <w:pStyle w:val="Compact"/>
            </w:pPr>
            <w:r>
              <w:t xml:space="preserve">35,000–70,000 (custom)</w:t>
            </w:r>
          </w:p>
        </w:tc>
      </w:tr>
      <w:tr>
        <w:tc>
          <w:tcPr/>
          <w:p>
            <w:pPr>
              <w:pStyle w:val="Compact"/>
            </w:pPr>
            <w:r>
              <w:t xml:space="preserve">Agent distribution system (1,071 agents)</w:t>
            </w:r>
          </w:p>
        </w:tc>
        <w:tc>
          <w:tcPr/>
          <w:p>
            <w:pPr>
              <w:pStyle w:val="Compact"/>
            </w:pPr>
            <w:r>
              <w:t xml:space="preserve">Included in build</w:t>
            </w:r>
          </w:p>
        </w:tc>
        <w:tc>
          <w:tcPr/>
          <w:p>
            <w:pPr>
              <w:pStyle w:val="Compact"/>
            </w:pPr>
            <w:r>
              <w:t xml:space="preserve">20,000–40,000 (custom)</w:t>
            </w:r>
          </w:p>
        </w:tc>
        <w:tc>
          <w:tcPr/>
          <w:p>
            <w:pPr>
              <w:pStyle w:val="Compact"/>
            </w:pPr>
            <w:r>
              <w:t xml:space="preserve">20,000–40,000 (custom)</w:t>
            </w:r>
          </w:p>
        </w:tc>
        <w:tc>
          <w:tcPr/>
          <w:p>
            <w:pPr>
              <w:pStyle w:val="Compact"/>
            </w:pPr>
            <w:r>
              <w:t xml:space="preserve">30,000–50,000 (custom)</w:t>
            </w:r>
          </w:p>
        </w:tc>
        <w:tc>
          <w:tcPr/>
          <w:p>
            <w:pPr>
              <w:pStyle w:val="Compact"/>
            </w:pPr>
            <w:r>
              <w:t xml:space="preserve">30,000–60,000 (custom)</w:t>
            </w:r>
          </w:p>
        </w:tc>
      </w:tr>
      <w:tr>
        <w:tc>
          <w:tcPr/>
          <w:p>
            <w:pPr>
              <w:pStyle w:val="Compact"/>
            </w:pPr>
            <w:r>
              <w:t xml:space="preserve">6 offline Android apps</w:t>
            </w:r>
          </w:p>
        </w:tc>
        <w:tc>
          <w:tcPr/>
          <w:p>
            <w:pPr>
              <w:pStyle w:val="Compact"/>
            </w:pPr>
            <w:r>
              <w:t xml:space="preserve">Included in build</w:t>
            </w:r>
          </w:p>
        </w:tc>
        <w:tc>
          <w:tcPr/>
          <w:p>
            <w:pPr>
              <w:pStyle w:val="Compact"/>
            </w:pPr>
            <w:r>
              <w:t xml:space="preserve">40,000–80,000 (separate)</w:t>
            </w:r>
          </w:p>
        </w:tc>
        <w:tc>
          <w:tcPr/>
          <w:p>
            <w:pPr>
              <w:pStyle w:val="Compact"/>
            </w:pPr>
            <w:r>
              <w:t xml:space="preserve">40,000–80,000 (separate)</w:t>
            </w:r>
          </w:p>
        </w:tc>
        <w:tc>
          <w:tcPr/>
          <w:p>
            <w:pPr>
              <w:pStyle w:val="Compact"/>
            </w:pPr>
            <w:r>
              <w:t xml:space="preserve">50,000–100,000 (separate)</w:t>
            </w:r>
          </w:p>
        </w:tc>
        <w:tc>
          <w:tcPr/>
          <w:p>
            <w:pPr>
              <w:pStyle w:val="Compact"/>
            </w:pPr>
            <w:r>
              <w:t xml:space="preserve">50,000–100,000 (separate)</w:t>
            </w:r>
          </w:p>
        </w:tc>
      </w:tr>
      <w:tr>
        <w:tc>
          <w:tcPr/>
          <w:p>
            <w:pPr>
              <w:pStyle w:val="Compact"/>
            </w:pPr>
            <w:r>
              <w:t xml:space="preserve">PPDA compliance module</w:t>
            </w:r>
          </w:p>
        </w:tc>
        <w:tc>
          <w:tcPr/>
          <w:p>
            <w:pPr>
              <w:pStyle w:val="Compact"/>
            </w:pPr>
            <w:r>
              <w:t xml:space="preserve">Included in build</w:t>
            </w:r>
          </w:p>
        </w:tc>
        <w:tc>
          <w:tcPr/>
          <w:p>
            <w:pPr>
              <w:pStyle w:val="Compact"/>
            </w:pPr>
            <w:r>
              <w:t xml:space="preserve">10,000–20,000 (custom)</w:t>
            </w:r>
          </w:p>
        </w:tc>
        <w:tc>
          <w:tcPr/>
          <w:p>
            <w:pPr>
              <w:pStyle w:val="Compact"/>
            </w:pPr>
            <w:r>
              <w:t xml:space="preserve">10,000–20,000 (custom)</w:t>
            </w:r>
          </w:p>
        </w:tc>
        <w:tc>
          <w:tcPr/>
          <w:p>
            <w:pPr>
              <w:pStyle w:val="Compact"/>
            </w:pPr>
            <w:r>
              <w:t xml:space="preserve">15,000–30,000 (custom)</w:t>
            </w:r>
          </w:p>
        </w:tc>
        <w:tc>
          <w:tcPr/>
          <w:p>
            <w:pPr>
              <w:pStyle w:val="Compact"/>
            </w:pPr>
            <w:r>
              <w:t xml:space="preserve">15,000–30,000 (custom)</w:t>
            </w:r>
          </w:p>
        </w:tc>
      </w:tr>
      <w:tr>
        <w:tc>
          <w:tcPr/>
          <w:p>
            <w:pPr>
              <w:pStyle w:val="Compact"/>
            </w:pPr>
            <w:r>
              <w:t xml:space="preserve">Uganda payroll localisation (PAYE, NSSF, LST)</w:t>
            </w:r>
          </w:p>
        </w:tc>
        <w:tc>
          <w:tcPr/>
          <w:p>
            <w:pPr>
              <w:pStyle w:val="Compact"/>
            </w:pPr>
            <w:r>
              <w:t xml:space="preserve">Included in build</w:t>
            </w:r>
          </w:p>
        </w:tc>
        <w:tc>
          <w:tcPr/>
          <w:p>
            <w:pPr>
              <w:pStyle w:val="Compact"/>
            </w:pPr>
            <w:r>
              <w:t xml:space="preserve">8,000–15,000 (custom)</w:t>
            </w:r>
          </w:p>
        </w:tc>
        <w:tc>
          <w:tcPr/>
          <w:p>
            <w:pPr>
              <w:pStyle w:val="Compact"/>
            </w:pPr>
            <w:r>
              <w:t xml:space="preserve">8,000–15,000 (custom)</w:t>
            </w:r>
          </w:p>
        </w:tc>
        <w:tc>
          <w:tcPr/>
          <w:p>
            <w:pPr>
              <w:pStyle w:val="Compact"/>
            </w:pPr>
            <w:r>
              <w:t xml:space="preserve">10,000–20,000 (custom)</w:t>
            </w:r>
          </w:p>
        </w:tc>
        <w:tc>
          <w:tcPr/>
          <w:p>
            <w:pPr>
              <w:pStyle w:val="Compact"/>
            </w:pPr>
            <w:r>
              <w:t xml:space="preserve">10,000–20,000 (custom)</w:t>
            </w:r>
          </w:p>
        </w:tc>
      </w:tr>
      <w:tr>
        <w:tc>
          <w:tcPr/>
          <w:p>
            <w:pPr>
              <w:pStyle w:val="Compact"/>
            </w:pPr>
            <w:r>
              <w:rPr>
                <w:b/>
                <w:bCs/>
              </w:rPr>
              <w:t xml:space="preserve">Estimated 5-year total (USD)</w:t>
            </w:r>
          </w:p>
        </w:tc>
        <w:tc>
          <w:tcPr/>
          <w:p>
            <w:pPr>
              <w:pStyle w:val="Compact"/>
            </w:pPr>
            <w:r>
              <w:rPr>
                <w:b/>
                <w:bCs/>
              </w:rPr>
              <w:t xml:space="preserve">Build cost only</w:t>
            </w:r>
          </w:p>
        </w:tc>
        <w:tc>
          <w:tcPr/>
          <w:p>
            <w:pPr>
              <w:pStyle w:val="Compact"/>
            </w:pPr>
            <w:r>
              <w:rPr>
                <w:b/>
                <w:bCs/>
              </w:rPr>
              <w:t xml:space="preserve">238,000–530,000+</w:t>
            </w:r>
          </w:p>
        </w:tc>
        <w:tc>
          <w:tcPr/>
          <w:p>
            <w:pPr>
              <w:pStyle w:val="Compact"/>
            </w:pPr>
            <w:r>
              <w:rPr>
                <w:b/>
                <w:bCs/>
              </w:rPr>
              <w:t xml:space="preserve">183,000–370,000+</w:t>
            </w:r>
          </w:p>
        </w:tc>
        <w:tc>
          <w:tcPr/>
          <w:p>
            <w:pPr>
              <w:pStyle w:val="Compact"/>
            </w:pPr>
            <w:r>
              <w:rPr>
                <w:b/>
                <w:bCs/>
              </w:rPr>
              <w:t xml:space="preserve">370,000–710,000+</w:t>
            </w:r>
          </w:p>
        </w:tc>
        <w:tc>
          <w:tcPr/>
          <w:p>
            <w:pPr>
              <w:pStyle w:val="Compact"/>
            </w:pPr>
            <w:r>
              <w:rPr>
                <w:b/>
                <w:bCs/>
              </w:rPr>
              <w:t xml:space="preserve">440,000–940,000+</w:t>
            </w:r>
          </w:p>
        </w:tc>
      </w:tr>
    </w:tbl>
    <w:p>
      <w:pPr>
        <w:pStyle w:val="BodyText"/>
      </w:pPr>
      <w:r>
        <w:rPr>
          <w:i/>
          <w:iCs/>
        </w:rPr>
        <w:t xml:space="preserve">The generic ERP 5-year totals include estimated customisation costs for all BIRDC-specific and Uganda-specific requirements. These are minimum estimates — actual customisation complexity may be higher. The BIRDC ERP build cost is documented separately in the project contract and is a one-time figure with no recurring obligation.</w:t>
      </w:r>
    </w:p>
    <w:p>
      <w:pPr>
        <w:pStyle w:val="BodyText"/>
      </w:pPr>
      <w:r>
        <w:rPr>
          <w:b/>
          <w:bCs/>
        </w:rPr>
        <w:t xml:space="preserve">Finding:</w:t>
      </w:r>
      <w:r>
        <w:t xml:space="preserve"> </w:t>
      </w:r>
      <w:r>
        <w:t xml:space="preserve">Even at conservative estimates, Option A (purpose-built) delivers a lower 5-year total cost of ownership than any generic platform, while providing 100% operational fit rather than approximated fit through costly customisation.</w:t>
      </w:r>
    </w:p>
    <w:p>
      <w:r>
        <w:pict>
          <v:rect style="width:0;height:1.5pt" o:hralign="center" o:hrstd="t" o:hr="t"/>
        </w:pict>
      </w:r>
    </w:p>
    <w:bookmarkEnd w:id="21"/>
    <w:bookmarkEnd w:id="22"/>
    <w:bookmarkStart w:id="29" w:name="X27bed1011a3108b7853cf52fa308b575d991025"/>
    <w:p>
      <w:pPr>
        <w:pStyle w:val="Heading1"/>
      </w:pPr>
      <w:r>
        <w:t xml:space="preserve">Section 2: Quantified Operational Benefits</w:t>
      </w:r>
    </w:p>
    <w:bookmarkStart w:id="23" w:name="X5b0f262a715ec620870dad7d5ec335049268981"/>
    <w:p>
      <w:pPr>
        <w:pStyle w:val="Heading2"/>
      </w:pPr>
      <w:r>
        <w:t xml:space="preserve">2.1 Agent Cash Accountability: Eliminating the Unreconciled Cash Gap</w:t>
      </w:r>
    </w:p>
    <w:p>
      <w:pPr>
        <w:pStyle w:val="FirstParagraph"/>
      </w:pPr>
      <w:r>
        <w:rPr>
          <w:b/>
          <w:bCs/>
        </w:rPr>
        <w:t xml:space="preserve">The problem:</w:t>
      </w:r>
      <w:r>
        <w:t xml:space="preserve"> </w:t>
      </w:r>
      <w:r>
        <w:t xml:space="preserve">BIRDC operates through 1,071 field sales agents, each of whom holds physical inventory and collects cash from customers. Without a real-time agent cash balance system, the difference between cash collected and cash remitted is undetectable until manual reconciliation — a process performed days or weeks after the fact.</w:t>
      </w:r>
    </w:p>
    <w:p>
      <w:pPr>
        <w:pStyle w:val="BodyText"/>
      </w:pPr>
      <w:r>
        <w:rPr>
          <w:b/>
          <w:bCs/>
        </w:rPr>
        <w:t xml:space="preserve">The scale:</w:t>
      </w:r>
      <w:r>
        <w:t xml:space="preserve"> </w:t>
      </w:r>
      <w:r>
        <w:t xml:space="preserve">If each agent holds an average of UGX 500,000 in unreconciled cash at any given time (a conservative estimate for an agent carrying UGX 2–5 million in stock), the aggregate unreconciled cash exposure across 1,071 agents is approximately UGX 535 million at any moment. At higher average balances, the figure is materially larger.</w:t>
      </w:r>
    </w:p>
    <w:p>
      <w:pPr>
        <w:pStyle w:val="BodyText"/>
      </w:pPr>
      <w:r>
        <w:rPr>
          <w:b/>
          <w:bCs/>
        </w:rPr>
        <w:t xml:space="preserve">The system solution:</w:t>
      </w:r>
      <w:r>
        <w:t xml:space="preserve"> </w:t>
      </w:r>
      <w:r>
        <w:t xml:space="preserve">Module F-004 (Agent Distribution Management) maintains a real-time agent cash balance for every agent: total invoices issued to agent customers minus total verified remittances. Business Rule BR-002 (FIFO Remittance Allocation) ensures every remittance is automatically allocated to the oldest outstanding invoices via stored procedure</w:t>
      </w:r>
      <w:r>
        <w:t xml:space="preserve"> </w:t>
      </w:r>
      <w:r>
        <w:rPr>
          <w:rStyle w:val="VerbatimChar"/>
        </w:rPr>
        <w:t xml:space="preserve">sp_apply_remittance_to_invoices</w:t>
      </w:r>
      <w:r>
        <w:t xml:space="preserve">. No manual allocation or calculation is required.</w:t>
      </w:r>
    </w:p>
    <w:p>
      <w:pPr>
        <w:pStyle w:val="BodyText"/>
      </w:pPr>
      <w:r>
        <w:rPr>
          <w:b/>
          <w:bCs/>
        </w:rPr>
        <w:t xml:space="preserve">The quantified benefit:</w:t>
      </w:r>
      <w:r>
        <w:t xml:space="preserve"> </w:t>
      </w:r>
      <w:r>
        <w:t xml:space="preserve">Real-time visibility of every agent's cash balance enables daily reconciliation by the Sales Manager. Agents with outstanding balances beyond their credit terms are identified automatically. The cash gap — currently invisible until manual period-end review — becomes a daily managed metric. Conservative estimate of cash gap reduction: 70–90% within 6 months of go-live.</w:t>
      </w:r>
    </w:p>
    <w:bookmarkEnd w:id="23"/>
    <w:bookmarkStart w:id="24" w:name="Xb889c44b478ca29243edd337d8f2afc6f3aa877"/>
    <w:p>
      <w:pPr>
        <w:pStyle w:val="Heading2"/>
      </w:pPr>
      <w:r>
        <w:t xml:space="preserve">2.2 Inventory Accuracy: Eliminating Warehouse/Agent Stock Confusion</w:t>
      </w:r>
    </w:p>
    <w:p>
      <w:pPr>
        <w:pStyle w:val="FirstParagraph"/>
      </w:pPr>
      <w:r>
        <w:rPr>
          <w:b/>
          <w:bCs/>
        </w:rPr>
        <w:t xml:space="preserve">The problem:</w:t>
      </w:r>
      <w:r>
        <w:t xml:space="preserve"> </w:t>
      </w:r>
      <w:r>
        <w:t xml:space="preserve">Without a dual-track inventory system, BIRDC's warehouse stock reports may include or exclude agent-held inventory depending on how the current tracking method handles stock issuance to agents. This produces unreliable stock valuation, incorrect reorder decisions, and inaccurate financial statements (inventory is a balance sheet asset).</w:t>
      </w:r>
    </w:p>
    <w:p>
      <w:pPr>
        <w:pStyle w:val="BodyText"/>
      </w:pPr>
      <w:r>
        <w:rPr>
          <w:b/>
          <w:bCs/>
        </w:rPr>
        <w:t xml:space="preserve">The system solution:</w:t>
      </w:r>
      <w:r>
        <w:t xml:space="preserve"> </w:t>
      </w:r>
      <w:r>
        <w:t xml:space="preserve">Business Rule BR-001 (Dual-Track Inventory Separation) mandates that warehouse stock (</w:t>
      </w:r>
      <w:r>
        <w:rPr>
          <w:rStyle w:val="VerbatimChar"/>
        </w:rPr>
        <w:t xml:space="preserve">tbl_stock_balance</w:t>
      </w:r>
      <w:r>
        <w:t xml:space="preserve">) and agent field stock (</w:t>
      </w:r>
      <w:r>
        <w:rPr>
          <w:rStyle w:val="VerbatimChar"/>
        </w:rPr>
        <w:t xml:space="preserve">tbl_agent_stock_balance</w:t>
      </w:r>
      <w:r>
        <w:t xml:space="preserve">) are permanently separate ledgers. A warehouse stock report never includes agent-held inventory. A total company stock report includes both, clearly labelled. This separation is architecturally enforced — it is impossible for a report or transaction to merge the two ledgers without an explicit consolidated report request.</w:t>
      </w:r>
    </w:p>
    <w:p>
      <w:pPr>
        <w:pStyle w:val="BodyText"/>
      </w:pPr>
      <w:r>
        <w:rPr>
          <w:b/>
          <w:bCs/>
        </w:rPr>
        <w:t xml:space="preserve">The quantified benefit:</w:t>
      </w:r>
      <w:r>
        <w:t xml:space="preserve"> </w:t>
      </w:r>
      <w:r>
        <w:t xml:space="preserve">Accurate inventory valuation for financial statements. Correct reorder calculations that do not mistakenly count agent-held stock as warehouse stock. Correct agent stock float limit enforcement (BR-006) preventing over-issuance. Reduced stock write-offs from FEFO enforcement (BR-007) — the batch with the earliest expiry date is always dispatched first, reducing expired stock losses.</w:t>
      </w:r>
    </w:p>
    <w:bookmarkEnd w:id="24"/>
    <w:bookmarkStart w:id="25" w:name="Xec949829d9f920e2952ba0a805d76ad20fa3c73"/>
    <w:p>
      <w:pPr>
        <w:pStyle w:val="Heading2"/>
      </w:pPr>
      <w:r>
        <w:t xml:space="preserve">2.3 Farmer Payment Accuracy: Eliminating Individual Contribution Disputes</w:t>
      </w:r>
    </w:p>
    <w:p>
      <w:pPr>
        <w:pStyle w:val="FirstParagraph"/>
      </w:pPr>
      <w:r>
        <w:rPr>
          <w:b/>
          <w:bCs/>
        </w:rPr>
        <w:t xml:space="preserve">The problem:</w:t>
      </w:r>
      <w:r>
        <w:t xml:space="preserve"> </w:t>
      </w:r>
      <w:r>
        <w:t xml:space="preserve">BIRDC procures matooke from 6,440+ farmers through cooperative collection points. Currently, individual farmer contribution records are maintained on paper delivery sheets. Payment disputes — "I delivered 500 kg but was paid for 400 kg" — cannot be resolved quickly without locating and reworking paper delivery records. Unresolved disputes damage farmer loyalty and can reduce future matooke supply.</w:t>
      </w:r>
    </w:p>
    <w:p>
      <w:pPr>
        <w:pStyle w:val="BodyText"/>
      </w:pPr>
      <w:r>
        <w:rPr>
          <w:b/>
          <w:bCs/>
        </w:rPr>
        <w:t xml:space="preserve">The system solution:</w:t>
      </w:r>
      <w:r>
        <w:t xml:space="preserve"> </w:t>
      </w:r>
      <w:r>
        <w:t xml:space="preserve">Business Rule BR-011 (Individual Farmer Contribution Tracking) mandates that every cooperative batch goods receipt is broken down to individual farmer contributions — name, NIN, weight, quality grade, and net payable — before the batch can be posted to the General Ledger. The Farmer Delivery App (Android, offline-capable) records individual deliveries at the cooperative collection point, linked to the farmer's registered profile. The full delivery history — with quality grades, deductions, and net payments — is accessible per farmer at any time.</w:t>
      </w:r>
    </w:p>
    <w:p>
      <w:pPr>
        <w:pStyle w:val="BodyText"/>
      </w:pPr>
      <w:r>
        <w:rPr>
          <w:b/>
          <w:bCs/>
        </w:rPr>
        <w:t xml:space="preserve">The quantified benefit:</w:t>
      </w:r>
      <w:r>
        <w:t xml:space="preserve"> </w:t>
      </w:r>
      <w:r>
        <w:t xml:space="preserve">Every payment dispute can be resolved in under 5 minutes by querying the farmer's contribution history. Farmer confidence in payment accuracy increases, reducing attrition from the cooperative network. With 6,440+ farmers, even a 5% reduction in attrition (322 farmers) at an average matooke supply of 2 tonnes per season per farmer represents 644 tonnes of additional raw material supply per year.</w:t>
      </w:r>
    </w:p>
    <w:bookmarkEnd w:id="25"/>
    <w:bookmarkStart w:id="26" w:name="X0bd4069810a85ab7db1cbf269b8e53a92363032"/>
    <w:p>
      <w:pPr>
        <w:pStyle w:val="Heading2"/>
      </w:pPr>
      <w:r>
        <w:t xml:space="preserve">2.4 Parliamentary Compliance: Eliminating Dual-System Reconciliation</w:t>
      </w:r>
    </w:p>
    <w:p>
      <w:pPr>
        <w:pStyle w:val="FirstParagraph"/>
      </w:pPr>
      <w:r>
        <w:rPr>
          <w:b/>
          <w:bCs/>
        </w:rPr>
        <w:t xml:space="preserve">The problem:</w:t>
      </w:r>
      <w:r>
        <w:t xml:space="preserve"> </w:t>
      </w:r>
      <w:r>
        <w:t xml:space="preserve">PIBID must report to Parliament on budget vote expenditure using government accounting standards, while BIRDC must produce IFRS commercial financial statements. Currently, these two reporting obligations are served by either two separate systems or a single system with manual reconciliation between the two reporting formats.</w:t>
      </w:r>
    </w:p>
    <w:p>
      <w:pPr>
        <w:pStyle w:val="BodyText"/>
      </w:pPr>
      <w:r>
        <w:rPr>
          <w:b/>
          <w:bCs/>
        </w:rPr>
        <w:t xml:space="preserve">The system solution:</w:t>
      </w:r>
      <w:r>
        <w:t xml:space="preserve"> </w:t>
      </w:r>
      <w:r>
        <w:t xml:space="preserve">Module F-005 (Financial Accounting and General Ledger) provides dual-mode accounting in a single system. Parliamentary budget votes are tracked by vote code alongside IFRS commercial accounts. The Finance Director can generate parliamentary reports and IFRS financial statements from the same data set, at any time, without period closing or manual reconciliation.</w:t>
      </w:r>
    </w:p>
    <w:p>
      <w:pPr>
        <w:pStyle w:val="BodyText"/>
      </w:pPr>
      <w:r>
        <w:rPr>
          <w:b/>
          <w:bCs/>
        </w:rPr>
        <w:t xml:space="preserve">The quantified benefit:</w:t>
      </w:r>
      <w:r>
        <w:t xml:space="preserve"> </w:t>
      </w:r>
      <w:r>
        <w:t xml:space="preserve">The Finance team's time spent on reconciliation between two systems is eliminated. Conservative estimate: 2–3 finance staff-days per month currently spent on cross-system reconciliation = 24–36 staff-days per year = approximately 0.1 FTE. At a Finance Assistant salary of UGX 1.5 million/month, this represents UGX 1.8–2.7 million in recoverable staff capacity per year. More significantly, the reconciliation error rate drops to zero — reconciliation errors in parliamentary reporting carry reputational and audit risk disproportionate to their financial value.</w:t>
      </w:r>
    </w:p>
    <w:bookmarkEnd w:id="26"/>
    <w:bookmarkStart w:id="27" w:name="X886816ea3d0878e92590441770d2f980d99d350"/>
    <w:p>
      <w:pPr>
        <w:pStyle w:val="Heading2"/>
      </w:pPr>
      <w:r>
        <w:t xml:space="preserve">2.5 EFRIS Compliance: Avoiding URA Penalties for Non-Submission</w:t>
      </w:r>
    </w:p>
    <w:p>
      <w:pPr>
        <w:pStyle w:val="FirstParagraph"/>
      </w:pPr>
      <w:r>
        <w:rPr>
          <w:b/>
          <w:bCs/>
        </w:rPr>
        <w:t xml:space="preserve">The problem:</w:t>
      </w:r>
      <w:r>
        <w:t xml:space="preserve"> </w:t>
      </w:r>
      <w:r>
        <w:t xml:space="preserve">Uganda Revenue Authority requires all designated taxpayers to submit fiscal documents (invoices, credit notes, POS receipts) in real time via the EFRIS system-to-system API. Non-submission or late submission attracts penalties under the Uganda Tax Procedures Code Act.</w:t>
      </w:r>
    </w:p>
    <w:p>
      <w:pPr>
        <w:pStyle w:val="BodyText"/>
      </w:pPr>
      <w:r>
        <w:rPr>
          <w:b/>
          <w:bCs/>
        </w:rPr>
        <w:t xml:space="preserve">The current risk:</w:t>
      </w:r>
      <w:r>
        <w:t xml:space="preserve"> </w:t>
      </w:r>
      <w:r>
        <w:t xml:space="preserve">If BIRDC is not currently submitting invoices via EFRIS in real time, every commercial invoice issued is a potential penalty exposure. With 398+ SKUs and factory gate, distribution centre, and agent sales channels, the daily volume of fiscal documents is substantial.</w:t>
      </w:r>
    </w:p>
    <w:p>
      <w:pPr>
        <w:pStyle w:val="BodyText"/>
      </w:pPr>
      <w:r>
        <w:rPr>
          <w:b/>
          <w:bCs/>
        </w:rPr>
        <w:t xml:space="preserve">The system solution:</w:t>
      </w:r>
      <w:r>
        <w:t xml:space="preserve"> </w:t>
      </w:r>
      <w:r>
        <w:t xml:space="preserve">Module F-001 (Sales and Distribution), Module F-002 (POS), and Module F-018 (EFRIS Full Integration) together ensure every commercial invoice and POS receipt is submitted to URA EFRIS in real time on posting. The Fiscal Document Number (FDN) and QR code are printed on every document. A failed submission retry queue (3 attempts) with Finance Manager alert ensures no submission is silently lost.</w:t>
      </w:r>
    </w:p>
    <w:p>
      <w:pPr>
        <w:pStyle w:val="BodyText"/>
      </w:pPr>
      <w:r>
        <w:rPr>
          <w:b/>
          <w:bCs/>
        </w:rPr>
        <w:t xml:space="preserve">The quantified benefit:</w:t>
      </w:r>
      <w:r>
        <w:t xml:space="preserve"> </w:t>
      </w:r>
      <w:r>
        <w:t xml:space="preserve">Elimination of EFRIS non-compliance penalty risk. URA penalty rates for fiscal document non-submission are material; the exact current penalty schedule is documented in the Uganda Tax Procedures Code Act. Beyond penalties, EFRIS compliance is a prerequisite for export clearance documentation and increasingly a condition for institutional buyers.</w:t>
      </w:r>
    </w:p>
    <w:bookmarkEnd w:id="27"/>
    <w:bookmarkStart w:id="28" w:name="Xcf7099549fbd9574de01244909533c05c8186ae"/>
    <w:p>
      <w:pPr>
        <w:pStyle w:val="Heading2"/>
      </w:pPr>
      <w:r>
        <w:t xml:space="preserve">2.6 Export Growth: CoA System Enables Scaling Export Orders</w:t>
      </w:r>
    </w:p>
    <w:p>
      <w:pPr>
        <w:pStyle w:val="FirstParagraph"/>
      </w:pPr>
      <w:r>
        <w:rPr>
          <w:b/>
          <w:bCs/>
        </w:rPr>
        <w:t xml:space="preserve">The problem:</w:t>
      </w:r>
      <w:r>
        <w:t xml:space="preserve"> </w:t>
      </w:r>
      <w:r>
        <w:t xml:space="preserve">BIRDC has signed or prospective export contracts with buyers in South Korea, Saudi Arabia, Qatar, Italy, and the United States. Each export shipment requires a Certificate of Analysis (CoA) certifying that the specific batch meets the destination market's import quality parameters. Without a laboratory management system generating market-specific CoAs, export volume is limited by the manual CoA generation capacity of the QC team.</w:t>
      </w:r>
    </w:p>
    <w:p>
      <w:pPr>
        <w:pStyle w:val="BodyText"/>
      </w:pPr>
      <w:r>
        <w:rPr>
          <w:b/>
          <w:bCs/>
        </w:rPr>
        <w:t xml:space="preserve">The system solution:</w:t>
      </w:r>
      <w:r>
        <w:t xml:space="preserve"> </w:t>
      </w:r>
      <w:r>
        <w:t xml:space="preserve">Module F-012 (Quality Control and Laboratory) provides configurable CoA templates for each export market, generated automatically from the QC test results for the specific batch. Business Rule BR-017 (Export CoA Requirements) ensures that a batch approved for domestic sale cannot be dispatched on an export order without an export-grade CoA with the appropriate market-specific parameters.</w:t>
      </w:r>
    </w:p>
    <w:p>
      <w:pPr>
        <w:pStyle w:val="BodyText"/>
      </w:pPr>
      <w:r>
        <w:rPr>
          <w:b/>
          <w:bCs/>
        </w:rPr>
        <w:t xml:space="preserve">The quantified benefit:</w:t>
      </w:r>
      <w:r>
        <w:t xml:space="preserve"> </w:t>
      </w:r>
      <w:r>
        <w:t xml:space="preserve">Scalable export documentation. If BIRDC's current export capacity is constrained by manual CoA generation, the system removes this constraint entirely. A doubling of export volume from the current baseline — at export prices typically 30–50% above domestic wholesale — represents a material revenue increase. The exact figure depends on current export volumes (not available in context) but the directional benefit is unambiguous.</w:t>
      </w:r>
    </w:p>
    <w:p>
      <w:r>
        <w:pict>
          <v:rect style="width:0;height:1.5pt" o:hralign="center" o:hrstd="t" o:hr="t"/>
        </w:pict>
      </w:r>
    </w:p>
    <w:bookmarkEnd w:id="28"/>
    <w:bookmarkEnd w:id="29"/>
    <w:bookmarkStart w:id="35" w:name="section-3-risk-of-not-building"/>
    <w:p>
      <w:pPr>
        <w:pStyle w:val="Heading1"/>
      </w:pPr>
      <w:r>
        <w:t xml:space="preserve">Section 3: Risk of Not Building</w:t>
      </w:r>
    </w:p>
    <w:p>
      <w:pPr>
        <w:pStyle w:val="FirstParagraph"/>
      </w:pPr>
      <w:r>
        <w:t xml:space="preserve">The following risks accrue annually that BIRDC operates without an integrated ERP system.</w:t>
      </w:r>
    </w:p>
    <w:bookmarkStart w:id="30" w:name="X65b9fdb113b6c4338d8681842cb4d008c69574a"/>
    <w:p>
      <w:pPr>
        <w:pStyle w:val="Heading2"/>
      </w:pPr>
      <w:r>
        <w:t xml:space="preserve">3.1 OAG Audit Findings</w:t>
      </w:r>
    </w:p>
    <w:p>
      <w:pPr>
        <w:pStyle w:val="FirstParagraph"/>
      </w:pPr>
      <w:r>
        <w:t xml:space="preserve">The Office of the Auditor General audits PIBID annually. Without an integrated system providing complete, traceable financial records, the audit team must rely on reconstructed records, spreadsheets, and manual reconciliation. This creates material risk of:</w:t>
      </w:r>
    </w:p>
    <w:p>
      <w:pPr>
        <w:pStyle w:val="Compact"/>
        <w:numPr>
          <w:ilvl w:val="0"/>
          <w:numId w:val="1001"/>
        </w:numPr>
      </w:pPr>
      <w:r>
        <w:t xml:space="preserve">Qualified audit opinion on PIBID's financial statements, reported to Parliament</w:t>
      </w:r>
    </w:p>
    <w:p>
      <w:pPr>
        <w:pStyle w:val="Compact"/>
        <w:numPr>
          <w:ilvl w:val="0"/>
          <w:numId w:val="1001"/>
        </w:numPr>
      </w:pPr>
      <w:r>
        <w:t xml:space="preserve">Specific audit findings on cash management (agent cash gap), procurement documentation (PPDA), and payroll controls</w:t>
      </w:r>
    </w:p>
    <w:p>
      <w:pPr>
        <w:pStyle w:val="Compact"/>
        <w:numPr>
          <w:ilvl w:val="0"/>
          <w:numId w:val="1001"/>
        </w:numPr>
      </w:pPr>
      <w:r>
        <w:t xml:space="preserve">Reputational damage to PIBID/BIRDC with the Parliamentary Budget Committee, which controls future budget vote allocations</w:t>
      </w:r>
    </w:p>
    <w:p>
      <w:pPr>
        <w:pStyle w:val="FirstParagraph"/>
      </w:pPr>
      <w:r>
        <w:t xml:space="preserve">Each qualified finding in an OAG report is a public record. The cumulative reputational cost of recurring qualified audit opinions on a UGX 200 billion investment is not quantifiable but is strategically significant.</w:t>
      </w:r>
    </w:p>
    <w:bookmarkEnd w:id="30"/>
    <w:bookmarkStart w:id="31" w:name="X8f56ac7d140248ae3943b35ad21f21c9110a666"/>
    <w:p>
      <w:pPr>
        <w:pStyle w:val="Heading2"/>
      </w:pPr>
      <w:r>
        <w:t xml:space="preserve">3.2 Farmer Payment Disputes</w:t>
      </w:r>
    </w:p>
    <w:p>
      <w:pPr>
        <w:pStyle w:val="FirstParagraph"/>
      </w:pPr>
      <w:r>
        <w:t xml:space="preserve">Without individual contribution tracking at cooperative level, farmer payment disputes cannot be resolved quickly or definitively. Unresolved disputes lead to farmer attrition from the cooperative network. With 6,440+ farmers as the raw material supply base for a 140 MT/day factory, supply chain disruption from cooperative network attrition directly reduces factory throughput and revenue.</w:t>
      </w:r>
    </w:p>
    <w:bookmarkEnd w:id="31"/>
    <w:bookmarkStart w:id="32" w:name="X0f9b4aa8b0b12a2690a4a3caf6c0fefe6cde7cf"/>
    <w:p>
      <w:pPr>
        <w:pStyle w:val="Heading2"/>
      </w:pPr>
      <w:r>
        <w:t xml:space="preserve">3.3 EFRIS Penalties</w:t>
      </w:r>
    </w:p>
    <w:p>
      <w:pPr>
        <w:pStyle w:val="FirstParagraph"/>
      </w:pPr>
      <w:r>
        <w:t xml:space="preserve">If BIRDC is not currently compliant with URA EFRIS submission requirements, each day of non-compliance is a day of potential penalty accrual. The Uganda Tax Procedures Code Act provides for penalties on fiscal document non-submission. The longer EFRIS integration is deferred, the larger the retroactive compliance exposure.</w:t>
      </w:r>
    </w:p>
    <w:bookmarkEnd w:id="32"/>
    <w:bookmarkStart w:id="33" w:name="X00fb9b2135154e55c9136dafeb5393d1bafe687"/>
    <w:p>
      <w:pPr>
        <w:pStyle w:val="Heading2"/>
      </w:pPr>
      <w:r>
        <w:t xml:space="preserve">3.4 Continued Double-Entry Work</w:t>
      </w:r>
    </w:p>
    <w:p>
      <w:pPr>
        <w:pStyle w:val="FirstParagraph"/>
      </w:pPr>
      <w:r>
        <w:t xml:space="preserve">Without integration, finance staff perform the same data entry multiple times — once in the accounting system, once in the spreadsheet, once in the parliamentary reporting template. This double-entry work is not just an efficiency cost: it is a source of transcription errors that propagate into financial statements, parliamentary reports, and management information. The cost of investigating and correcting these errors — both in staff time and in the risk of acting on incorrect management information — compounds annually.</w:t>
      </w:r>
    </w:p>
    <w:bookmarkEnd w:id="33"/>
    <w:bookmarkStart w:id="34" w:name="X1ae8accf9a86a09ef71eed8c96a009707c1a03f"/>
    <w:p>
      <w:pPr>
        <w:pStyle w:val="Heading2"/>
      </w:pPr>
      <w:r>
        <w:t xml:space="preserve">3.5 Agent Cash Loss</w:t>
      </w:r>
    </w:p>
    <w:p>
      <w:pPr>
        <w:pStyle w:val="FirstParagraph"/>
      </w:pPr>
      <w:r>
        <w:t xml:space="preserve">An unreconciled agent cash gap that is undetected for 30 days is a cash loss. At the scale of 1,071 agents, even a modest average daily float per agent represents a significant aggregate exposure. Without real-time visibility, the gap may not be identified until it has accumulated to a level that cannot be recovered.</w:t>
      </w:r>
    </w:p>
    <w:p>
      <w:r>
        <w:pict>
          <v:rect style="width:0;height:1.5pt" o:hralign="center" o:hrstd="t" o:hr="t"/>
        </w:pict>
      </w:r>
    </w:p>
    <w:bookmarkEnd w:id="34"/>
    <w:bookmarkEnd w:id="35"/>
    <w:bookmarkStart w:id="36" w:name="section-4-implementation-roadmap-summary"/>
    <w:p>
      <w:pPr>
        <w:pStyle w:val="Heading1"/>
      </w:pPr>
      <w:r>
        <w:t xml:space="preserve">Section 4: Implementation Roadmap Summary</w:t>
      </w:r>
    </w:p>
    <w:p>
      <w:pPr>
        <w:pStyle w:val="FirstParagraph"/>
      </w:pPr>
      <w:r>
        <w:t xml:space="preserve">The BIRDC ERP project is delivered in 7 phases, each producing a working software increment accepted by BIRDC before the next phase begins. Payments are milestone-based — each phase payment is triggered by BIRDC's written acceptance of the phase deliverables.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Key Deliverables</w:t>
            </w:r>
          </w:p>
        </w:tc>
        <w:tc>
          <w:tcPr/>
          <w:p>
            <w:pPr>
              <w:pStyle w:val="Compact"/>
            </w:pPr>
            <w:r>
              <w:t xml:space="preserve">Primary Beneficiary</w:t>
            </w:r>
          </w:p>
        </w:tc>
      </w:tr>
      <w:tr>
        <w:tc>
          <w:tcPr/>
          <w:p>
            <w:pPr>
              <w:pStyle w:val="Compact"/>
            </w:pPr>
            <w:r>
              <w:t xml:space="preserve">Phase 1</w:t>
            </w:r>
          </w:p>
        </w:tc>
        <w:tc>
          <w:tcPr/>
          <w:p>
            <w:pPr>
              <w:pStyle w:val="Compact"/>
            </w:pPr>
            <w:r>
              <w:t xml:space="preserve">Commerce Foundation</w:t>
            </w:r>
          </w:p>
        </w:tc>
        <w:tc>
          <w:tcPr/>
          <w:p>
            <w:pPr>
              <w:pStyle w:val="Compact"/>
            </w:pPr>
            <w:r>
              <w:t xml:space="preserve">Sales, POS, Inventory, Agent Distribution, Sales Agent Android App</w:t>
            </w:r>
          </w:p>
        </w:tc>
        <w:tc>
          <w:tcPr/>
          <w:p>
            <w:pPr>
              <w:pStyle w:val="Compact"/>
            </w:pPr>
            <w:r>
              <w:t xml:space="preserve">Sales Manager, Store Manager</w:t>
            </w:r>
          </w:p>
        </w:tc>
      </w:tr>
      <w:tr>
        <w:tc>
          <w:tcPr/>
          <w:p>
            <w:pPr>
              <w:pStyle w:val="Compact"/>
            </w:pPr>
            <w:r>
              <w:t xml:space="preserve">Phase 2</w:t>
            </w:r>
          </w:p>
        </w:tc>
        <w:tc>
          <w:tcPr/>
          <w:p>
            <w:pPr>
              <w:pStyle w:val="Compact"/>
            </w:pPr>
            <w:r>
              <w:t xml:space="preserve">Financial Core</w:t>
            </w:r>
          </w:p>
        </w:tc>
        <w:tc>
          <w:tcPr/>
          <w:p>
            <w:pPr>
              <w:pStyle w:val="Compact"/>
            </w:pPr>
            <w:r>
              <w:t xml:space="preserve">General Ledger, AR, AP, Budget Management, Executive Dashboard App</w:t>
            </w:r>
          </w:p>
        </w:tc>
        <w:tc>
          <w:tcPr/>
          <w:p>
            <w:pPr>
              <w:pStyle w:val="Compact"/>
            </w:pPr>
            <w:r>
              <w:t xml:space="preserve">Finance Director, Accounts Team</w:t>
            </w:r>
          </w:p>
        </w:tc>
      </w:tr>
      <w:tr>
        <w:tc>
          <w:tcPr/>
          <w:p>
            <w:pPr>
              <w:pStyle w:val="Compact"/>
            </w:pPr>
            <w:r>
              <w:t xml:space="preserve">Phase 3</w:t>
            </w:r>
          </w:p>
        </w:tc>
        <w:tc>
          <w:tcPr/>
          <w:p>
            <w:pPr>
              <w:pStyle w:val="Compact"/>
            </w:pPr>
            <w:r>
              <w:t xml:space="preserve">Supply Chain and Farmers</w:t>
            </w:r>
          </w:p>
        </w:tc>
        <w:tc>
          <w:tcPr/>
          <w:p>
            <w:pPr>
              <w:pStyle w:val="Compact"/>
            </w:pPr>
            <w:r>
              <w:t xml:space="preserve">Procurement (PPDA), Farmer Management, Farmer Delivery App, Warehouse App</w:t>
            </w:r>
          </w:p>
        </w:tc>
        <w:tc>
          <w:tcPr/>
          <w:p>
            <w:pPr>
              <w:pStyle w:val="Compact"/>
            </w:pPr>
            <w:r>
              <w:t xml:space="preserve">Procurement Manager, Field Officers</w:t>
            </w:r>
          </w:p>
        </w:tc>
      </w:tr>
      <w:tr>
        <w:tc>
          <w:tcPr/>
          <w:p>
            <w:pPr>
              <w:pStyle w:val="Compact"/>
            </w:pPr>
            <w:r>
              <w:t xml:space="preserve">Phase 4</w:t>
            </w:r>
          </w:p>
        </w:tc>
        <w:tc>
          <w:tcPr/>
          <w:p>
            <w:pPr>
              <w:pStyle w:val="Compact"/>
            </w:pPr>
            <w:r>
              <w:t xml:space="preserve">Production and Quality</w:t>
            </w:r>
          </w:p>
        </w:tc>
        <w:tc>
          <w:tcPr/>
          <w:p>
            <w:pPr>
              <w:pStyle w:val="Compact"/>
            </w:pPr>
            <w:r>
              <w:t xml:space="preserve">Manufacturing, QC/Lab, CoA generation, Factory Floor App</w:t>
            </w:r>
          </w:p>
        </w:tc>
        <w:tc>
          <w:tcPr/>
          <w:p>
            <w:pPr>
              <w:pStyle w:val="Compact"/>
            </w:pPr>
            <w:r>
              <w:t xml:space="preserve">Production Manager, QC Manager</w:t>
            </w:r>
          </w:p>
        </w:tc>
      </w:tr>
      <w:tr>
        <w:tc>
          <w:tcPr/>
          <w:p>
            <w:pPr>
              <w:pStyle w:val="Compact"/>
            </w:pPr>
            <w:r>
              <w:t xml:space="preserve">Phase 5</w:t>
            </w:r>
          </w:p>
        </w:tc>
        <w:tc>
          <w:tcPr/>
          <w:p>
            <w:pPr>
              <w:pStyle w:val="Compact"/>
            </w:pPr>
            <w:r>
              <w:t xml:space="preserve">People</w:t>
            </w:r>
          </w:p>
        </w:tc>
        <w:tc>
          <w:tcPr/>
          <w:p>
            <w:pPr>
              <w:pStyle w:val="Compact"/>
            </w:pPr>
            <w:r>
              <w:t xml:space="preserve">HR, Payroll, Biometric Integration, HR Self-Service App</w:t>
            </w:r>
          </w:p>
        </w:tc>
        <w:tc>
          <w:tcPr/>
          <w:p>
            <w:pPr>
              <w:pStyle w:val="Compact"/>
            </w:pPr>
            <w:r>
              <w:t xml:space="preserve">HR Manager, Payroll Officer, All Staff</w:t>
            </w:r>
          </w:p>
        </w:tc>
      </w:tr>
      <w:tr>
        <w:tc>
          <w:tcPr/>
          <w:p>
            <w:pPr>
              <w:pStyle w:val="Compact"/>
            </w:pPr>
            <w:r>
              <w:t xml:space="preserve">Phase 6</w:t>
            </w:r>
          </w:p>
        </w:tc>
        <w:tc>
          <w:tcPr/>
          <w:p>
            <w:pPr>
              <w:pStyle w:val="Compact"/>
            </w:pPr>
            <w:r>
              <w:t xml:space="preserve">Research, Administration, Compliance</w:t>
            </w:r>
          </w:p>
        </w:tc>
        <w:tc>
          <w:tcPr/>
          <w:p>
            <w:pPr>
              <w:pStyle w:val="Compact"/>
            </w:pPr>
            <w:r>
              <w:t xml:space="preserve">R&amp;D module, Admin, PPDA documentation, System Administration</w:t>
            </w:r>
          </w:p>
        </w:tc>
        <w:tc>
          <w:tcPr/>
          <w:p>
            <w:pPr>
              <w:pStyle w:val="Compact"/>
            </w:pPr>
            <w:r>
              <w:t xml:space="preserve">Administration Officer, IT Administrator</w:t>
            </w:r>
          </w:p>
        </w:tc>
      </w:tr>
      <w:tr>
        <w:tc>
          <w:tcPr/>
          <w:p>
            <w:pPr>
              <w:pStyle w:val="Compact"/>
            </w:pPr>
            <w:r>
              <w:t xml:space="preserve">Phase 7</w:t>
            </w:r>
          </w:p>
        </w:tc>
        <w:tc>
          <w:tcPr/>
          <w:p>
            <w:pPr>
              <w:pStyle w:val="Compact"/>
            </w:pPr>
            <w:r>
              <w:t xml:space="preserve">Integration, Hardening, Go-Live</w:t>
            </w:r>
          </w:p>
        </w:tc>
        <w:tc>
          <w:tcPr/>
          <w:p>
            <w:pPr>
              <w:pStyle w:val="Compact"/>
            </w:pPr>
            <w:r>
              <w:t xml:space="preserve">Full EFRIS integration, security hardening, penetration test, staff training, go-live cutover</w:t>
            </w:r>
          </w:p>
        </w:tc>
        <w:tc>
          <w:tcPr/>
          <w:p>
            <w:pPr>
              <w:pStyle w:val="Compact"/>
            </w:pPr>
            <w:r>
              <w:t xml:space="preserve">All stakeholders</w:t>
            </w:r>
          </w:p>
        </w:tc>
      </w:tr>
    </w:tbl>
    <w:p>
      <w:pPr>
        <w:pStyle w:val="BodyText"/>
      </w:pPr>
      <w:r>
        <w:t xml:space="preserve">Each phase includes unit tests, integration tests, and user acceptance testing (UAT) sign-off. Financial services (GL posting, payroll, commission calculation, remittance allocation) require a minimum of 80% PHPUnit test coverage before phase acceptance.</w:t>
      </w:r>
    </w:p>
    <w:p>
      <w:pPr>
        <w:pStyle w:val="BodyText"/>
      </w:pPr>
      <w:r>
        <w:t xml:space="preserve">The build script (</w:t>
      </w:r>
      <w:r>
        <w:rPr>
          <w:rStyle w:val="VerbatimChar"/>
        </w:rPr>
        <w:t xml:space="preserve">scripts/build-doc.sh</w:t>
      </w:r>
      <w:r>
        <w:t xml:space="preserve">) and CI/CD pipeline (GitHub Actions: lint → test → build → staging → production approval) provide continuous quality assurance throughout all 7 phases.</w:t>
      </w:r>
    </w:p>
    <w:p>
      <w:r>
        <w:pict>
          <v:rect style="width:0;height:1.5pt" o:hralign="center" o:hrstd="t" o:hr="t"/>
        </w:pict>
      </w:r>
    </w:p>
    <w:bookmarkEnd w:id="36"/>
    <w:bookmarkStart w:id="38" w:name="section-5-consultant-credentials"/>
    <w:p>
      <w:pPr>
        <w:pStyle w:val="Heading1"/>
      </w:pPr>
      <w:r>
        <w:t xml:space="preserve">Section 5: Consultant Credentials</w:t>
      </w:r>
    </w:p>
    <w:p>
      <w:pPr>
        <w:pStyle w:val="FirstParagraph"/>
      </w:pPr>
      <w:r>
        <w:rPr>
          <w:b/>
          <w:bCs/>
        </w:rPr>
        <w:t xml:space="preserve">Peter Bamuhigire</w:t>
      </w:r>
      <w:r>
        <w:t xml:space="preserve"> </w:t>
      </w:r>
      <w:r>
        <w:t xml:space="preserve">ICT Consultant</w:t>
      </w:r>
      <w:r>
        <w:t xml:space="preserve"> </w:t>
      </w:r>
      <w:hyperlink r:id="rId37">
        <w:r>
          <w:rPr>
            <w:rStyle w:val="Hyperlink"/>
          </w:rPr>
          <w:t xml:space="preserve">techguypeter.com</w:t>
        </w:r>
      </w:hyperlink>
    </w:p>
    <w:p>
      <w:pPr>
        <w:pStyle w:val="BodyText"/>
      </w:pPr>
      <w:r>
        <w:t xml:space="preserve">Peter Bamuhigire is the lead consultant responsible for all BIRDC ERP deliverables: requirements specification, architecture design, development oversight, testing, and go-live support. He brings experience designing and delivering enterprise software systems for African business contexts, with expertise in PHP/MySQL enterprise architecture, Android mobile development, Uganda regulatory compliance (EFRIS, PPDA, PAYE/NSSF), and agro-processing value chain management systems.</w:t>
      </w:r>
    </w:p>
    <w:p>
      <w:pPr>
        <w:pStyle w:val="BodyText"/>
      </w:pPr>
      <w:r>
        <w:t xml:space="preserve">Peter is the author of all documents in the BIRDC ERP documentation suite and the primary point of contact for all technical and specification questions throughout the project.</w:t>
      </w:r>
    </w:p>
    <w:p>
      <w:pPr>
        <w:pStyle w:val="BodyText"/>
      </w:pPr>
      <w:r>
        <w:rPr>
          <w:b/>
          <w:bCs/>
        </w:rPr>
        <w:t xml:space="preserve">Engagement basis:</w:t>
      </w:r>
      <w:r>
        <w:t xml:space="preserve"> </w:t>
      </w:r>
      <w:r>
        <w:t xml:space="preserve">Fixed-scope, milestone-based engagement. All deliverables are owned by PIBID/BIRDC on acceptance. No recurring licence fees. No vendor lock-in.</w:t>
      </w:r>
    </w:p>
    <w:bookmarkEnd w:id="3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37" Target="https://techguypeter.com" TargetMode="External" /></Relationships>
</file>

<file path=word/_rels/footnotes.xml.rels><?xml version="1.0" encoding="UTF-8"?><Relationships xmlns="http://schemas.openxmlformats.org/package/2006/relationships"><Relationship Type="http://schemas.openxmlformats.org/officeDocument/2006/relationships/hyperlink" Id="rId37" Target="https://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 BIRDC ERP</dc:title>
  <dc:creator>Peter Bamuhigire, ICT Consultant (techguypeter.com) for PIBID/BIRDC</dc:creator>
  <cp:keywords/>
  <dcterms:created xsi:type="dcterms:W3CDTF">2026-04-05T16:39:40Z</dcterms:created>
  <dcterms:modified xsi:type="dcterms:W3CDTF">2026-04-05T16:39:40Z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Banana Industrial Research and Development Centre Enterprise Resource Planning System</vt:lpwstr>
  </property>
  <property fmtid="{D5CDD505-2E9C-101B-9397-08002B2CF9AE}" pid="4" name="version">
    <vt:lpwstr>1.0 — Draft for Review</vt:lpwstr>
  </property>
</Properties>
</file>