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Vision Statement — BIRDC ERP</w:t>
      </w:r>
    </w:p>
    <w:p>
      <w:pPr>
        <w:pStyle w:val="Subtitle"/>
      </w:pPr>
      <w:r>
        <w:t xml:space="preserve">Banana Industrial Research and Development Centre Enterprise Resource Planning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vision-statement--birdc-erp"/>
    <w:p>
      <w:pPr>
        <w:pStyle w:val="Heading1"/>
      </w:pPr>
      <w:r>
        <w:t xml:space="preserve">Vision Statement — BIRDC ERP</w:t>
      </w:r>
    </w:p>
    <w:p>
      <w:pPr>
        <w:pStyle w:val="FirstParagraph"/>
      </w:pPr>
      <w:r>
        <w:rPr>
          <w:b/>
          <w:bCs/>
        </w:rPr>
        <w:t xml:space="preserve">Project:</w:t>
      </w:r>
      <w:r>
        <w:t xml:space="preserve"> </w:t>
      </w:r>
      <w:r>
        <w:t xml:space="preserve">BIRDC ERP</w:t>
      </w:r>
      <w:r>
        <w:t xml:space="preserve"> </w:t>
      </w:r>
      <w:r>
        <w:rPr>
          <w:b/>
          <w:bCs/>
        </w:rPr>
        <w:t xml:space="preserve">Client:</w:t>
      </w:r>
      <w:r>
        <w:t xml:space="preserve"> </w:t>
      </w:r>
      <w:r>
        <w:t xml:space="preserve">PIBID / BIRDC, Nyaruzinga Hill, Bushenyi District, Western Uganda</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Document version:</w:t>
      </w:r>
      <w:r>
        <w:t xml:space="preserve"> </w:t>
      </w:r>
      <w:r>
        <w:t xml:space="preserve">1.0 — Draft for Review</w:t>
      </w:r>
      <w:r>
        <w:t xml:space="preserve"> </w:t>
      </w:r>
      <w:r>
        <w:rPr>
          <w:b/>
          <w:bCs/>
        </w:rPr>
        <w:t xml:space="preserve">Date:</w:t>
      </w:r>
      <w:r>
        <w:t xml:space="preserve"> </w:t>
      </w:r>
      <w:r>
        <w:t xml:space="preserve">2026-04-05</w:t>
      </w:r>
    </w:p>
    <w:p>
      <w:r>
        <w:pict>
          <v:rect style="width:0;height:1.5pt" o:hralign="center" o:hrstd="t" o:hr="t"/>
        </w:pict>
      </w:r>
    </w:p>
    <w:bookmarkEnd w:id="19"/>
    <w:bookmarkStart w:id="20" w:name="section-1-vision-statement"/>
    <w:p>
      <w:pPr>
        <w:pStyle w:val="Heading1"/>
      </w:pPr>
      <w:r>
        <w:t xml:space="preserve">Section 1: Vision Statement</w:t>
      </w:r>
    </w:p>
    <w:p>
      <w:pPr>
        <w:pStyle w:val="FirstParagraph"/>
      </w:pPr>
      <w:r>
        <w:t xml:space="preserve">A purpose-built, single-tenant enterprise resource planning system that gives BIRDC and PIBID complete operational visibility and control over Uganda's only industrial-scale banana processing enterprise — simultaneously satisfying parliamentary accountability requirements, commercial IFRS reporting, cooperative farmer management, and food export compliance, in a system owned and operated by Ugandans, hosted on BIRDC's own infrastructure.</w:t>
      </w:r>
    </w:p>
    <w:p>
      <w:r>
        <w:pict>
          <v:rect style="width:0;height:1.5pt" o:hralign="center" o:hrstd="t" o:hr="t"/>
        </w:pict>
      </w:r>
    </w:p>
    <w:bookmarkEnd w:id="20"/>
    <w:bookmarkStart w:id="28" w:name="Xdfaa6a5549be38c9762538ea8a52f7409e9ecfe"/>
    <w:p>
      <w:pPr>
        <w:pStyle w:val="Heading1"/>
      </w:pPr>
      <w:r>
        <w:t xml:space="preserve">Section 2: Design Covenant — 7 Binding Constraints</w:t>
      </w:r>
    </w:p>
    <w:p>
      <w:pPr>
        <w:pStyle w:val="FirstParagraph"/>
      </w:pPr>
      <w:r>
        <w:t xml:space="preserve">The Design Covenant defines the non-negotiable principles that every requirement, architecture decision, and implementation choice in the BIRDC ERP project must satisfy. These constraints are binding. Violation of any Design Covenant constraint requires written sign-off from the BIRDC Director and Finance Director.</w:t>
      </w:r>
    </w:p>
    <w:bookmarkStart w:id="21" w:name="X2e8e26d90b2befb190ebe5026087911def3187e"/>
    <w:p>
      <w:pPr>
        <w:pStyle w:val="Heading2"/>
      </w:pPr>
      <w:r>
        <w:t xml:space="preserve">DC-001: Zero Mandatory Training for Routine Operations</w:t>
      </w:r>
    </w:p>
    <w:p>
      <w:pPr>
        <w:pStyle w:val="FirstParagraph"/>
      </w:pPr>
      <w:r>
        <w:rPr>
          <w:i/>
          <w:iCs/>
        </w:rPr>
        <w:t xml:space="preserve">Every screen a staff member uses daily must be self-discoverable. A newly hired accounts assistant must be able to post a journal entry correctly without reading a manual.</w:t>
      </w:r>
    </w:p>
    <w:p>
      <w:pPr>
        <w:pStyle w:val="BodyText"/>
      </w:pPr>
      <w:r>
        <w:rPr>
          <w:b/>
          <w:bCs/>
        </w:rPr>
        <w:t xml:space="preserve">Rationale:</w:t>
      </w:r>
      <w:r>
        <w:t xml:space="preserve"> </w:t>
      </w:r>
      <w:r>
        <w:t xml:space="preserve">BIRDC operates in Bushenyi with a workforce that includes field agents, factory floor workers, and cooperative farmers with varying levels of digital literacy. A system that requires formal training before use creates a dependency that slows onboarding, generates errors during staff turnover, and creates bottlenecks when the trainer is unavailable. Self-discoverable UI eliminates this class of operational risk. This constraint is implemented through progressive disclosure, contextual help text, clear field labels, and validation messages that describe the correct action — not just the error.</w:t>
      </w:r>
    </w:p>
    <w:bookmarkEnd w:id="21"/>
    <w:bookmarkStart w:id="22" w:name="dc-002-configuration-over-code"/>
    <w:p>
      <w:pPr>
        <w:pStyle w:val="Heading2"/>
      </w:pPr>
      <w:r>
        <w:t xml:space="preserve">DC-002: Configuration Over Code</w:t>
      </w:r>
    </w:p>
    <w:p>
      <w:pPr>
        <w:pStyle w:val="FirstParagraph"/>
      </w:pPr>
      <w:r>
        <w:rPr>
          <w:i/>
          <w:iCs/>
        </w:rPr>
        <w:t xml:space="preserve">All business rules — PAYE tax bands, NSSF rates, recipe ingredients, commission rates, PPDA procurement thresholds, price lists — must be configurable via the UI by the Finance Director or IT Administrator, with no developer involvement.</w:t>
      </w:r>
    </w:p>
    <w:p>
      <w:pPr>
        <w:pStyle w:val="BodyText"/>
      </w:pPr>
      <w:r>
        <w:rPr>
          <w:b/>
          <w:bCs/>
        </w:rPr>
        <w:t xml:space="preserve">Rationale:</w:t>
      </w:r>
      <w:r>
        <w:t xml:space="preserve"> </w:t>
      </w:r>
      <w:r>
        <w:t xml:space="preserve">Uganda's tax regulations change annually. PPDA thresholds are revised by regulation. BIRDC's commission structures, product recipes, and cooperative levy rates evolve with the business. A system that requires a developer to implement each change is operationally brittle and commercially exploitable by the developer. Configuration over code eliminates post-build developer dependency for all foreseeable operational parameter changes, reducing the total cost of ownership to near zero for routine business rule updates.</w:t>
      </w:r>
    </w:p>
    <w:bookmarkEnd w:id="22"/>
    <w:bookmarkStart w:id="23" w:name="dc-003-audit-readiness-by-design"/>
    <w:p>
      <w:pPr>
        <w:pStyle w:val="Heading2"/>
      </w:pPr>
      <w:r>
        <w:t xml:space="preserve">DC-003: Audit Readiness by Design</w:t>
      </w:r>
    </w:p>
    <w:p>
      <w:pPr>
        <w:pStyle w:val="FirstParagraph"/>
      </w:pPr>
      <w:r>
        <w:rPr>
          <w:i/>
          <w:iCs/>
        </w:rPr>
        <w:t xml:space="preserve">Every financial transaction must create an immutable audit trail automatically. The external auditor must find every journal entry, invoice, and payment with full source traceability.</w:t>
      </w:r>
    </w:p>
    <w:p>
      <w:pPr>
        <w:pStyle w:val="BodyText"/>
      </w:pPr>
      <w:r>
        <w:rPr>
          <w:b/>
          <w:bCs/>
        </w:rPr>
        <w:t xml:space="preserve">Rationale:</w:t>
      </w:r>
      <w:r>
        <w:t xml:space="preserve"> </w:t>
      </w:r>
      <w:r>
        <w:t xml:space="preserve">BIRDC is a publicly funded entity with UGX 200 billion (~USD 54 million) in cumulative government investment and an annual audit obligation to the Office of the Auditor General (OAG) Uganda. Manual reconciliation before an audit is not acceptable at this scale. Audit readiness by design means the auditor's work begins in the system — not in filing cabinets. The 7-year retention requirement is enforced at the database layer, not as a policy document. The hash chain integrity mechanism (BR-013) ensures that any tampered record is mathematically detectable.</w:t>
      </w:r>
    </w:p>
    <w:bookmarkEnd w:id="23"/>
    <w:bookmarkStart w:id="24" w:name="dc-004-dual-mode-accounting"/>
    <w:p>
      <w:pPr>
        <w:pStyle w:val="Heading2"/>
      </w:pPr>
      <w:r>
        <w:t xml:space="preserve">DC-004: Dual-Mode Accounting</w:t>
      </w:r>
    </w:p>
    <w:p>
      <w:pPr>
        <w:pStyle w:val="FirstParagraph"/>
      </w:pPr>
      <w:r>
        <w:rPr>
          <w:i/>
          <w:iCs/>
        </w:rPr>
        <w:t xml:space="preserve">PIBID parliamentary budget votes and BIRDC commercial IFRS accounts must be tracked simultaneously in the same system. Consolidated and separated reporting must always be available.</w:t>
      </w:r>
    </w:p>
    <w:p>
      <w:pPr>
        <w:pStyle w:val="BodyText"/>
      </w:pPr>
      <w:r>
        <w:rPr>
          <w:b/>
          <w:bCs/>
        </w:rPr>
        <w:t xml:space="preserve">Rationale:</w:t>
      </w:r>
      <w:r>
        <w:t xml:space="preserve"> </w:t>
      </w:r>
      <w:r>
        <w:t xml:space="preserve">The defining challenge of BIRDC's financial management is that it serves two masters simultaneously: Uganda Parliament (government accounting, budget votes, OAG audit) and the market (IFRS financial statements, export buyer due diligence, bank facilities). Running two separate accounting systems produces reconciliation errors and creates a single point of failure for each mode. A single dual-mode system eliminates the reconciliation problem, gives the Finance Director a unified view, and satisfies both reporting regimes from one data set. No off-the-shelf ERP offers this natively for Uganda's government-commercial hybrid context.</w:t>
      </w:r>
    </w:p>
    <w:bookmarkEnd w:id="24"/>
    <w:bookmarkStart w:id="25" w:name="dc-005-offline-first-where-it-matters"/>
    <w:p>
      <w:pPr>
        <w:pStyle w:val="Heading2"/>
      </w:pPr>
      <w:r>
        <w:t xml:space="preserve">DC-005: Offline-First Where It Matters</w:t>
      </w:r>
    </w:p>
    <w:p>
      <w:pPr>
        <w:pStyle w:val="FirstParagraph"/>
      </w:pPr>
      <w:r>
        <w:rPr>
          <w:i/>
          <w:iCs/>
        </w:rPr>
        <w:t xml:space="preserve">The factory gate POS, Farmer Delivery App, and Warehouse App must function completely offline. Data syncs when connectivity returns.</w:t>
      </w:r>
    </w:p>
    <w:p>
      <w:pPr>
        <w:pStyle w:val="BodyText"/>
      </w:pPr>
      <w:r>
        <w:rPr>
          <w:b/>
          <w:bCs/>
        </w:rPr>
        <w:t xml:space="preserve">Rationale:</w:t>
      </w:r>
      <w:r>
        <w:t xml:space="preserve"> </w:t>
      </w:r>
      <w:r>
        <w:t xml:space="preserve">Nyaruzinga, Bushenyi has intermittent internet connectivity. A sales agent in a rural territory has no reliable data connection. Requiring connectivity for core daily operations — selling a product, recording a farmer delivery, confirming a stock receipt — would make the system unusable for a significant portion of its working day. Offline-first design means connectivity is an enhancement, not a prerequisite. All three critical field applications use Room (SQLite) for local storage and WorkManager for background synchronisation.</w:t>
      </w:r>
    </w:p>
    <w:bookmarkEnd w:id="25"/>
    <w:bookmarkStart w:id="26" w:name="dc-006-data-sovereignty"/>
    <w:p>
      <w:pPr>
        <w:pStyle w:val="Heading2"/>
      </w:pPr>
      <w:r>
        <w:t xml:space="preserve">DC-006: Data Sovereignty</w:t>
      </w:r>
    </w:p>
    <w:p>
      <w:pPr>
        <w:pStyle w:val="FirstParagraph"/>
      </w:pPr>
      <w:r>
        <w:rPr>
          <w:i/>
          <w:iCs/>
        </w:rPr>
        <w:t xml:space="preserve">All BIRDC data — farmer records, financial accounts, production data, employee records — must be stored on BIRDC's own servers in Uganda. No SaaS vendor holds data as leverage.</w:t>
      </w:r>
    </w:p>
    <w:p>
      <w:pPr>
        <w:pStyle w:val="BodyText"/>
      </w:pPr>
      <w:r>
        <w:rPr>
          <w:b/>
          <w:bCs/>
        </w:rPr>
        <w:t xml:space="preserve">Rationale:</w:t>
      </w:r>
      <w:r>
        <w:t xml:space="preserve"> </w:t>
      </w:r>
      <w:r>
        <w:t xml:space="preserve">BIRDC holds the personal data of 6,440+ farmers (NIN, GPS coordinates, mobile money numbers, delivery records) and the financial records of a government entity with UGX 200 billion in accumulated public investment. Hosting this data on a foreign SaaS platform creates three unacceptable risks: (1) a vendor lock-in risk where BIRDC cannot access its own data if subscription payments lapse; (2) a data sovereignty risk under Uganda's Data Protection and Privacy Act 2019; and (3) an audit risk if OAG requires access to data held outside Uganda's jurisdiction. On-premise hosting eliminates all three.</w:t>
      </w:r>
    </w:p>
    <w:bookmarkEnd w:id="26"/>
    <w:bookmarkStart w:id="27" w:name="dc-007-replicable-by-design"/>
    <w:p>
      <w:pPr>
        <w:pStyle w:val="Heading2"/>
      </w:pPr>
      <w:r>
        <w:t xml:space="preserve">DC-007: Replicable by Design</w:t>
      </w:r>
    </w:p>
    <w:p>
      <w:pPr>
        <w:pStyle w:val="FirstParagraph"/>
      </w:pPr>
      <w:r>
        <w:rPr>
          <w:i/>
          <w:iCs/>
        </w:rPr>
        <w:t xml:space="preserve">Every BIRDC-specific configuration must be isolated in configuration tables. The same codebase must be deployable for Uganda Coffee Development Board, National Enterprise Corporation, or any government agro-processor by changing configuration — not code.</w:t>
      </w:r>
    </w:p>
    <w:p>
      <w:pPr>
        <w:pStyle w:val="BodyText"/>
      </w:pPr>
      <w:r>
        <w:rPr>
          <w:b/>
          <w:bCs/>
        </w:rPr>
        <w:t xml:space="preserve">Rationale:</w:t>
      </w:r>
      <w:r>
        <w:t xml:space="preserve"> </w:t>
      </w:r>
      <w:r>
        <w:t xml:space="preserve">The UGX 200 billion public investment in BIRDC creates a public interest obligation to maximise the return on the software development cost. Uganda has several government agro-processing entities — Uganda Coffee Development Board, National Enterprise Corporation, and others — facing structurally similar operational challenges (cooperative farmer procurement, government accountability, commercial operations). If the BIRDC ERP codebase is designed for replication, a second deployment costs a fraction of the first. This constraint also disciplines the development team: any BIRDC-specific rule that is hardcoded rather than configured is a defect, not a design decision.</w:t>
      </w:r>
    </w:p>
    <w:p>
      <w:r>
        <w:pict>
          <v:rect style="width:0;height:1.5pt" o:hralign="center" o:hrstd="t" o:hr="t"/>
        </w:pict>
      </w:r>
    </w:p>
    <w:bookmarkEnd w:id="27"/>
    <w:bookmarkEnd w:id="28"/>
    <w:bookmarkStart w:id="34" w:name="X721befa893093a9ca26d1364de4b970304fa2a1"/>
    <w:p>
      <w:pPr>
        <w:pStyle w:val="Heading1"/>
      </w:pPr>
      <w:r>
        <w:t xml:space="preserve">Section 3: Strategic Goals and Measurable Success Criteria</w:t>
      </w:r>
    </w:p>
    <w:bookmarkStart w:id="29" w:name="goal-1-operational-unity"/>
    <w:p>
      <w:pPr>
        <w:pStyle w:val="Heading2"/>
      </w:pPr>
      <w:r>
        <w:t xml:space="preserve">Goal 1: Operational Unity</w:t>
      </w:r>
    </w:p>
    <w:p>
      <w:pPr>
        <w:pStyle w:val="FirstParagraph"/>
      </w:pPr>
      <w:r>
        <w:t xml:space="preserve">Replace fragmented spreadsheets and manual registers with one integrated system covering all 17 operational domains.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Success Criterion</w:t>
            </w:r>
          </w:p>
        </w:tc>
        <w:tc>
          <w:tcPr/>
          <w:p>
            <w:pPr>
              <w:pStyle w:val="Compact"/>
            </w:pPr>
            <w:r>
              <w:t xml:space="preserve">Measurement Method</w:t>
            </w:r>
          </w:p>
        </w:tc>
      </w:tr>
      <w:tr>
        <w:tc>
          <w:tcPr/>
          <w:p>
            <w:pPr>
              <w:pStyle w:val="Compact"/>
            </w:pPr>
            <w:r>
              <w:t xml:space="preserve">All 17 modules live within delivery roadmap</w:t>
            </w:r>
          </w:p>
        </w:tc>
        <w:tc>
          <w:tcPr/>
          <w:p>
            <w:pPr>
              <w:pStyle w:val="Compact"/>
            </w:pPr>
            <w:r>
              <w:t xml:space="preserve">Phase completion sign-off by BIRDC Director</w:t>
            </w:r>
          </w:p>
        </w:tc>
      </w:tr>
      <w:tr>
        <w:tc>
          <w:tcPr/>
          <w:p>
            <w:pPr>
              <w:pStyle w:val="Compact"/>
            </w:pPr>
            <w:r>
              <w:t xml:space="preserve">Zero departments operating parallel manual registers after go-live</w:t>
            </w:r>
          </w:p>
        </w:tc>
        <w:tc>
          <w:tcPr/>
          <w:p>
            <w:pPr>
              <w:pStyle w:val="Compact"/>
            </w:pPr>
            <w:r>
              <w:t xml:space="preserve">Operational audit at 90 days post go-live</w:t>
            </w:r>
          </w:p>
        </w:tc>
      </w:tr>
      <w:tr>
        <w:tc>
          <w:tcPr/>
          <w:p>
            <w:pPr>
              <w:pStyle w:val="Compact"/>
            </w:pPr>
            <w:r>
              <w:t xml:space="preserve">All operational reports generated from the system</w:t>
            </w:r>
          </w:p>
        </w:tc>
        <w:tc>
          <w:tcPr/>
          <w:p>
            <w:pPr>
              <w:pStyle w:val="Compact"/>
            </w:pPr>
            <w:r>
              <w:t xml:space="preserve">Finance Director sign-off on report suite</w:t>
            </w:r>
          </w:p>
        </w:tc>
      </w:tr>
    </w:tbl>
    <w:bookmarkEnd w:id="29"/>
    <w:bookmarkStart w:id="30" w:name="goal-2-financial-integrity"/>
    <w:p>
      <w:pPr>
        <w:pStyle w:val="Heading2"/>
      </w:pPr>
      <w:r>
        <w:t xml:space="preserve">Goal 2: Financial Integrity</w:t>
      </w:r>
    </w:p>
    <w:p>
      <w:pPr>
        <w:pStyle w:val="FirstParagraph"/>
      </w:pPr>
      <w:r>
        <w:t xml:space="preserve">Provide a dual-mode accounting system with an immutable, hash-chained General Ledger.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Success Criterion</w:t>
            </w:r>
          </w:p>
        </w:tc>
        <w:tc>
          <w:tcPr/>
          <w:p>
            <w:pPr>
              <w:pStyle w:val="Compact"/>
            </w:pPr>
            <w:r>
              <w:t xml:space="preserve">Measurement Method</w:t>
            </w:r>
          </w:p>
        </w:tc>
      </w:tr>
      <w:tr>
        <w:tc>
          <w:tcPr/>
          <w:p>
            <w:pPr>
              <w:pStyle w:val="Compact"/>
            </w:pPr>
            <w:r>
              <w:t xml:space="preserve">Trial Balance, P&amp;L, and Budget vs. Actual available in real time for both modes</w:t>
            </w:r>
          </w:p>
        </w:tc>
        <w:tc>
          <w:tcPr/>
          <w:p>
            <w:pPr>
              <w:pStyle w:val="Compact"/>
            </w:pPr>
            <w:r>
              <w:t xml:space="preserve">Finance Director demonstration at UAT</w:t>
            </w:r>
          </w:p>
        </w:tc>
      </w:tr>
      <w:tr>
        <w:tc>
          <w:tcPr/>
          <w:p>
            <w:pPr>
              <w:pStyle w:val="Compact"/>
            </w:pPr>
            <w:r>
              <w:t xml:space="preserve">OAG audit conducted without manual reconciliation</w:t>
            </w:r>
          </w:p>
        </w:tc>
        <w:tc>
          <w:tcPr/>
          <w:p>
            <w:pPr>
              <w:pStyle w:val="Compact"/>
            </w:pPr>
            <w:r>
              <w:t xml:space="preserve">OAG audit report finding zero manual reconciliation requirements</w:t>
            </w:r>
          </w:p>
        </w:tc>
      </w:tr>
      <w:tr>
        <w:tc>
          <w:tcPr/>
          <w:p>
            <w:pPr>
              <w:pStyle w:val="Compact"/>
            </w:pPr>
            <w:r>
              <w:t xml:space="preserve">Hash chain integrity check passes on all GL entries</w:t>
            </w:r>
          </w:p>
        </w:tc>
        <w:tc>
          <w:tcPr/>
          <w:p>
            <w:pPr>
              <w:pStyle w:val="Compact"/>
            </w:pPr>
            <w:r>
              <w:t xml:space="preserve">System integrity report run by auditor</w:t>
            </w:r>
          </w:p>
        </w:tc>
      </w:tr>
      <w:tr>
        <w:tc>
          <w:tcPr/>
          <w:p>
            <w:pPr>
              <w:pStyle w:val="Compact"/>
            </w:pPr>
            <w:r>
              <w:t xml:space="preserve">7-year retention enforced at database layer</w:t>
            </w:r>
          </w:p>
        </w:tc>
        <w:tc>
          <w:tcPr/>
          <w:p>
            <w:pPr>
              <w:pStyle w:val="Compact"/>
            </w:pPr>
            <w:r>
              <w:t xml:space="preserve">IT Administrator verification of retention policy</w:t>
            </w:r>
          </w:p>
        </w:tc>
      </w:tr>
    </w:tbl>
    <w:bookmarkEnd w:id="30"/>
    <w:bookmarkStart w:id="31" w:name="goal-3-agent-accountability"/>
    <w:p>
      <w:pPr>
        <w:pStyle w:val="Heading2"/>
      </w:pPr>
      <w:r>
        <w:t xml:space="preserve">Goal 3: Agent Accountability</w:t>
      </w:r>
    </w:p>
    <w:p>
      <w:pPr>
        <w:pStyle w:val="FirstParagraph"/>
      </w:pPr>
      <w:r>
        <w:t xml:space="preserve">Eliminate the cash accountability gap across 1,071 field agents.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Success Criterion</w:t>
            </w:r>
          </w:p>
        </w:tc>
        <w:tc>
          <w:tcPr/>
          <w:p>
            <w:pPr>
              <w:pStyle w:val="Compact"/>
            </w:pPr>
            <w:r>
              <w:t xml:space="preserve">Measurement Method</w:t>
            </w:r>
          </w:p>
        </w:tc>
      </w:tr>
      <w:tr>
        <w:tc>
          <w:tcPr/>
          <w:p>
            <w:pPr>
              <w:pStyle w:val="Compact"/>
            </w:pPr>
            <w:r>
              <w:t xml:space="preserve">Real-time cash balance visible for all 1,071 agents</w:t>
            </w:r>
          </w:p>
        </w:tc>
        <w:tc>
          <w:tcPr/>
          <w:p>
            <w:pPr>
              <w:pStyle w:val="Compact"/>
            </w:pPr>
            <w:r>
              <w:t xml:space="preserve">Sales Manager demonstration at UAT</w:t>
            </w:r>
          </w:p>
        </w:tc>
      </w:tr>
      <w:tr>
        <w:tc>
          <w:tcPr/>
          <w:p>
            <w:pPr>
              <w:pStyle w:val="Compact"/>
            </w:pPr>
            <w:r>
              <w:t xml:space="preserve">FIFO remittance allocation automated with zero manual calculation</w:t>
            </w:r>
          </w:p>
        </w:tc>
        <w:tc>
          <w:tcPr/>
          <w:p>
            <w:pPr>
              <w:pStyle w:val="Compact"/>
            </w:pPr>
            <w:r>
              <w:t xml:space="preserve">Stored procedure</w:t>
            </w:r>
            <w:r>
              <w:t xml:space="preserve"> </w:t>
            </w:r>
            <w:r>
              <w:rPr>
                <w:rStyle w:val="VerbatimChar"/>
              </w:rPr>
              <w:t xml:space="preserve">sp_apply_remittance_to_invoices</w:t>
            </w:r>
            <w:r>
              <w:t xml:space="preserve"> </w:t>
            </w:r>
            <w:r>
              <w:t xml:space="preserve">unit test pass</w:t>
            </w:r>
          </w:p>
        </w:tc>
      </w:tr>
      <w:tr>
        <w:tc>
          <w:tcPr/>
          <w:p>
            <w:pPr>
              <w:pStyle w:val="Compact"/>
            </w:pPr>
            <w:r>
              <w:t xml:space="preserve">Agent cash reconciliation requires zero external spreadsheet</w:t>
            </w:r>
          </w:p>
        </w:tc>
        <w:tc>
          <w:tcPr/>
          <w:p>
            <w:pPr>
              <w:pStyle w:val="Compact"/>
            </w:pPr>
            <w:r>
              <w:t xml:space="preserve">Sales Manager operational review at 30 days post go-live</w:t>
            </w:r>
          </w:p>
        </w:tc>
      </w:tr>
    </w:tbl>
    <w:bookmarkEnd w:id="31"/>
    <w:bookmarkStart w:id="32" w:name="goal-4-circular-economy-visibility"/>
    <w:p>
      <w:pPr>
        <w:pStyle w:val="Heading2"/>
      </w:pPr>
      <w:r>
        <w:t xml:space="preserve">Goal 4: Circular Economy Visibility</w:t>
      </w:r>
    </w:p>
    <w:p>
      <w:pPr>
        <w:pStyle w:val="FirstParagraph"/>
      </w:pPr>
      <w:r>
        <w:t xml:space="preserve">Account for every kilogramme of input matooke across all output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Success Criterion</w:t>
            </w:r>
          </w:p>
        </w:tc>
        <w:tc>
          <w:tcPr/>
          <w:p>
            <w:pPr>
              <w:pStyle w:val="Compact"/>
            </w:pPr>
            <w:r>
              <w:t xml:space="preserve">Measurement Method</w:t>
            </w:r>
          </w:p>
        </w:tc>
      </w:tr>
      <w:tr>
        <w:tc>
          <w:tcPr/>
          <w:p>
            <w:pPr>
              <w:pStyle w:val="Compact"/>
            </w:pPr>
            <w:r>
              <w:t xml:space="preserve">Mass balance equation satisfied on every closed production order</w:t>
            </w:r>
          </w:p>
        </w:tc>
        <w:tc>
          <w:tcPr/>
          <w:p>
            <w:pPr>
              <w:pStyle w:val="Compact"/>
            </w:pPr>
            <w:r>
              <w:t xml:space="preserve">Production Supervisor confirmation at UAT</w:t>
            </w:r>
          </w:p>
        </w:tc>
      </w:tr>
      <w:tr>
        <w:tc>
          <w:tcPr/>
          <w:p>
            <w:pPr>
              <w:pStyle w:val="Compact"/>
            </w:pPr>
            <w:r>
              <w:t xml:space="preserve">Input-to-output traceability report available for any batch</w:t>
            </w:r>
          </w:p>
        </w:tc>
        <w:tc>
          <w:tcPr/>
          <w:p>
            <w:pPr>
              <w:pStyle w:val="Compact"/>
            </w:pPr>
            <w:r>
              <w:t xml:space="preserve">Procurement Manager demonstration at UAT</w:t>
            </w:r>
          </w:p>
        </w:tc>
      </w:tr>
      <w:tr>
        <w:tc>
          <w:tcPr/>
          <w:p>
            <w:pPr>
              <w:pStyle w:val="Compact"/>
            </w:pPr>
            <w:r>
              <w:t xml:space="preserve">By-product (biogas, bio-slurry) recorded in every applicable production order</w:t>
            </w:r>
          </w:p>
        </w:tc>
        <w:tc>
          <w:tcPr/>
          <w:p>
            <w:pPr>
              <w:pStyle w:val="Compact"/>
            </w:pPr>
            <w:r>
              <w:t xml:space="preserve">QC Manager review of 10 production orders at UAT</w:t>
            </w:r>
          </w:p>
        </w:tc>
      </w:tr>
    </w:tbl>
    <w:bookmarkEnd w:id="32"/>
    <w:bookmarkStart w:id="33" w:name="goal-5-government-replicability"/>
    <w:p>
      <w:pPr>
        <w:pStyle w:val="Heading2"/>
      </w:pPr>
      <w:r>
        <w:t xml:space="preserve">Goal 5: Government Replicability</w:t>
      </w:r>
    </w:p>
    <w:p>
      <w:pPr>
        <w:pStyle w:val="FirstParagraph"/>
      </w:pPr>
      <w:r>
        <w:t xml:space="preserve">Build every BIRDC-specific rule in configuration tables, not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Success Criterion</w:t>
            </w:r>
          </w:p>
        </w:tc>
        <w:tc>
          <w:tcPr/>
          <w:p>
            <w:pPr>
              <w:pStyle w:val="Compact"/>
            </w:pPr>
            <w:r>
              <w:t xml:space="preserve">Measurement Method</w:t>
            </w:r>
          </w:p>
        </w:tc>
      </w:tr>
      <w:tr>
        <w:tc>
          <w:tcPr/>
          <w:p>
            <w:pPr>
              <w:pStyle w:val="Compact"/>
            </w:pPr>
            <w:r>
              <w:t xml:space="preserve">Replication framework documented in standalone technical guide</w:t>
            </w:r>
          </w:p>
        </w:tc>
        <w:tc>
          <w:tcPr/>
          <w:p>
            <w:pPr>
              <w:pStyle w:val="Compact"/>
            </w:pPr>
            <w:r>
              <w:t xml:space="preserve">Consultant delivery of replication guide</w:t>
            </w:r>
          </w:p>
        </w:tc>
      </w:tr>
      <w:tr>
        <w:tc>
          <w:tcPr/>
          <w:p>
            <w:pPr>
              <w:pStyle w:val="Compact"/>
            </w:pPr>
            <w:r>
              <w:t xml:space="preserve">System demonstrated to 1 additional government entity by configuration change alone</w:t>
            </w:r>
          </w:p>
        </w:tc>
        <w:tc>
          <w:tcPr/>
          <w:p>
            <w:pPr>
              <w:pStyle w:val="Compact"/>
            </w:pPr>
            <w:r>
              <w:t xml:space="preserve">Demonstration event within 6 months of go-live</w:t>
            </w:r>
          </w:p>
        </w:tc>
      </w:tr>
      <w:tr>
        <w:tc>
          <w:tcPr/>
          <w:p>
            <w:pPr>
              <w:pStyle w:val="Compact"/>
            </w:pPr>
            <w:r>
              <w:t xml:space="preserve">Zero BIRDC-specific rules hardcoded — all in configuration tables</w:t>
            </w:r>
          </w:p>
        </w:tc>
        <w:tc>
          <w:tcPr/>
          <w:p>
            <w:pPr>
              <w:pStyle w:val="Compact"/>
            </w:pPr>
            <w:r>
              <w:t xml:space="preserve">Code review by IT Administrator at each phase</w:t>
            </w:r>
          </w:p>
        </w:tc>
      </w:tr>
    </w:tbl>
    <w:p>
      <w:r>
        <w:pict>
          <v:rect style="width:0;height:1.5pt" o:hralign="center" o:hrstd="t" o:hr="t"/>
        </w:pict>
      </w:r>
    </w:p>
    <w:bookmarkEnd w:id="33"/>
    <w:bookmarkEnd w:id="34"/>
    <w:bookmarkStart w:id="39" w:name="section-4-the-case-against-generic-erp"/>
    <w:p>
      <w:pPr>
        <w:pStyle w:val="Heading1"/>
      </w:pPr>
      <w:r>
        <w:t xml:space="preserve">Section 4: The Case Against Generic ERP</w:t>
      </w:r>
    </w:p>
    <w:p>
      <w:pPr>
        <w:pStyle w:val="FirstParagraph"/>
      </w:pPr>
      <w:r>
        <w:t xml:space="preserve">No commercially available ERP platform can serve BIRDC's operational requirements without fundamental re-architecture. The constraints are structural, not cosmetic.</w:t>
      </w:r>
    </w:p>
    <w:bookmarkStart w:id="35" w:name="Xd71e6b4c6410f931321a5da4ced53ab42a075f4"/>
    <w:p>
      <w:pPr>
        <w:pStyle w:val="Heading2"/>
      </w:pPr>
      <w:r>
        <w:t xml:space="preserve">4.1 SAP Business One and Oracle NetSuite</w:t>
      </w:r>
    </w:p>
    <w:p>
      <w:pPr>
        <w:pStyle w:val="FirstParagraph"/>
      </w:pPr>
      <w:r>
        <w:t xml:space="preserve">These enterprise platforms are technically capable but operationally and financially inappropriate for BIRDC:</w:t>
      </w:r>
    </w:p>
    <w:p>
      <w:pPr>
        <w:pStyle w:val="Compact"/>
        <w:numPr>
          <w:ilvl w:val="0"/>
          <w:numId w:val="1001"/>
        </w:numPr>
      </w:pPr>
      <w:r>
        <w:rPr>
          <w:b/>
          <w:bCs/>
        </w:rPr>
        <w:t xml:space="preserve">Cost:</w:t>
      </w:r>
      <w:r>
        <w:t xml:space="preserve"> </w:t>
      </w:r>
      <w:r>
        <w:t xml:space="preserve">Annual licence fees of USD 20,000–100,000+ per year, for a government entity operating in Bushenyi, are not sustainable without parliamentary budget vote allocation. No parliamentary vote for recurring SaaS fees exists in PIBID's funding structure.</w:t>
      </w:r>
    </w:p>
    <w:p>
      <w:pPr>
        <w:pStyle w:val="Compact"/>
        <w:numPr>
          <w:ilvl w:val="0"/>
          <w:numId w:val="1001"/>
        </w:numPr>
      </w:pPr>
      <w:r>
        <w:rPr>
          <w:b/>
          <w:bCs/>
        </w:rPr>
        <w:t xml:space="preserve">Cloud mandate:</w:t>
      </w:r>
      <w:r>
        <w:t xml:space="preserve"> </w:t>
      </w:r>
      <w:r>
        <w:t xml:space="preserve">Both platforms' primary deployment model is cloud-hosted (SaaS or cloud-hosted). This violates DC-006 (Data Sovereignty) directly.</w:t>
      </w:r>
    </w:p>
    <w:p>
      <w:pPr>
        <w:pStyle w:val="Compact"/>
        <w:numPr>
          <w:ilvl w:val="0"/>
          <w:numId w:val="1001"/>
        </w:numPr>
      </w:pPr>
      <w:r>
        <w:rPr>
          <w:b/>
          <w:bCs/>
        </w:rPr>
        <w:t xml:space="preserve">Uganda localisation:</w:t>
      </w:r>
      <w:r>
        <w:t xml:space="preserve"> </w:t>
      </w:r>
      <w:r>
        <w:t xml:space="preserve">Neither platform has Uganda EFRIS integration, PPDA compliance workflow, cooperative farmer procurement (5-stage), PAYE/NSSF in Uganda statutory format, or dual-mode parliamentary/commercial accounting for a Ugandan government entity. These must be built as custom modules — at costs exceeding a purpose-built system.</w:t>
      </w:r>
    </w:p>
    <w:p>
      <w:pPr>
        <w:pStyle w:val="Compact"/>
        <w:numPr>
          <w:ilvl w:val="0"/>
          <w:numId w:val="1001"/>
        </w:numPr>
      </w:pPr>
      <w:r>
        <w:rPr>
          <w:b/>
          <w:bCs/>
        </w:rPr>
        <w:t xml:space="preserve">Cooperative farmer workflow:</w:t>
      </w:r>
      <w:r>
        <w:t xml:space="preserve"> </w:t>
      </w:r>
      <w:r>
        <w:t xml:space="preserve">The 5-stage cooperative farmer procurement workflow (bulk PO → batch goods receipt → individual farmer contribution breakdown → stock receipt → GL posting per cooperative) does not exist in any SAP or Oracle module. It requires custom development.</w:t>
      </w:r>
    </w:p>
    <w:bookmarkEnd w:id="35"/>
    <w:bookmarkStart w:id="36" w:name="Xd4d05837b1650d49e37bb1368b1bc873dc39372"/>
    <w:p>
      <w:pPr>
        <w:pStyle w:val="Heading2"/>
      </w:pPr>
      <w:r>
        <w:t xml:space="preserve">4.2 Odoo</w:t>
      </w:r>
    </w:p>
    <w:p>
      <w:pPr>
        <w:pStyle w:val="FirstParagraph"/>
      </w:pPr>
      <w:r>
        <w:t xml:space="preserve">Odoo is an open-source platform with broad module coverage. Its limitations for BIRDC are:</w:t>
      </w:r>
    </w:p>
    <w:p>
      <w:pPr>
        <w:pStyle w:val="Compact"/>
        <w:numPr>
          <w:ilvl w:val="0"/>
          <w:numId w:val="1002"/>
        </w:numPr>
      </w:pPr>
      <w:r>
        <w:rPr>
          <w:b/>
          <w:bCs/>
        </w:rPr>
        <w:t xml:space="preserve">Dual-mode accounting:</w:t>
      </w:r>
      <w:r>
        <w:t xml:space="preserve"> </w:t>
      </w:r>
      <w:r>
        <w:t xml:space="preserve">Odoo's accounting module is a standard double-entry IFRS system. Parliamentary budget vote tracking — with vote codes, parliamentary year alignment (July–June), OAG audit reporting, and real-time Budget vs. Actual per vote — requires a custom module of significant scope.</w:t>
      </w:r>
    </w:p>
    <w:p>
      <w:pPr>
        <w:pStyle w:val="Compact"/>
        <w:numPr>
          <w:ilvl w:val="0"/>
          <w:numId w:val="1002"/>
        </w:numPr>
      </w:pPr>
      <w:r>
        <w:rPr>
          <w:b/>
          <w:bCs/>
        </w:rPr>
        <w:t xml:space="preserve">Agent distribution:</w:t>
      </w:r>
      <w:r>
        <w:t xml:space="preserve"> </w:t>
      </w:r>
      <w:r>
        <w:t xml:space="preserve">Odoo has no concept of a virtual agent inventory store separate from warehouse stock, real-time agent cash balance, or FIFO remittance allocation. These are BIRDC-specific requirements that require building new modules.</w:t>
      </w:r>
    </w:p>
    <w:p>
      <w:pPr>
        <w:pStyle w:val="Compact"/>
        <w:numPr>
          <w:ilvl w:val="0"/>
          <w:numId w:val="1002"/>
        </w:numPr>
      </w:pPr>
      <w:r>
        <w:rPr>
          <w:b/>
          <w:bCs/>
        </w:rPr>
        <w:t xml:space="preserve">EFRIS:</w:t>
      </w:r>
      <w:r>
        <w:t xml:space="preserve"> </w:t>
      </w:r>
      <w:r>
        <w:t xml:space="preserve">Odoo has no Uganda EFRIS integration. Community modules exist for Kenya and South Africa; Uganda requires a new integration.</w:t>
      </w:r>
    </w:p>
    <w:p>
      <w:pPr>
        <w:pStyle w:val="Compact"/>
        <w:numPr>
          <w:ilvl w:val="0"/>
          <w:numId w:val="1002"/>
        </w:numPr>
      </w:pPr>
      <w:r>
        <w:rPr>
          <w:b/>
          <w:bCs/>
        </w:rPr>
        <w:t xml:space="preserve">Offline mobile:</w:t>
      </w:r>
      <w:r>
        <w:t xml:space="preserve"> </w:t>
      </w:r>
      <w:r>
        <w:t xml:space="preserve">Odoo's mobile app is not offline-first for POS in the Sales Agent context. An offline-capable custom Android app for 1,071 agents is outside Odoo's standard offering.</w:t>
      </w:r>
    </w:p>
    <w:bookmarkEnd w:id="36"/>
    <w:bookmarkStart w:id="37" w:name="X0ad98c69202857250be433bc76905fd052e7b4f"/>
    <w:p>
      <w:pPr>
        <w:pStyle w:val="Heading2"/>
      </w:pPr>
      <w:r>
        <w:t xml:space="preserve">4.3 ERPNext</w:t>
      </w:r>
    </w:p>
    <w:p>
      <w:pPr>
        <w:pStyle w:val="FirstParagraph"/>
      </w:pPr>
      <w:r>
        <w:t xml:space="preserve">ERPNext is the closest generic alternative in terms of open-source flexibility. Its limitations are:</w:t>
      </w:r>
    </w:p>
    <w:p>
      <w:pPr>
        <w:pStyle w:val="Compact"/>
        <w:numPr>
          <w:ilvl w:val="0"/>
          <w:numId w:val="1003"/>
        </w:numPr>
      </w:pPr>
      <w:r>
        <w:rPr>
          <w:b/>
          <w:bCs/>
        </w:rPr>
        <w:t xml:space="preserve">Python/Frappe stack:</w:t>
      </w:r>
      <w:r>
        <w:t xml:space="preserve"> </w:t>
      </w:r>
      <w:r>
        <w:t xml:space="preserve">ERPNext requires Python/Frappe framework expertise, which is not BIRDC's IT team's capability. A PHP/MySQL stack (the BIRDC ERP technology choice) aligns with BIRDC IT skills and Ugandan developer availability.</w:t>
      </w:r>
    </w:p>
    <w:p>
      <w:pPr>
        <w:pStyle w:val="Compact"/>
        <w:numPr>
          <w:ilvl w:val="0"/>
          <w:numId w:val="1003"/>
        </w:numPr>
      </w:pPr>
      <w:r>
        <w:rPr>
          <w:b/>
          <w:bCs/>
        </w:rPr>
        <w:t xml:space="preserve">Same structural gaps as Odoo:</w:t>
      </w:r>
      <w:r>
        <w:t xml:space="preserve"> </w:t>
      </w:r>
      <w:r>
        <w:t xml:space="preserve">Dual-mode accounting, 5-stage cooperative procurement, agent cash balance, FIFO remittance allocation, and EFRIS integration all require custom module development of equal or greater scope to a purpose-built system.</w:t>
      </w:r>
    </w:p>
    <w:p>
      <w:pPr>
        <w:pStyle w:val="Compact"/>
        <w:numPr>
          <w:ilvl w:val="0"/>
          <w:numId w:val="1003"/>
        </w:numPr>
      </w:pPr>
      <w:r>
        <w:rPr>
          <w:b/>
          <w:bCs/>
        </w:rPr>
        <w:t xml:space="preserve">Deployment complexity:</w:t>
      </w:r>
      <w:r>
        <w:t xml:space="preserve"> </w:t>
      </w:r>
      <w:r>
        <w:t xml:space="preserve">ERPNext's multi-service deployment (Frappe, Redis, MariaDB, Nginx, Supervisor) adds infrastructure complexity for a single IT administrator at a remote site in Bushenyi.</w:t>
      </w:r>
    </w:p>
    <w:bookmarkEnd w:id="37"/>
    <w:bookmarkStart w:id="38" w:name="X3bab6293c936887daba504e0872583d9af761c9"/>
    <w:p>
      <w:pPr>
        <w:pStyle w:val="Heading2"/>
      </w:pPr>
      <w:r>
        <w:t xml:space="preserve">4.4 Conclusion</w:t>
      </w:r>
    </w:p>
    <w:p>
      <w:pPr>
        <w:pStyle w:val="FirstParagraph"/>
      </w:pPr>
      <w:r>
        <w:t xml:space="preserve">The cost and effort required to customise any generic ERP platform to BIRDC's specifications is equal to or greater than building a purpose-built system — while carrying the permanent overhead of the generic platform's licensing, update cycles, and architectural constraints. A purpose-built system delivers 100% operational fit, Uganda-specific compliance by design, and the replication potential of DC-007 at a fraction of the long-term cost.</w:t>
      </w:r>
    </w:p>
    <w:p>
      <w:r>
        <w:pict>
          <v:rect style="width:0;height:1.5pt" o:hralign="center" o:hrstd="t" o:hr="t"/>
        </w:pict>
      </w:r>
    </w:p>
    <w:bookmarkEnd w:id="38"/>
    <w:bookmarkEnd w:id="39"/>
    <w:bookmarkStart w:id="41" w:name="section-5-competitive-positioning"/>
    <w:p>
      <w:pPr>
        <w:pStyle w:val="Heading1"/>
      </w:pPr>
      <w:r>
        <w:t xml:space="preserve">Section 5: Competitive Positioning</w:t>
      </w:r>
    </w:p>
    <w:bookmarkStart w:id="40" w:name="X0aef44b68725b505e51119695822bad200d4508"/>
    <w:p>
      <w:pPr>
        <w:pStyle w:val="Heading2"/>
      </w:pPr>
      <w:r>
        <w:t xml:space="preserve">5.1 Cost Comparison: BIRDC ERP vs. Generic Alternatives</w:t>
      </w:r>
    </w:p>
    <w:p>
      <w:pPr>
        <w:pStyle w:val="FirstParagraph"/>
      </w:pPr>
      <w:r>
        <w:t xml:space="preserve">The following table compares the estimated 5-year total cost of ownership for BIRDC ERP versus generic ERP alternatives. Costs are indicative based on published pricing and standard Uganda implementation rates.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Cost Category</w:t>
            </w:r>
          </w:p>
        </w:tc>
        <w:tc>
          <w:tcPr/>
          <w:p>
            <w:pPr>
              <w:pStyle w:val="Compact"/>
            </w:pPr>
            <w:r>
              <w:t xml:space="preserve">SAP Business One (Cloud)</w:t>
            </w:r>
          </w:p>
        </w:tc>
        <w:tc>
          <w:tcPr/>
          <w:p>
            <w:pPr>
              <w:pStyle w:val="Compact"/>
            </w:pPr>
            <w:r>
              <w:t xml:space="preserve">Oracle NetSuite</w:t>
            </w:r>
          </w:p>
        </w:tc>
        <w:tc>
          <w:tcPr/>
          <w:p>
            <w:pPr>
              <w:pStyle w:val="Compact"/>
            </w:pPr>
            <w:r>
              <w:t xml:space="preserve">Odoo (Enterprise)</w:t>
            </w:r>
          </w:p>
        </w:tc>
        <w:tc>
          <w:tcPr/>
          <w:p>
            <w:pPr>
              <w:pStyle w:val="Compact"/>
            </w:pPr>
            <w:r>
              <w:t xml:space="preserve">ERPNext (Cloud)</w:t>
            </w:r>
          </w:p>
        </w:tc>
        <w:tc>
          <w:tcPr/>
          <w:p>
            <w:pPr>
              <w:pStyle w:val="Compact"/>
            </w:pPr>
            <w:r>
              <w:t xml:space="preserve">BIRDC ERP (Custom Build)</w:t>
            </w:r>
          </w:p>
        </w:tc>
      </w:tr>
      <w:tr>
        <w:tc>
          <w:tcPr/>
          <w:p>
            <w:pPr>
              <w:pStyle w:val="Compact"/>
            </w:pPr>
            <w:r>
              <w:t xml:space="preserve">Licence / subscription (5 years)</w:t>
            </w:r>
          </w:p>
        </w:tc>
        <w:tc>
          <w:tcPr/>
          <w:p>
            <w:pPr>
              <w:pStyle w:val="Compact"/>
            </w:pPr>
            <w:r>
              <w:t xml:space="preserve">USD 100,000–200,000</w:t>
            </w:r>
          </w:p>
        </w:tc>
        <w:tc>
          <w:tcPr/>
          <w:p>
            <w:pPr>
              <w:pStyle w:val="Compact"/>
            </w:pPr>
            <w:r>
              <w:t xml:space="preserve">USD 150,000–300,000</w:t>
            </w:r>
          </w:p>
        </w:tc>
        <w:tc>
          <w:tcPr/>
          <w:p>
            <w:pPr>
              <w:pStyle w:val="Compact"/>
            </w:pPr>
            <w:r>
              <w:t xml:space="preserve">USD 40,000–80,000</w:t>
            </w:r>
          </w:p>
        </w:tc>
        <w:tc>
          <w:tcPr/>
          <w:p>
            <w:pPr>
              <w:pStyle w:val="Compact"/>
            </w:pPr>
            <w:r>
              <w:t xml:space="preserve">USD 20,000–50,000</w:t>
            </w:r>
          </w:p>
        </w:tc>
        <w:tc>
          <w:tcPr/>
          <w:p>
            <w:pPr>
              <w:pStyle w:val="Compact"/>
            </w:pPr>
            <w:r>
              <w:t xml:space="preserve">USD 0 (owned)</w:t>
            </w:r>
          </w:p>
        </w:tc>
      </w:tr>
      <w:tr>
        <w:tc>
          <w:tcPr/>
          <w:p>
            <w:pPr>
              <w:pStyle w:val="Compact"/>
            </w:pPr>
            <w:r>
              <w:t xml:space="preserve">Initial implementation</w:t>
            </w:r>
          </w:p>
        </w:tc>
        <w:tc>
          <w:tcPr/>
          <w:p>
            <w:pPr>
              <w:pStyle w:val="Compact"/>
            </w:pPr>
            <w:r>
              <w:t xml:space="preserve">USD 80,000–150,000</w:t>
            </w:r>
          </w:p>
        </w:tc>
        <w:tc>
          <w:tcPr/>
          <w:p>
            <w:pPr>
              <w:pStyle w:val="Compact"/>
            </w:pPr>
            <w:r>
              <w:t xml:space="preserve">USD 100,000–200,000</w:t>
            </w:r>
          </w:p>
        </w:tc>
        <w:tc>
          <w:tcPr/>
          <w:p>
            <w:pPr>
              <w:pStyle w:val="Compact"/>
            </w:pPr>
            <w:r>
              <w:t xml:space="preserve">USD 60,000–100,000</w:t>
            </w:r>
          </w:p>
        </w:tc>
        <w:tc>
          <w:tcPr/>
          <w:p>
            <w:pPr>
              <w:pStyle w:val="Compact"/>
            </w:pPr>
            <w:r>
              <w:t xml:space="preserve">USD 30,000–60,000</w:t>
            </w:r>
          </w:p>
        </w:tc>
        <w:tc>
          <w:tcPr/>
          <w:p>
            <w:pPr>
              <w:pStyle w:val="Compact"/>
            </w:pPr>
            <w:r>
              <w:t xml:space="preserve">Build cost (one-time)</w:t>
            </w:r>
          </w:p>
        </w:tc>
      </w:tr>
      <w:tr>
        <w:tc>
          <w:tcPr/>
          <w:p>
            <w:pPr>
              <w:pStyle w:val="Compact"/>
            </w:pPr>
            <w:r>
              <w:t xml:space="preserve">Uganda EFRIS integration</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Included in build</w:t>
            </w:r>
          </w:p>
        </w:tc>
      </w:tr>
      <w:tr>
        <w:tc>
          <w:tcPr/>
          <w:p>
            <w:pPr>
              <w:pStyle w:val="Compact"/>
            </w:pPr>
            <w:r>
              <w:t xml:space="preserve">PPDA compliance module</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Included in build</w:t>
            </w:r>
          </w:p>
        </w:tc>
      </w:tr>
      <w:tr>
        <w:tc>
          <w:tcPr/>
          <w:p>
            <w:pPr>
              <w:pStyle w:val="Compact"/>
            </w:pPr>
            <w:r>
              <w:t xml:space="preserve">Cooperative farmer procurement</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Partial (custom needed)</w:t>
            </w:r>
          </w:p>
        </w:tc>
        <w:tc>
          <w:tcPr/>
          <w:p>
            <w:pPr>
              <w:pStyle w:val="Compact"/>
            </w:pPr>
            <w:r>
              <w:t xml:space="preserve">Included in build</w:t>
            </w:r>
          </w:p>
        </w:tc>
      </w:tr>
      <w:tr>
        <w:tc>
          <w:tcPr/>
          <w:p>
            <w:pPr>
              <w:pStyle w:val="Compact"/>
            </w:pPr>
            <w:r>
              <w:t xml:space="preserve">Agent distribution (1,071 agents)</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Included in build</w:t>
            </w:r>
          </w:p>
        </w:tc>
      </w:tr>
      <w:tr>
        <w:tc>
          <w:tcPr/>
          <w:p>
            <w:pPr>
              <w:pStyle w:val="Compact"/>
            </w:pPr>
            <w:r>
              <w:t xml:space="preserve">Dual-mode parliamentary accounting</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Not included (custom)</w:t>
            </w:r>
          </w:p>
        </w:tc>
        <w:tc>
          <w:tcPr/>
          <w:p>
            <w:pPr>
              <w:pStyle w:val="Compact"/>
            </w:pPr>
            <w:r>
              <w:t xml:space="preserve">Included in build</w:t>
            </w:r>
          </w:p>
        </w:tc>
      </w:tr>
      <w:tr>
        <w:tc>
          <w:tcPr/>
          <w:p>
            <w:pPr>
              <w:pStyle w:val="Compact"/>
            </w:pPr>
            <w:r>
              <w:t xml:space="preserve">Offline Android apps (6 apps)</w:t>
            </w:r>
          </w:p>
        </w:tc>
        <w:tc>
          <w:tcPr/>
          <w:p>
            <w:pPr>
              <w:pStyle w:val="Compact"/>
            </w:pPr>
            <w:r>
              <w:t xml:space="preserve">Not included (custom)</w:t>
            </w:r>
          </w:p>
        </w:tc>
        <w:tc>
          <w:tcPr/>
          <w:p>
            <w:pPr>
              <w:pStyle w:val="Compact"/>
            </w:pPr>
            <w:r>
              <w:t xml:space="preserve">Not included (custom)</w:t>
            </w:r>
          </w:p>
        </w:tc>
        <w:tc>
          <w:tcPr/>
          <w:p>
            <w:pPr>
              <w:pStyle w:val="Compact"/>
            </w:pPr>
            <w:r>
              <w:t xml:space="preserve">Limited</w:t>
            </w:r>
          </w:p>
        </w:tc>
        <w:tc>
          <w:tcPr/>
          <w:p>
            <w:pPr>
              <w:pStyle w:val="Compact"/>
            </w:pPr>
            <w:r>
              <w:t xml:space="preserve">Not included (custom)</w:t>
            </w:r>
          </w:p>
        </w:tc>
        <w:tc>
          <w:tcPr/>
          <w:p>
            <w:pPr>
              <w:pStyle w:val="Compact"/>
            </w:pPr>
            <w:r>
              <w:t xml:space="preserve">Included in build</w:t>
            </w:r>
          </w:p>
        </w:tc>
      </w:tr>
      <w:tr>
        <w:tc>
          <w:tcPr/>
          <w:p>
            <w:pPr>
              <w:pStyle w:val="Compact"/>
            </w:pPr>
            <w:r>
              <w:t xml:space="preserve">Data sovereignty (on-premise)</w:t>
            </w:r>
          </w:p>
        </w:tc>
        <w:tc>
          <w:tcPr/>
          <w:p>
            <w:pPr>
              <w:pStyle w:val="Compact"/>
            </w:pPr>
            <w:r>
              <w:t xml:space="preserve">Violates DC-006</w:t>
            </w:r>
          </w:p>
        </w:tc>
        <w:tc>
          <w:tcPr/>
          <w:p>
            <w:pPr>
              <w:pStyle w:val="Compact"/>
            </w:pPr>
            <w:r>
              <w:t xml:space="preserve">Violates DC-006</w:t>
            </w:r>
          </w:p>
        </w:tc>
        <w:tc>
          <w:tcPr/>
          <w:p>
            <w:pPr>
              <w:pStyle w:val="Compact"/>
            </w:pPr>
            <w:r>
              <w:t xml:space="preserve">Possible</w:t>
            </w:r>
          </w:p>
        </w:tc>
        <w:tc>
          <w:tcPr/>
          <w:p>
            <w:pPr>
              <w:pStyle w:val="Compact"/>
            </w:pPr>
            <w:r>
              <w:t xml:space="preserve">Possible</w:t>
            </w:r>
          </w:p>
        </w:tc>
        <w:tc>
          <w:tcPr/>
          <w:p>
            <w:pPr>
              <w:pStyle w:val="Compact"/>
            </w:pPr>
            <w:r>
              <w:t xml:space="preserve">Guaranteed</w:t>
            </w:r>
          </w:p>
        </w:tc>
      </w:tr>
      <w:tr>
        <w:tc>
          <w:tcPr/>
          <w:p>
            <w:pPr>
              <w:pStyle w:val="Compact"/>
            </w:pPr>
            <w:r>
              <w:t xml:space="preserve">Uganda localisation (PAYE, NSSF, LST)</w:t>
            </w:r>
          </w:p>
        </w:tc>
        <w:tc>
          <w:tcPr/>
          <w:p>
            <w:pPr>
              <w:pStyle w:val="Compact"/>
            </w:pPr>
            <w:r>
              <w:t xml:space="preserve">Partial (custom needed)</w:t>
            </w:r>
          </w:p>
        </w:tc>
        <w:tc>
          <w:tcPr/>
          <w:p>
            <w:pPr>
              <w:pStyle w:val="Compact"/>
            </w:pPr>
            <w:r>
              <w:t xml:space="preserve">Partial (custom needed)</w:t>
            </w:r>
          </w:p>
        </w:tc>
        <w:tc>
          <w:tcPr/>
          <w:p>
            <w:pPr>
              <w:pStyle w:val="Compact"/>
            </w:pPr>
            <w:r>
              <w:t xml:space="preserve">Partial (custom needed)</w:t>
            </w:r>
          </w:p>
        </w:tc>
        <w:tc>
          <w:tcPr/>
          <w:p>
            <w:pPr>
              <w:pStyle w:val="Compact"/>
            </w:pPr>
            <w:r>
              <w:t xml:space="preserve">Partial (custom needed)</w:t>
            </w:r>
          </w:p>
        </w:tc>
        <w:tc>
          <w:tcPr/>
          <w:p>
            <w:pPr>
              <w:pStyle w:val="Compact"/>
            </w:pPr>
            <w:r>
              <w:t xml:space="preserve">Included in build</w:t>
            </w:r>
          </w:p>
        </w:tc>
      </w:tr>
      <w:tr>
        <w:tc>
          <w:tcPr/>
          <w:p>
            <w:pPr>
              <w:pStyle w:val="Compact"/>
            </w:pPr>
            <w:r>
              <w:t xml:space="preserve">5-year total cost estimate (USD)</w:t>
            </w:r>
          </w:p>
        </w:tc>
        <w:tc>
          <w:tcPr/>
          <w:p>
            <w:pPr>
              <w:pStyle w:val="Compact"/>
            </w:pPr>
            <w:r>
              <w:t xml:space="preserve">500,000–900,000+</w:t>
            </w:r>
          </w:p>
        </w:tc>
        <w:tc>
          <w:tcPr/>
          <w:p>
            <w:pPr>
              <w:pStyle w:val="Compact"/>
            </w:pPr>
            <w:r>
              <w:t xml:space="preserve">700,000–1,200,000+</w:t>
            </w:r>
          </w:p>
        </w:tc>
        <w:tc>
          <w:tcPr/>
          <w:p>
            <w:pPr>
              <w:pStyle w:val="Compact"/>
            </w:pPr>
            <w:r>
              <w:t xml:space="preserve">300,000–600,000+</w:t>
            </w:r>
          </w:p>
        </w:tc>
        <w:tc>
          <w:tcPr/>
          <w:p>
            <w:pPr>
              <w:pStyle w:val="Compact"/>
            </w:pPr>
            <w:r>
              <w:t xml:space="preserve">150,000–350,000+</w:t>
            </w:r>
          </w:p>
        </w:tc>
        <w:tc>
          <w:tcPr/>
          <w:p>
            <w:pPr>
              <w:pStyle w:val="Compact"/>
            </w:pPr>
            <w:r>
              <w:t xml:space="preserve">Build cost only (one-time)</w:t>
            </w:r>
          </w:p>
        </w:tc>
      </w:tr>
    </w:tbl>
    <w:p>
      <w:pPr>
        <w:pStyle w:val="BodyText"/>
      </w:pPr>
      <w:r>
        <w:rPr>
          <w:i/>
          <w:iCs/>
        </w:rPr>
        <w:t xml:space="preserve">Note: All generic ERP 5-year estimates include recurring licence fees, implementation, and estimated customisation for Uganda-specific and BIRDC-specific requirements. BIRDC ERP build cost is a one-time investment with no recurring licence fees. Actual build cost is documented in the companion Business Case.</w:t>
      </w:r>
    </w:p>
    <w:p>
      <w:r>
        <w:pict>
          <v:rect style="width:0;height:1.5pt" o:hralign="center" o:hrstd="t" o:hr="t"/>
        </w:pict>
      </w:r>
    </w:p>
    <w:bookmarkEnd w:id="40"/>
    <w:bookmarkEnd w:id="41"/>
    <w:bookmarkStart w:id="45" w:name="X61cc7a37798ea93cadec7a33bcb21db91d36be8"/>
    <w:p>
      <w:pPr>
        <w:pStyle w:val="Heading1"/>
      </w:pPr>
      <w:r>
        <w:t xml:space="preserve">Section 6: Government Replication Framework</w:t>
      </w:r>
    </w:p>
    <w:bookmarkStart w:id="42" w:name="Xb788472034418229558cab048e994d9037ea783"/>
    <w:p>
      <w:pPr>
        <w:pStyle w:val="Heading2"/>
      </w:pPr>
      <w:r>
        <w:t xml:space="preserve">6.1 How DC-007 Enables Replication</w:t>
      </w:r>
    </w:p>
    <w:p>
      <w:pPr>
        <w:pStyle w:val="FirstParagraph"/>
      </w:pPr>
      <w:r>
        <w:t xml:space="preserve">Design Covenant DC-007 requires that every BIRDC-specific business rule reside in a configuration table — not in the application code. This architectural discipline makes the BIRDC ERP codebase a platform for Uganda government agro-processing entities, not a one-time bespoke application.</w:t>
      </w:r>
    </w:p>
    <w:p>
      <w:pPr>
        <w:pStyle w:val="BodyText"/>
      </w:pPr>
      <w:r>
        <w:t xml:space="preserve">The replication model works as follows:</w:t>
      </w:r>
    </w:p>
    <w:p>
      <w:pPr>
        <w:pStyle w:val="Compact"/>
        <w:numPr>
          <w:ilvl w:val="0"/>
          <w:numId w:val="1004"/>
        </w:numPr>
      </w:pPr>
      <w:r>
        <w:t xml:space="preserve">The core codebase (PHP/MySQL, all 17 modules, all 6 Android apps) is version-controlled and tagged at go-live.</w:t>
      </w:r>
    </w:p>
    <w:p>
      <w:pPr>
        <w:pStyle w:val="Compact"/>
        <w:numPr>
          <w:ilvl w:val="0"/>
          <w:numId w:val="1004"/>
        </w:numPr>
      </w:pPr>
      <w:r>
        <w:t xml:space="preserve">Every BIRDC-specific parameter — PPDA thresholds, tax bands, commission structures, cooperative levy rates, product recipes, Chart of Accounts, user roles, approval matrices — exists in named configuration tables in the database.</w:t>
      </w:r>
    </w:p>
    <w:p>
      <w:pPr>
        <w:pStyle w:val="Compact"/>
        <w:numPr>
          <w:ilvl w:val="0"/>
          <w:numId w:val="1004"/>
        </w:numPr>
      </w:pPr>
      <w:r>
        <w:t xml:space="preserve">A replication package consists of: (a) the core codebase, (b) a new organisation's configuration dataset, and (c) a deployment guide.</w:t>
      </w:r>
    </w:p>
    <w:p>
      <w:pPr>
        <w:pStyle w:val="Compact"/>
        <w:numPr>
          <w:ilvl w:val="0"/>
          <w:numId w:val="1004"/>
        </w:numPr>
      </w:pPr>
      <w:r>
        <w:t xml:space="preserve">A qualified IT administrator deploys the replication package to the new organisation's server and imports the organisation's configuration. No code change is required.</w:t>
      </w:r>
    </w:p>
    <w:bookmarkEnd w:id="42"/>
    <w:bookmarkStart w:id="43" w:name="X3c5174c79c6e42ad811fddf276cdd563c532652"/>
    <w:p>
      <w:pPr>
        <w:pStyle w:val="Heading2"/>
      </w:pPr>
      <w:r>
        <w:t xml:space="preserve">6.2 Target Replication Candidates</w:t>
      </w:r>
    </w:p>
    <w:p>
      <w:pPr>
        <w:pStyle w:val="FirstParagraph"/>
      </w:pPr>
      <w:r>
        <w:t xml:space="preserve">The following Uganda government entities face structurally similar operational challenges to BIRDC and are primary candidates for replication: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Structural Similarity to BIRDC</w:t>
            </w:r>
          </w:p>
        </w:tc>
      </w:tr>
      <w:tr>
        <w:tc>
          <w:tcPr/>
          <w:p>
            <w:pPr>
              <w:pStyle w:val="Compact"/>
            </w:pPr>
            <w:r>
              <w:t xml:space="preserve">Uganda Coffee Development Board (UCDB)</w:t>
            </w:r>
          </w:p>
        </w:tc>
        <w:tc>
          <w:tcPr/>
          <w:p>
            <w:pPr>
              <w:pStyle w:val="Compact"/>
            </w:pPr>
            <w:r>
              <w:t xml:space="preserve">Government agro-processing, cooperative farmer network, export markets, parliamentary accountability, PPDA procurement</w:t>
            </w:r>
          </w:p>
        </w:tc>
      </w:tr>
      <w:tr>
        <w:tc>
          <w:tcPr/>
          <w:p>
            <w:pPr>
              <w:pStyle w:val="Compact"/>
            </w:pPr>
            <w:r>
              <w:t xml:space="preserve">National Enterprise Corporation (NEC)</w:t>
            </w:r>
          </w:p>
        </w:tc>
        <w:tc>
          <w:tcPr/>
          <w:p>
            <w:pPr>
              <w:pStyle w:val="Compact"/>
            </w:pPr>
            <w:r>
              <w:t xml:space="preserve">Government commercial enterprise, dual accountability (parliamentary + commercial), multiple product lines</w:t>
            </w:r>
          </w:p>
        </w:tc>
      </w:tr>
      <w:tr>
        <w:tc>
          <w:tcPr/>
          <w:p>
            <w:pPr>
              <w:pStyle w:val="Compact"/>
            </w:pPr>
            <w:r>
              <w:t xml:space="preserve">National Forestry Authority (NFA)</w:t>
            </w:r>
          </w:p>
        </w:tc>
        <w:tc>
          <w:tcPr/>
          <w:p>
            <w:pPr>
              <w:pStyle w:val="Compact"/>
            </w:pPr>
            <w:r>
              <w:t xml:space="preserve">Government entity with commercial revenue, asset management, PPDA procurement, parliamentary reporting</w:t>
            </w:r>
          </w:p>
        </w:tc>
      </w:tr>
      <w:tr>
        <w:tc>
          <w:tcPr/>
          <w:p>
            <w:pPr>
              <w:pStyle w:val="Compact"/>
            </w:pPr>
            <w:r>
              <w:t xml:space="preserve">Other MAAIF-supervised agro-processors</w:t>
            </w:r>
          </w:p>
        </w:tc>
        <w:tc>
          <w:tcPr/>
          <w:p>
            <w:pPr>
              <w:pStyle w:val="Compact"/>
            </w:pPr>
            <w:r>
              <w:t xml:space="preserve">Cooperative farmer procurement, government funding, PPDA compliance, Uganda statutory payroll</w:t>
            </w:r>
          </w:p>
        </w:tc>
      </w:tr>
    </w:tbl>
    <w:bookmarkEnd w:id="43"/>
    <w:bookmarkStart w:id="44" w:name="Xf438d1ec54ff1299566b6723e7a4891dd6dc416"/>
    <w:p>
      <w:pPr>
        <w:pStyle w:val="Heading2"/>
      </w:pPr>
      <w:r>
        <w:t xml:space="preserve">6.3 Replication Economics</w:t>
      </w:r>
    </w:p>
    <w:p>
      <w:pPr>
        <w:pStyle w:val="FirstParagraph"/>
      </w:pPr>
      <w:r>
        <w:t xml:space="preserve">The second deployment of BIRDC ERP for a new government entity requires:</w:t>
      </w:r>
    </w:p>
    <w:p>
      <w:pPr>
        <w:pStyle w:val="Compact"/>
        <w:numPr>
          <w:ilvl w:val="0"/>
          <w:numId w:val="1005"/>
        </w:numPr>
      </w:pPr>
      <w:r>
        <w:t xml:space="preserve">No codebase rebuild (DC-007 enforced throughout development)</w:t>
      </w:r>
    </w:p>
    <w:p>
      <w:pPr>
        <w:pStyle w:val="Compact"/>
        <w:numPr>
          <w:ilvl w:val="0"/>
          <w:numId w:val="1005"/>
        </w:numPr>
      </w:pPr>
      <w:r>
        <w:t xml:space="preserve">Configuration dataset design and import (~4–8 weeks)</w:t>
      </w:r>
    </w:p>
    <w:p>
      <w:pPr>
        <w:pStyle w:val="Compact"/>
        <w:numPr>
          <w:ilvl w:val="0"/>
          <w:numId w:val="1005"/>
        </w:numPr>
      </w:pPr>
      <w:r>
        <w:t xml:space="preserve">Server deployment and testing (~2–4 weeks)</w:t>
      </w:r>
    </w:p>
    <w:p>
      <w:pPr>
        <w:pStyle w:val="Compact"/>
        <w:numPr>
          <w:ilvl w:val="0"/>
          <w:numId w:val="1005"/>
        </w:numPr>
      </w:pPr>
      <w:r>
        <w:t xml:space="preserve">Staff training (~1–2 weeks)</w:t>
      </w:r>
    </w:p>
    <w:p>
      <w:pPr>
        <w:pStyle w:val="FirstParagraph"/>
      </w:pPr>
      <w:r>
        <w:t xml:space="preserve">The public return on investment multiplies with each replication. The Uganda government's UGX 200 billion investment in BIRDC generates not only BIRDC's operational efficiency but a replicable software asset for the entire government agro-processing sector.</w:t>
      </w:r>
    </w:p>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Statement — BIRDC ERP</dc:title>
  <dc:creator>Peter Bamuhigire, ICT Consultant (techguypeter.com) for PIBID/BIRDC</dc:creator>
  <cp:keywords/>
  <dcterms:created xsi:type="dcterms:W3CDTF">2026-04-05T16:39:31Z</dcterms:created>
  <dcterms:modified xsi:type="dcterms:W3CDTF">2026-04-05T16:39:31Z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Banana Industrial Research and Development Centre Enterprise Resource Planning System</vt:lpwstr>
  </property>
  <property fmtid="{D5CDD505-2E9C-101B-9397-08002B2CF9AE}" pid="4" name="version">
    <vt:lpwstr>1.0 — Draft for Review</vt:lpwstr>
  </property>
</Properties>
</file>