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BIRDC ERP Phase 1: Commerce Foundation</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software-requirements-specification"/>
    <w:p>
      <w:pPr>
        <w:pStyle w:val="Heading1"/>
      </w:pPr>
      <w:r>
        <w:t xml:space="preserve">Software Requirements Specification</w:t>
      </w:r>
    </w:p>
    <w:bookmarkStart w:id="19" w:name="Xba76225cf91848bd166aa6b7af21ff049e4231f"/>
    <w:p>
      <w:pPr>
        <w:pStyle w:val="Heading2"/>
      </w:pPr>
      <w:r>
        <w:t xml:space="preserve">BIRDC ERP System — Phase 1: Commerce Foundation</w:t>
      </w:r>
    </w:p>
    <w:p>
      <w:pPr>
        <w:pStyle w:val="FirstParagraph"/>
      </w:pPr>
      <w:r>
        <w:rPr>
          <w:b/>
          <w:bCs/>
        </w:rPr>
        <w:t xml:space="preserve">Document Title:</w:t>
      </w:r>
      <w:r>
        <w:t xml:space="preserve"> </w:t>
      </w:r>
      <w:r>
        <w:t xml:space="preserve">Software Requirements Specification — Phase 1 Commerce Foundation</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Version:</w:t>
      </w:r>
      <w:r>
        <w:t xml:space="preserve"> </w:t>
      </w:r>
      <w:r>
        <w:t xml:space="preserve">1.0 DRAFT</w:t>
      </w:r>
    </w:p>
    <w:p>
      <w:pPr>
        <w:pStyle w:val="BodyText"/>
      </w:pPr>
      <w:r>
        <w:rPr>
          <w:b/>
          <w:bCs/>
        </w:rPr>
        <w:t xml:space="preserve">Date:</w:t>
      </w:r>
      <w:r>
        <w:t xml:space="preserve"> </w:t>
      </w:r>
      <w:r>
        <w:t xml:space="preserve">2026-04-05</w:t>
      </w:r>
    </w:p>
    <w:p>
      <w:pPr>
        <w:pStyle w:val="BodyText"/>
      </w:pPr>
      <w:r>
        <w:rPr>
          <w:b/>
          <w:bCs/>
        </w:rPr>
        <w:t xml:space="preserve">Document Status:</w:t>
      </w:r>
      <w:r>
        <w:t xml:space="preserve"> </w:t>
      </w:r>
      <w:r>
        <w:t xml:space="preserve">Draft — Pending stakeholder review</w:t>
      </w:r>
    </w:p>
    <w:p>
      <w:pPr>
        <w:pStyle w:val="BodyText"/>
      </w:pPr>
      <w:r>
        <w:rPr>
          <w:b/>
          <w:bCs/>
        </w:rPr>
        <w:t xml:space="preserve">IEEE Standard:</w:t>
      </w:r>
      <w:r>
        <w:t xml:space="preserve"> </w:t>
      </w:r>
      <w:r>
        <w:t xml:space="preserve">Conforms to IEEE Std 830-1998, IEEE Std 1233-1998, IEEE Std 610.12-1990</w:t>
      </w:r>
    </w:p>
    <w:p>
      <w:r>
        <w:pict>
          <v:rect style="width:0;height:1.5pt" o:hralign="center" o:hrstd="t" o:hr="t"/>
        </w:pict>
      </w:r>
    </w:p>
    <w:bookmarkEnd w:id="19"/>
    <w:bookmarkStart w:id="20" w:name="document-revision-history"/>
    <w:p>
      <w:pPr>
        <w:pStyle w:val="Heading2"/>
      </w:pPr>
      <w:r>
        <w:t xml:space="preserve">Document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 Summary</w:t>
            </w:r>
          </w:p>
        </w:tc>
      </w:tr>
      <w:tr>
        <w:tc>
          <w:tcPr/>
          <w:p>
            <w:pPr>
              <w:pStyle w:val="Compact"/>
            </w:pPr>
            <w:r>
              <w:t xml:space="preserve">1.0 DRAFT</w:t>
            </w:r>
          </w:p>
        </w:tc>
        <w:tc>
          <w:tcPr/>
          <w:p>
            <w:pPr>
              <w:pStyle w:val="Compact"/>
            </w:pPr>
            <w:r>
              <w:t xml:space="preserve">2026-04-05</w:t>
            </w:r>
          </w:p>
        </w:tc>
        <w:tc>
          <w:tcPr/>
          <w:p>
            <w:pPr>
              <w:pStyle w:val="Compact"/>
            </w:pPr>
            <w:r>
              <w:t xml:space="preserve">Peter Bamuhigire</w:t>
            </w:r>
          </w:p>
        </w:tc>
        <w:tc>
          <w:tcPr/>
          <w:p>
            <w:pPr>
              <w:pStyle w:val="Compact"/>
            </w:pPr>
            <w:r>
              <w:t xml:space="preserve">Initial draft — Phase 1 Commerce Foundation</w:t>
            </w:r>
          </w:p>
        </w:tc>
      </w:tr>
    </w:tbl>
    <w:p>
      <w:r>
        <w:pict>
          <v:rect style="width:0;height:1.5pt" o:hralign="center" o:hrstd="t" o:hr="t"/>
        </w:pict>
      </w:r>
    </w:p>
    <w:bookmarkEnd w:id="20"/>
    <w:bookmarkStart w:id="21" w:name="document-approvals"/>
    <w:p>
      <w:pPr>
        <w:pStyle w:val="Heading2"/>
      </w:pPr>
      <w:r>
        <w:t xml:space="preserve">Document 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BIRDC Director</w:t>
            </w:r>
          </w:p>
        </w:tc>
        <w:tc>
          <w:tcPr/>
          <w:p>
            <w:pPr>
              <w:pStyle w:val="Compact"/>
            </w:pPr>
            <w:r>
              <w:t xml:space="preserve">STK-001</w:t>
            </w:r>
          </w:p>
        </w:tc>
        <w:tc>
          <w:tcPr/>
          <w:p>
            <w:pPr>
              <w:pStyle w:val="Compact"/>
            </w:pPr>
          </w:p>
        </w:tc>
        <w:tc>
          <w:tcPr/>
          <w:p>
            <w:pPr>
              <w:pStyle w:val="Compact"/>
            </w:pPr>
          </w:p>
        </w:tc>
      </w:tr>
      <w:tr>
        <w:tc>
          <w:tcPr/>
          <w:p>
            <w:pPr>
              <w:pStyle w:val="Compact"/>
            </w:pPr>
            <w:r>
              <w:t xml:space="preserve">Finance Director</w:t>
            </w:r>
          </w:p>
        </w:tc>
        <w:tc>
          <w:tcPr/>
          <w:p>
            <w:pPr>
              <w:pStyle w:val="Compact"/>
            </w:pPr>
            <w:r>
              <w:t xml:space="preserve">STK-002</w:t>
            </w:r>
          </w:p>
        </w:tc>
        <w:tc>
          <w:tcPr/>
          <w:p>
            <w:pPr>
              <w:pStyle w:val="Compact"/>
            </w:pPr>
          </w:p>
        </w:tc>
        <w:tc>
          <w:tcPr/>
          <w:p>
            <w:pPr>
              <w:pStyle w:val="Compact"/>
            </w:pPr>
          </w:p>
        </w:tc>
      </w:tr>
      <w:tr>
        <w:tc>
          <w:tcPr/>
          <w:p>
            <w:pPr>
              <w:pStyle w:val="Compact"/>
            </w:pPr>
            <w:r>
              <w:t xml:space="preserve">IT Administrator</w:t>
            </w:r>
          </w:p>
        </w:tc>
        <w:tc>
          <w:tcPr/>
          <w:p>
            <w:pPr>
              <w:pStyle w:val="Compact"/>
            </w:pPr>
            <w:r>
              <w:t xml:space="preserve">STK-003</w:t>
            </w:r>
          </w:p>
        </w:tc>
        <w:tc>
          <w:tcPr/>
          <w:p>
            <w:pPr>
              <w:pStyle w:val="Compact"/>
            </w:pPr>
          </w:p>
        </w:tc>
        <w:tc>
          <w:tcPr/>
          <w:p>
            <w:pPr>
              <w:pStyle w:val="Compact"/>
            </w:pPr>
          </w:p>
        </w:tc>
      </w:tr>
      <w:tr>
        <w:tc>
          <w:tcPr/>
          <w:p>
            <w:pPr>
              <w:pStyle w:val="Compact"/>
            </w:pPr>
            <w:r>
              <w:t xml:space="preserve">ICT Consultant</w:t>
            </w:r>
          </w:p>
        </w:tc>
        <w:tc>
          <w:tcPr/>
          <w:p>
            <w:pPr>
              <w:pStyle w:val="Compact"/>
            </w:pPr>
            <w:r>
              <w:t xml:space="preserve">Peter Bamuhigire</w:t>
            </w:r>
          </w:p>
        </w:tc>
        <w:tc>
          <w:tcPr/>
          <w:p>
            <w:pPr>
              <w:pStyle w:val="Compact"/>
            </w:pPr>
          </w:p>
        </w:tc>
        <w:tc>
          <w:tcPr/>
          <w:p>
            <w:pPr>
              <w:pStyle w:val="Compact"/>
            </w:pPr>
          </w:p>
        </w:tc>
      </w:tr>
    </w:tbl>
    <w:bookmarkEnd w:id="21"/>
    <w:bookmarkEnd w:id="22"/>
    <w:bookmarkStart w:id="31" w:name="Xe3d0fc0bea9a42ce7605565d0964033d7f6ee47"/>
    <w:p>
      <w:pPr>
        <w:pStyle w:val="Heading1"/>
      </w:pPr>
      <w:r>
        <w:t xml:space="preserve">1. Introduction</w:t>
      </w:r>
    </w:p>
    <w:bookmarkStart w:id="23"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Phase 1 (Commerce Foundation) of the BIRDC Enterprise Resource Planning (ERP) system. Phase 1 covers four modules: Sales and Distribution (F-001), Point of Sale (F-002), Inventory and Warehouse Management (F-003), and Agent Distribution Management (F-004).</w:t>
      </w:r>
    </w:p>
    <w:p>
      <w:pPr>
        <w:pStyle w:val="BodyText"/>
      </w:pPr>
      <w:r>
        <w:t xml:space="preserve">This document is addressed to BIRDC/PIBID stakeholders, the development team, and external auditors. It serves as the contractual baseline for Phase 1 development, acceptance testing, and audit trail compliance. All requirements are traceable to the business goals defined in the BIRDC ERP Vision document (2026-04-05).</w:t>
      </w:r>
    </w:p>
    <w:bookmarkEnd w:id="23"/>
    <w:bookmarkStart w:id="26" w:name="X3378fde8998068a01e48267892e5cd923e9bc15"/>
    <w:p>
      <w:pPr>
        <w:pStyle w:val="Heading2"/>
      </w:pPr>
      <w:r>
        <w:t xml:space="preserve">1.2 Scope</w:t>
      </w:r>
    </w:p>
    <w:p>
      <w:pPr>
        <w:pStyle w:val="FirstParagraph"/>
      </w:pPr>
      <w:r>
        <w:t xml:space="preserve">The BIRDC ERP system is a purpose-built, single-tenant enterprise resource planning system for the Banana Industrial Research and Development Centre (BIRDC) and the Presidential Initiative on Banana Industrial Development (PIBID), located at Nyaruzinga Hill, Bushenyi District, Western Uganda. BIRDC operates Uganda's only industrial-scale banana processing facility, producing Tooke-branded products for domestic retail and international export.</w:t>
      </w:r>
    </w:p>
    <w:p>
      <w:pPr>
        <w:pStyle w:val="BodyText"/>
      </w:pPr>
      <w:r>
        <w:t xml:space="preserve">Phase 1 establishes the commerce transaction layer on which all subsequent phases (financial accounting, procurement, production, HR) depend. The scope of this document is limited to Phase 1 modules.</w:t>
      </w:r>
    </w:p>
    <w:bookmarkStart w:id="24" w:name="X2538a351e726bbc3ecc43305a7c905d579c0e9e"/>
    <w:p>
      <w:pPr>
        <w:pStyle w:val="Heading3"/>
      </w:pPr>
      <w:r>
        <w:t xml:space="preserve">1.2.1 In Scope</w:t>
      </w:r>
    </w:p>
    <w:p>
      <w:pPr>
        <w:pStyle w:val="Compact"/>
        <w:numPr>
          <w:ilvl w:val="0"/>
          <w:numId w:val="1001"/>
        </w:numPr>
      </w:pPr>
      <w:r>
        <w:t xml:space="preserve">Sales and Distribution: order-to-cash lifecycle for Tooke products, EFRIS integration, GL auto-posting</w:t>
      </w:r>
    </w:p>
    <w:p>
      <w:pPr>
        <w:pStyle w:val="Compact"/>
        <w:numPr>
          <w:ilvl w:val="0"/>
          <w:numId w:val="1001"/>
        </w:numPr>
      </w:pPr>
      <w:r>
        <w:t xml:space="preserve">Point of Sale: factory gate, distribution centre, and agent checkout contexts with offline capability</w:t>
      </w:r>
    </w:p>
    <w:p>
      <w:pPr>
        <w:pStyle w:val="Compact"/>
        <w:numPr>
          <w:ilvl w:val="0"/>
          <w:numId w:val="1001"/>
        </w:numPr>
      </w:pPr>
      <w:r>
        <w:t xml:space="preserve">Inventory and Warehouse Management: multi-location stock, batch tracking, FEFO enforcement, stock valuation</w:t>
      </w:r>
    </w:p>
    <w:p>
      <w:pPr>
        <w:pStyle w:val="Compact"/>
        <w:numPr>
          <w:ilvl w:val="0"/>
          <w:numId w:val="1001"/>
        </w:numPr>
      </w:pPr>
      <w:r>
        <w:t xml:space="preserve">Agent Distribution Management: agent virtual store, cash balance tracking, FIFO remittance allocation, commission</w:t>
      </w:r>
    </w:p>
    <w:bookmarkEnd w:id="24"/>
    <w:bookmarkStart w:id="25" w:name="X15cd9976b700dffaef64b59e2c474d6e1f506ba"/>
    <w:p>
      <w:pPr>
        <w:pStyle w:val="Heading3"/>
      </w:pPr>
      <w:r>
        <w:t xml:space="preserve">1.2.2 Out of Scope (Deferred to Later Phases)</w:t>
      </w:r>
    </w:p>
    <w:p>
      <w:pPr>
        <w:pStyle w:val="Compact"/>
        <w:numPr>
          <w:ilvl w:val="0"/>
          <w:numId w:val="1002"/>
        </w:numPr>
      </w:pPr>
      <w:r>
        <w:t xml:space="preserve">Financial Accounting and General Ledger (Phase 2, F-005)</w:t>
      </w:r>
    </w:p>
    <w:p>
      <w:pPr>
        <w:pStyle w:val="Compact"/>
        <w:numPr>
          <w:ilvl w:val="0"/>
          <w:numId w:val="1002"/>
        </w:numPr>
      </w:pPr>
      <w:r>
        <w:t xml:space="preserve">Accounts Receivable and Accounts Payable (Phase 2, F-006/F-007)</w:t>
      </w:r>
    </w:p>
    <w:p>
      <w:pPr>
        <w:pStyle w:val="Compact"/>
        <w:numPr>
          <w:ilvl w:val="0"/>
          <w:numId w:val="1002"/>
        </w:numPr>
      </w:pPr>
      <w:r>
        <w:t xml:space="preserve">Budget Management (Phase 2, F-008)</w:t>
      </w:r>
    </w:p>
    <w:p>
      <w:pPr>
        <w:pStyle w:val="Compact"/>
        <w:numPr>
          <w:ilvl w:val="0"/>
          <w:numId w:val="1002"/>
        </w:numPr>
      </w:pPr>
      <w:r>
        <w:t xml:space="preserve">Procurement and Farmer Management (Phase 3)</w:t>
      </w:r>
    </w:p>
    <w:p>
      <w:pPr>
        <w:pStyle w:val="Compact"/>
        <w:numPr>
          <w:ilvl w:val="0"/>
          <w:numId w:val="1002"/>
        </w:numPr>
      </w:pPr>
      <w:r>
        <w:t xml:space="preserve">Manufacturing, QC, HR, Payroll (Phases 4 and 5)</w:t>
      </w:r>
    </w:p>
    <w:bookmarkEnd w:id="25"/>
    <w:bookmarkEnd w:id="26"/>
    <w:bookmarkStart w:id="27" w:name="Xe465ea7d6873bc229ec6a736b8f5d39c4f5014d"/>
    <w:p>
      <w:pPr>
        <w:pStyle w:val="Heading2"/>
      </w:pPr>
      <w:r>
        <w:t xml:space="preserve">1.3 Product Overview</w:t>
      </w:r>
    </w:p>
    <w:p>
      <w:pPr>
        <w:pStyle w:val="FirstParagraph"/>
      </w:pPr>
      <w:r>
        <w:t xml:space="preserve">The BIRDC ERP system replaces fragmented spreadsheets and manual registers across all 17 operational domains. It is deployed on-premise at BIRDC Nyaruzinga on BIRDC-owned hardware (</w:t>
      </w:r>
      <w:r>
        <w:rPr>
          <w:b/>
          <w:bCs/>
        </w:rPr>
        <w:t xml:space="preserve">DC-006</w:t>
      </w:r>
      <w:r>
        <w:t xml:space="preserve">: data sovereignty). No cloud vendor holds BIRDC data. The system has three access panels:</w:t>
      </w:r>
    </w:p>
    <w:p>
      <w:pPr>
        <w:pStyle w:val="Compact"/>
        <w:numPr>
          <w:ilvl w:val="0"/>
          <w:numId w:val="1003"/>
        </w:numPr>
      </w:pPr>
      <w:r>
        <w:t xml:space="preserve">Main ERP Workspace (</w:t>
      </w:r>
      <w:r>
        <w:rPr>
          <w:rStyle w:val="VerbatimChar"/>
        </w:rPr>
        <w:t xml:space="preserve">/public/</w:t>
      </w:r>
      <w:r>
        <w:t xml:space="preserve">) — all BIRDC/PIBID staff</w:t>
      </w:r>
    </w:p>
    <w:p>
      <w:pPr>
        <w:pStyle w:val="Compact"/>
        <w:numPr>
          <w:ilvl w:val="0"/>
          <w:numId w:val="1003"/>
        </w:numPr>
      </w:pPr>
      <w:r>
        <w:t xml:space="preserve">Sales Agent Portal (</w:t>
      </w:r>
      <w:r>
        <w:rPr>
          <w:rStyle w:val="VerbatimChar"/>
        </w:rPr>
        <w:t xml:space="preserve">/public/sales-agents/</w:t>
      </w:r>
      <w:r>
        <w:t xml:space="preserve">) — 1,071 field sales agents</w:t>
      </w:r>
    </w:p>
    <w:p>
      <w:pPr>
        <w:pStyle w:val="Compact"/>
        <w:numPr>
          <w:ilvl w:val="0"/>
          <w:numId w:val="1003"/>
        </w:numPr>
      </w:pPr>
      <w:r>
        <w:t xml:space="preserve">System Administration (</w:t>
      </w:r>
      <w:r>
        <w:rPr>
          <w:rStyle w:val="VerbatimChar"/>
        </w:rPr>
        <w:t xml:space="preserve">/public/admin/</w:t>
      </w:r>
      <w:r>
        <w:t xml:space="preserve">) — IT administrators</w:t>
      </w:r>
    </w:p>
    <w:p>
      <w:pPr>
        <w:pStyle w:val="FirstParagraph"/>
      </w:pPr>
      <w:r>
        <w:t xml:space="preserve">Six Android mobile applications extend the system to field operations.</w:t>
      </w:r>
    </w:p>
    <w:bookmarkEnd w:id="27"/>
    <w:bookmarkStart w:id="28" w:name="Xa1f827e69131a9242dd1811f908c9d7e0b8c433"/>
    <w:p>
      <w:pPr>
        <w:pStyle w:val="Heading2"/>
      </w:pPr>
      <w:r>
        <w:t xml:space="preserve">1.4 Definitions, Acronyms, and Abbreviations</w:t>
      </w:r>
    </w:p>
    <w:p>
      <w:pPr>
        <w:pStyle w:val="FirstParagraph"/>
      </w:pPr>
      <w:r>
        <w:t xml:space="preserve">All terms in this document are defined per IEEE Std 610.12-1990. Domain-specific terms are defined in the BIRDC ERP Glossary (</w:t>
      </w:r>
      <w:r>
        <w:rPr>
          <w:rStyle w:val="VerbatimChar"/>
        </w:rPr>
        <w:t xml:space="preserve">_context/glossary.md</w:t>
      </w:r>
      <w:r>
        <w:t xml:space="preserve">). Key terms used in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Agent</w:t>
            </w:r>
          </w:p>
        </w:tc>
        <w:tc>
          <w:tcPr/>
          <w:p>
            <w:pPr>
              <w:pStyle w:val="Compact"/>
            </w:pPr>
            <w:r>
              <w:t xml:space="preserve">A field sales agent contracted by BIRDC to sell Tooke products in a defined territory. BIRDC has 1,071 agents.</w:t>
            </w:r>
          </w:p>
        </w:tc>
      </w:tr>
      <w:tr>
        <w:tc>
          <w:tcPr/>
          <w:p>
            <w:pPr>
              <w:pStyle w:val="Compact"/>
            </w:pPr>
            <w:r>
              <w:t xml:space="preserve">Agent Cash Balance</w:t>
            </w:r>
          </w:p>
        </w:tc>
        <w:tc>
          <w:tcPr/>
          <w:p>
            <w:pPr>
              <w:pStyle w:val="Compact"/>
            </w:pPr>
            <w:r>
              <w:t xml:space="preserve">Real-time net liability: total cash collected from sales minus total verified remittances.</w:t>
            </w:r>
          </w:p>
        </w:tc>
      </w:tr>
      <w:tr>
        <w:tc>
          <w:tcPr/>
          <w:p>
            <w:pPr>
              <w:pStyle w:val="Compact"/>
            </w:pPr>
            <w:r>
              <w:t xml:space="preserve">BIRDC</w:t>
            </w:r>
          </w:p>
        </w:tc>
        <w:tc>
          <w:tcPr/>
          <w:p>
            <w:pPr>
              <w:pStyle w:val="Compact"/>
            </w:pPr>
            <w:r>
              <w:t xml:space="preserve">Banana Industrial Research and Development Centre.</w:t>
            </w:r>
          </w:p>
        </w:tc>
      </w:tr>
      <w:tr>
        <w:tc>
          <w:tcPr/>
          <w:p>
            <w:pPr>
              <w:pStyle w:val="Compact"/>
            </w:pPr>
            <w:r>
              <w:t xml:space="preserve">CoA</w:t>
            </w:r>
          </w:p>
        </w:tc>
        <w:tc>
          <w:tcPr/>
          <w:p>
            <w:pPr>
              <w:pStyle w:val="Compact"/>
            </w:pPr>
            <w:r>
              <w:t xml:space="preserve">Certificate of Analysis.</w:t>
            </w:r>
          </w:p>
        </w:tc>
      </w:tr>
      <w:tr>
        <w:tc>
          <w:tcPr/>
          <w:p>
            <w:pPr>
              <w:pStyle w:val="Compact"/>
            </w:pPr>
            <w:r>
              <w:t xml:space="preserve">DC</w:t>
            </w:r>
          </w:p>
        </w:tc>
        <w:tc>
          <w:tcPr/>
          <w:p>
            <w:pPr>
              <w:pStyle w:val="Compact"/>
            </w:pPr>
            <w:r>
              <w:t xml:space="preserve">Design Covenant — one of 7 binding design constraints.</w:t>
            </w:r>
          </w:p>
        </w:tc>
      </w:tr>
      <w:tr>
        <w:tc>
          <w:tcPr/>
          <w:p>
            <w:pPr>
              <w:pStyle w:val="Compact"/>
            </w:pPr>
            <w:r>
              <w:t xml:space="preserve">EFRIS</w:t>
            </w:r>
          </w:p>
        </w:tc>
        <w:tc>
          <w:tcPr/>
          <w:p>
            <w:pPr>
              <w:pStyle w:val="Compact"/>
            </w:pPr>
            <w:r>
              <w:t xml:space="preserve">Electronic Fiscal Receipting and Invoicing Solution (URA system-to-system API).</w:t>
            </w:r>
          </w:p>
        </w:tc>
      </w:tr>
      <w:tr>
        <w:tc>
          <w:tcPr/>
          <w:p>
            <w:pPr>
              <w:pStyle w:val="Compact"/>
            </w:pPr>
            <w:r>
              <w:t xml:space="preserve">FDN</w:t>
            </w:r>
          </w:p>
        </w:tc>
        <w:tc>
          <w:tcPr/>
          <w:p>
            <w:pPr>
              <w:pStyle w:val="Compact"/>
            </w:pPr>
            <w:r>
              <w:t xml:space="preserve">Fiscal Document Number — unique identifier returned by URA EFRIS per fiscal document.</w:t>
            </w:r>
          </w:p>
        </w:tc>
      </w:tr>
      <w:tr>
        <w:tc>
          <w:tcPr/>
          <w:p>
            <w:pPr>
              <w:pStyle w:val="Compact"/>
            </w:pPr>
            <w:r>
              <w:t xml:space="preserve">FEFO</w:t>
            </w:r>
          </w:p>
        </w:tc>
        <w:tc>
          <w:tcPr/>
          <w:p>
            <w:pPr>
              <w:pStyle w:val="Compact"/>
            </w:pPr>
            <w:r>
              <w:t xml:space="preserve">First Expiry First Out — inventory allocation rule.</w:t>
            </w:r>
          </w:p>
        </w:tc>
      </w:tr>
      <w:tr>
        <w:tc>
          <w:tcPr/>
          <w:p>
            <w:pPr>
              <w:pStyle w:val="Compact"/>
            </w:pPr>
            <w:r>
              <w:t xml:space="preserve">Float Limit</w:t>
            </w:r>
          </w:p>
        </w:tc>
        <w:tc>
          <w:tcPr/>
          <w:p>
            <w:pPr>
              <w:pStyle w:val="Compact"/>
            </w:pPr>
            <w:r>
              <w:t xml:space="preserve">Maximum monetary value of inventory an agent may hold at any time.</w:t>
            </w:r>
          </w:p>
        </w:tc>
      </w:tr>
      <w:tr>
        <w:tc>
          <w:tcPr/>
          <w:p>
            <w:pPr>
              <w:pStyle w:val="Compact"/>
            </w:pPr>
            <w:r>
              <w:t xml:space="preserve">GL</w:t>
            </w:r>
          </w:p>
        </w:tc>
        <w:tc>
          <w:tcPr/>
          <w:p>
            <w:pPr>
              <w:pStyle w:val="Compact"/>
            </w:pPr>
            <w:r>
              <w:t xml:space="preserve">General Ledger.</w:t>
            </w:r>
          </w:p>
        </w:tc>
      </w:tr>
      <w:tr>
        <w:tc>
          <w:tcPr/>
          <w:p>
            <w:pPr>
              <w:pStyle w:val="Compact"/>
            </w:pPr>
            <w:r>
              <w:t xml:space="preserve">GRN</w:t>
            </w:r>
          </w:p>
        </w:tc>
        <w:tc>
          <w:tcPr/>
          <w:p>
            <w:pPr>
              <w:pStyle w:val="Compact"/>
            </w:pPr>
            <w:r>
              <w:t xml:space="preserve">Goods Receipt Note.</w:t>
            </w:r>
          </w:p>
        </w:tc>
      </w:tr>
      <w:tr>
        <w:tc>
          <w:tcPr/>
          <w:p>
            <w:pPr>
              <w:pStyle w:val="Compact"/>
            </w:pPr>
            <w:r>
              <w:t xml:space="preserve">JE</w:t>
            </w:r>
          </w:p>
        </w:tc>
        <w:tc>
          <w:tcPr/>
          <w:p>
            <w:pPr>
              <w:pStyle w:val="Compact"/>
            </w:pPr>
            <w:r>
              <w:t xml:space="preserve">Journal Entry.</w:t>
            </w:r>
          </w:p>
        </w:tc>
      </w:tr>
      <w:tr>
        <w:tc>
          <w:tcPr/>
          <w:p>
            <w:pPr>
              <w:pStyle w:val="Compact"/>
            </w:pPr>
            <w:r>
              <w:t xml:space="preserve">NIN</w:t>
            </w:r>
          </w:p>
        </w:tc>
        <w:tc>
          <w:tcPr/>
          <w:p>
            <w:pPr>
              <w:pStyle w:val="Compact"/>
            </w:pPr>
            <w:r>
              <w:t xml:space="preserve">National Identification Number (Uganda).</w:t>
            </w:r>
          </w:p>
        </w:tc>
      </w:tr>
      <w:tr>
        <w:tc>
          <w:tcPr/>
          <w:p>
            <w:pPr>
              <w:pStyle w:val="Compact"/>
            </w:pPr>
            <w:r>
              <w:t xml:space="preserve">PIBID</w:t>
            </w:r>
          </w:p>
        </w:tc>
        <w:tc>
          <w:tcPr/>
          <w:p>
            <w:pPr>
              <w:pStyle w:val="Compact"/>
            </w:pPr>
            <w:r>
              <w:t xml:space="preserve">Presidential Initiative on Banana Industrial Development.</w:t>
            </w:r>
          </w:p>
        </w:tc>
      </w:tr>
      <w:tr>
        <w:tc>
          <w:tcPr/>
          <w:p>
            <w:pPr>
              <w:pStyle w:val="Compact"/>
            </w:pPr>
            <w:r>
              <w:t xml:space="preserve">POS</w:t>
            </w:r>
          </w:p>
        </w:tc>
        <w:tc>
          <w:tcPr/>
          <w:p>
            <w:pPr>
              <w:pStyle w:val="Compact"/>
            </w:pPr>
            <w:r>
              <w:t xml:space="preserve">Point of Sale.</w:t>
            </w:r>
          </w:p>
        </w:tc>
      </w:tr>
      <w:tr>
        <w:tc>
          <w:tcPr/>
          <w:p>
            <w:pPr>
              <w:pStyle w:val="Compact"/>
            </w:pPr>
            <w:r>
              <w:t xml:space="preserve">PPDA</w:t>
            </w:r>
          </w:p>
        </w:tc>
        <w:tc>
          <w:tcPr/>
          <w:p>
            <w:pPr>
              <w:pStyle w:val="Compact"/>
            </w:pPr>
            <w:r>
              <w:t xml:space="preserve">Public Procurement and Disposal of Public Assets Authority.</w:t>
            </w:r>
          </w:p>
        </w:tc>
      </w:tr>
      <w:tr>
        <w:tc>
          <w:tcPr/>
          <w:p>
            <w:pPr>
              <w:pStyle w:val="Compact"/>
            </w:pPr>
            <w:r>
              <w:t xml:space="preserve">SRS</w:t>
            </w:r>
          </w:p>
        </w:tc>
        <w:tc>
          <w:tcPr/>
          <w:p>
            <w:pPr>
              <w:pStyle w:val="Compact"/>
            </w:pPr>
            <w:r>
              <w:t xml:space="preserve">Software Requirements Specification (this document).</w:t>
            </w:r>
          </w:p>
        </w:tc>
      </w:tr>
      <w:tr>
        <w:tc>
          <w:tcPr/>
          <w:p>
            <w:pPr>
              <w:pStyle w:val="Compact"/>
            </w:pPr>
            <w:r>
              <w:t xml:space="preserve">TIN</w:t>
            </w:r>
          </w:p>
        </w:tc>
        <w:tc>
          <w:tcPr/>
          <w:p>
            <w:pPr>
              <w:pStyle w:val="Compact"/>
            </w:pPr>
            <w:r>
              <w:t xml:space="preserve">Tax Identification Number (URA).</w:t>
            </w:r>
          </w:p>
        </w:tc>
      </w:tr>
      <w:tr>
        <w:tc>
          <w:tcPr/>
          <w:p>
            <w:pPr>
              <w:pStyle w:val="Compact"/>
            </w:pPr>
            <w:r>
              <w:t xml:space="preserve">URA</w:t>
            </w:r>
          </w:p>
        </w:tc>
        <w:tc>
          <w:tcPr/>
          <w:p>
            <w:pPr>
              <w:pStyle w:val="Compact"/>
            </w:pPr>
            <w:r>
              <w:t xml:space="preserve">Uganda Revenue Authority.</w:t>
            </w:r>
          </w:p>
        </w:tc>
      </w:tr>
      <w:tr>
        <w:tc>
          <w:tcPr/>
          <w:p>
            <w:pPr>
              <w:pStyle w:val="Compact"/>
            </w:pPr>
            <w:r>
              <w:t xml:space="preserve">WIP</w:t>
            </w:r>
          </w:p>
        </w:tc>
        <w:tc>
          <w:tcPr/>
          <w:p>
            <w:pPr>
              <w:pStyle w:val="Compact"/>
            </w:pPr>
            <w:r>
              <w:t xml:space="preserve">Work In Progress.</w:t>
            </w:r>
          </w:p>
        </w:tc>
      </w:tr>
    </w:tbl>
    <w:bookmarkEnd w:id="28"/>
    <w:bookmarkStart w:id="29" w:name="Xcb8f34702d1980450cb726f50d1fbc110147fb8"/>
    <w:p>
      <w:pPr>
        <w:pStyle w:val="Heading2"/>
      </w:pPr>
      <w:r>
        <w:t xml:space="preserve">1.5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IEEE Std 830-1998</w:t>
            </w:r>
          </w:p>
        </w:tc>
        <w:tc>
          <w:tcPr/>
          <w:p>
            <w:pPr>
              <w:pStyle w:val="Compact"/>
            </w:pPr>
            <w:r>
              <w:t xml:space="preserve">IEEE Recommended Practice for Software Requirements Specifications</w:t>
            </w:r>
          </w:p>
        </w:tc>
      </w:tr>
      <w:tr>
        <w:tc>
          <w:tcPr/>
          <w:p>
            <w:pPr>
              <w:pStyle w:val="Compact"/>
            </w:pPr>
            <w:r>
              <w:t xml:space="preserve">IEEE Std 1233-1998</w:t>
            </w:r>
          </w:p>
        </w:tc>
        <w:tc>
          <w:tcPr/>
          <w:p>
            <w:pPr>
              <w:pStyle w:val="Compact"/>
            </w:pPr>
            <w:r>
              <w:t xml:space="preserve">IEEE Guide for Developing System Requirements Specifications</w:t>
            </w:r>
          </w:p>
        </w:tc>
      </w:tr>
      <w:tr>
        <w:tc>
          <w:tcPr/>
          <w:p>
            <w:pPr>
              <w:pStyle w:val="Compact"/>
            </w:pPr>
            <w:r>
              <w:t xml:space="preserve">IEEE Std 610.12-1990</w:t>
            </w:r>
          </w:p>
        </w:tc>
        <w:tc>
          <w:tcPr/>
          <w:p>
            <w:pPr>
              <w:pStyle w:val="Compact"/>
            </w:pPr>
            <w:r>
              <w:t xml:space="preserve">IEEE Standard Glossary of Software Engineering Terminology</w:t>
            </w:r>
          </w:p>
        </w:tc>
      </w:tr>
      <w:tr>
        <w:tc>
          <w:tcPr/>
          <w:p>
            <w:pPr>
              <w:pStyle w:val="Compact"/>
            </w:pPr>
            <w:r>
              <w:t xml:space="preserve">ASTM E1340</w:t>
            </w:r>
          </w:p>
        </w:tc>
        <w:tc>
          <w:tcPr/>
          <w:p>
            <w:pPr>
              <w:pStyle w:val="Compact"/>
            </w:pPr>
            <w:r>
              <w:t xml:space="preserve">Standard Guide for Rapid Prototyping of Computerized Systems</w:t>
            </w:r>
          </w:p>
        </w:tc>
      </w:tr>
      <w:tr>
        <w:tc>
          <w:tcPr/>
          <w:p>
            <w:pPr>
              <w:pStyle w:val="Compact"/>
            </w:pPr>
            <w:r>
              <w:t xml:space="preserve">Uganda Income Tax Act, Cap 340</w:t>
            </w:r>
          </w:p>
        </w:tc>
        <w:tc>
          <w:tcPr/>
          <w:p>
            <w:pPr>
              <w:pStyle w:val="Compact"/>
            </w:pPr>
            <w:r>
              <w:t xml:space="preserve">Tax obligations including PAYE and Withholding Tax</w:t>
            </w:r>
          </w:p>
        </w:tc>
      </w:tr>
      <w:tr>
        <w:tc>
          <w:tcPr/>
          <w:p>
            <w:pPr>
              <w:pStyle w:val="Compact"/>
            </w:pPr>
            <w:r>
              <w:t xml:space="preserve">Uganda Companies Act, 2012</w:t>
            </w:r>
          </w:p>
        </w:tc>
        <w:tc>
          <w:tcPr/>
          <w:p>
            <w:pPr>
              <w:pStyle w:val="Compact"/>
            </w:pPr>
            <w:r>
              <w:t xml:space="preserve">7-year financial records retention requirement</w:t>
            </w:r>
          </w:p>
        </w:tc>
      </w:tr>
      <w:tr>
        <w:tc>
          <w:tcPr/>
          <w:p>
            <w:pPr>
              <w:pStyle w:val="Compact"/>
            </w:pPr>
            <w:r>
              <w:t xml:space="preserve">PPDA Act, Cap 330</w:t>
            </w:r>
          </w:p>
        </w:tc>
        <w:tc>
          <w:tcPr/>
          <w:p>
            <w:pPr>
              <w:pStyle w:val="Compact"/>
            </w:pPr>
            <w:r>
              <w:t xml:space="preserve">Public procurement compliance</w:t>
            </w:r>
          </w:p>
        </w:tc>
      </w:tr>
      <w:tr>
        <w:tc>
          <w:tcPr/>
          <w:p>
            <w:pPr>
              <w:pStyle w:val="Compact"/>
            </w:pPr>
            <w:r>
              <w:t xml:space="preserve">URA EFRIS Technical Specification</w:t>
            </w:r>
          </w:p>
        </w:tc>
        <w:tc>
          <w:tcPr/>
          <w:p>
            <w:pPr>
              <w:pStyle w:val="Compact"/>
            </w:pPr>
            <w:r>
              <w:t xml:space="preserve">System-to-system API for fiscal document submission</w:t>
            </w:r>
          </w:p>
        </w:tc>
      </w:tr>
      <w:tr>
        <w:tc>
          <w:tcPr/>
          <w:p>
            <w:pPr>
              <w:pStyle w:val="Compact"/>
            </w:pPr>
            <w:r>
              <w:t xml:space="preserve">BIRDC ERP Vision Document</w:t>
            </w:r>
          </w:p>
        </w:tc>
        <w:tc>
          <w:tcPr/>
          <w:p>
            <w:pPr>
              <w:pStyle w:val="Compact"/>
            </w:pPr>
            <w:r>
              <w:rPr>
                <w:rStyle w:val="VerbatimChar"/>
              </w:rPr>
              <w:t xml:space="preserve">_context/vision.md</w:t>
            </w:r>
            <w:r>
              <w:t xml:space="preserve">, 2026-04-05</w:t>
            </w:r>
          </w:p>
        </w:tc>
      </w:tr>
      <w:tr>
        <w:tc>
          <w:tcPr/>
          <w:p>
            <w:pPr>
              <w:pStyle w:val="Compact"/>
            </w:pPr>
            <w:r>
              <w:t xml:space="preserve">BIRDC ERP Feature Register</w:t>
            </w:r>
          </w:p>
        </w:tc>
        <w:tc>
          <w:tcPr/>
          <w:p>
            <w:pPr>
              <w:pStyle w:val="Compact"/>
            </w:pPr>
            <w:r>
              <w:rPr>
                <w:rStyle w:val="VerbatimChar"/>
              </w:rPr>
              <w:t xml:space="preserve">_context/features.md</w:t>
            </w:r>
            <w:r>
              <w:t xml:space="preserve">, 2026-04-05</w:t>
            </w:r>
          </w:p>
        </w:tc>
      </w:tr>
      <w:tr>
        <w:tc>
          <w:tcPr/>
          <w:p>
            <w:pPr>
              <w:pStyle w:val="Compact"/>
            </w:pPr>
            <w:r>
              <w:t xml:space="preserve">BIRDC ERP Business Rules</w:t>
            </w:r>
          </w:p>
        </w:tc>
        <w:tc>
          <w:tcPr/>
          <w:p>
            <w:pPr>
              <w:pStyle w:val="Compact"/>
            </w:pPr>
            <w:r>
              <w:rPr>
                <w:rStyle w:val="VerbatimChar"/>
              </w:rPr>
              <w:t xml:space="preserve">_context/business_rules.md</w:t>
            </w:r>
            <w:r>
              <w:t xml:space="preserve">, 2026-04-05</w:t>
            </w:r>
          </w:p>
        </w:tc>
      </w:tr>
    </w:tbl>
    <w:bookmarkEnd w:id="29"/>
    <w:bookmarkStart w:id="30" w:name="X75dba782968603dab733e848fcb085d1dd91f66"/>
    <w:p>
      <w:pPr>
        <w:pStyle w:val="Heading2"/>
      </w:pPr>
      <w:r>
        <w:t xml:space="preserve">1.6 Overview of This Document</w:t>
      </w:r>
    </w:p>
    <w:p>
      <w:pPr>
        <w:pStyle w:val="Compact"/>
        <w:numPr>
          <w:ilvl w:val="0"/>
          <w:numId w:val="1004"/>
        </w:numPr>
      </w:pPr>
      <w:r>
        <w:t xml:space="preserve">Section 2 describes the overall system description and constraints.</w:t>
      </w:r>
    </w:p>
    <w:p>
      <w:pPr>
        <w:pStyle w:val="Compact"/>
        <w:numPr>
          <w:ilvl w:val="0"/>
          <w:numId w:val="1004"/>
        </w:numPr>
      </w:pPr>
      <w:r>
        <w:t xml:space="preserve">Section 3 contains the specific requirements for each Phase 1 module.</w:t>
      </w:r>
    </w:p>
    <w:p>
      <w:pPr>
        <w:pStyle w:val="Compact"/>
        <w:numPr>
          <w:ilvl w:val="0"/>
          <w:numId w:val="1004"/>
        </w:numPr>
      </w:pPr>
      <w:r>
        <w:t xml:space="preserve">Section 4 contains non-functional requirements applicable to all modules.</w:t>
      </w:r>
    </w:p>
    <w:p>
      <w:pPr>
        <w:pStyle w:val="Compact"/>
        <w:numPr>
          <w:ilvl w:val="0"/>
          <w:numId w:val="1004"/>
        </w:numPr>
      </w:pPr>
      <w:r>
        <w:t xml:space="preserve">Section 5 contains design constraints and compliance requirements.</w:t>
      </w:r>
    </w:p>
    <w:p>
      <w:pPr>
        <w:pStyle w:val="Compact"/>
        <w:numPr>
          <w:ilvl w:val="0"/>
          <w:numId w:val="1004"/>
        </w:numPr>
      </w:pPr>
      <w:r>
        <w:t xml:space="preserve">Section 6 contains the requirements traceability matrix.</w:t>
      </w:r>
    </w:p>
    <w:p>
      <w:pPr>
        <w:pStyle w:val="Compact"/>
        <w:numPr>
          <w:ilvl w:val="0"/>
          <w:numId w:val="1004"/>
        </w:numPr>
      </w:pPr>
      <w:r>
        <w:t xml:space="preserve">Appendix A contains open items and gap flags.</w:t>
      </w:r>
    </w:p>
    <w:bookmarkEnd w:id="30"/>
    <w:bookmarkEnd w:id="31"/>
    <w:bookmarkStart w:id="39" w:name="X9193add25e2ce1e86c38972eca5adfa00384b97"/>
    <w:p>
      <w:pPr>
        <w:pStyle w:val="Heading1"/>
      </w:pPr>
      <w:r>
        <w:t xml:space="preserve">2. Overall Description</w:t>
      </w:r>
    </w:p>
    <w:bookmarkStart w:id="32" w:name="X40679f18d7e6714a9b5771b70f2e7757bd6390a"/>
    <w:p>
      <w:pPr>
        <w:pStyle w:val="Heading2"/>
      </w:pPr>
      <w:r>
        <w:t xml:space="preserve">2.1 Product Perspective</w:t>
      </w:r>
    </w:p>
    <w:p>
      <w:pPr>
        <w:pStyle w:val="FirstParagraph"/>
      </w:pPr>
      <w:r>
        <w:t xml:space="preserve">The BIRDC ERP system is a new, standalone, single-tenant system replacing all manual spreadsheets and registers currently used at BIRDC/PIBID. It is not a module of any existing ERP suite. Phase 1 modules interact with the Phase 2 General Ledger (F-005) module through defined GL auto-posting interfaces. All GL posting calls from Phase 1 modules write to the</w:t>
      </w:r>
      <w:r>
        <w:t xml:space="preserve"> </w:t>
      </w:r>
      <w:r>
        <w:rPr>
          <w:rStyle w:val="VerbatimChar"/>
        </w:rPr>
        <w:t xml:space="preserve">tbl_gl_entries</w:t>
      </w:r>
      <w:r>
        <w:t xml:space="preserve"> </w:t>
      </w:r>
      <w:r>
        <w:t xml:space="preserve">table and are consumed by the General Ledger module when Phase 2 is deployed.</w:t>
      </w:r>
    </w:p>
    <w:p>
      <w:pPr>
        <w:pStyle w:val="BodyText"/>
      </w:pPr>
      <w:r>
        <w:t xml:space="preserve">The system interfaces with three external systems:</w:t>
      </w:r>
    </w:p>
    <w:p>
      <w:pPr>
        <w:pStyle w:val="Compact"/>
        <w:numPr>
          <w:ilvl w:val="0"/>
          <w:numId w:val="1005"/>
        </w:numPr>
      </w:pPr>
      <w:r>
        <w:rPr>
          <w:b/>
          <w:bCs/>
        </w:rPr>
        <w:t xml:space="preserve">URA EFRIS API</w:t>
      </w:r>
      <w:r>
        <w:t xml:space="preserve"> </w:t>
      </w:r>
      <w:r>
        <w:t xml:space="preserve">— real-time fiscal document submission for every commercial invoice and POS receipt (</w:t>
      </w:r>
      <w:r>
        <w:rPr>
          <w:rStyle w:val="VerbatimChar"/>
        </w:rPr>
        <w:t xml:space="preserve">[CONTEXT-GAP: GAP-001]</w:t>
      </w:r>
      <w:r>
        <w:t xml:space="preserve"> </w:t>
      </w:r>
      <w:r>
        <w:t xml:space="preserve">— sandbox credentials pending).</w:t>
      </w:r>
    </w:p>
    <w:p>
      <w:pPr>
        <w:pStyle w:val="Compact"/>
        <w:numPr>
          <w:ilvl w:val="0"/>
          <w:numId w:val="1005"/>
        </w:numPr>
      </w:pPr>
      <w:r>
        <w:rPr>
          <w:b/>
          <w:bCs/>
        </w:rPr>
        <w:t xml:space="preserve">MTN MoMo Business API</w:t>
      </w:r>
      <w:r>
        <w:t xml:space="preserve"> </w:t>
      </w:r>
      <w:r>
        <w:t xml:space="preserve">— mobile money payment collection and remittance processing (</w:t>
      </w:r>
      <w:r>
        <w:rPr>
          <w:rStyle w:val="VerbatimChar"/>
        </w:rPr>
        <w:t xml:space="preserve">[CONTEXT-GAP: GAP-002]</w:t>
      </w:r>
      <w:r>
        <w:t xml:space="preserve">).</w:t>
      </w:r>
    </w:p>
    <w:p>
      <w:pPr>
        <w:pStyle w:val="Compact"/>
        <w:numPr>
          <w:ilvl w:val="0"/>
          <w:numId w:val="1005"/>
        </w:numPr>
      </w:pPr>
      <w:r>
        <w:rPr>
          <w:b/>
          <w:bCs/>
        </w:rPr>
        <w:t xml:space="preserve">Airtel Money API</w:t>
      </w:r>
      <w:r>
        <w:t xml:space="preserve"> </w:t>
      </w:r>
      <w:r>
        <w:t xml:space="preserve">— mobile money payment collection, dual-provider redundancy (</w:t>
      </w:r>
      <w:r>
        <w:rPr>
          <w:rStyle w:val="VerbatimChar"/>
        </w:rPr>
        <w:t xml:space="preserve">[CONTEXT-GAP: GAP-003]</w:t>
      </w:r>
      <w:r>
        <w:t xml:space="preserve">).</w:t>
      </w:r>
    </w:p>
    <w:bookmarkEnd w:id="32"/>
    <w:bookmarkStart w:id="33" w:name="X8a79d0d6a0ced62c3451ef7400d041837550cfe"/>
    <w:p>
      <w:pPr>
        <w:pStyle w:val="Heading2"/>
      </w:pPr>
      <w:r>
        <w:t xml:space="preserve">2.2 Product Functions</w:t>
      </w:r>
    </w:p>
    <w:p>
      <w:pPr>
        <w:pStyle w:val="FirstParagraph"/>
      </w:pPr>
      <w:r>
        <w:t xml:space="preserve">Phase 1 delivers four primary functional areas:</w:t>
      </w:r>
    </w:p>
    <w:p>
      <w:pPr>
        <w:pStyle w:val="Compact"/>
        <w:numPr>
          <w:ilvl w:val="0"/>
          <w:numId w:val="1006"/>
        </w:numPr>
      </w:pPr>
      <w:r>
        <w:rPr>
          <w:b/>
          <w:bCs/>
        </w:rPr>
        <w:t xml:space="preserve">Sales and Distribution (F-001):</w:t>
      </w:r>
      <w:r>
        <w:t xml:space="preserve"> </w:t>
      </w:r>
      <w:r>
        <w:t xml:space="preserve">Complete order-to-cash lifecycle — invoice creation through payment collection — with EFRIS fiscal compliance and GL auto-posting.</w:t>
      </w:r>
    </w:p>
    <w:p>
      <w:pPr>
        <w:pStyle w:val="Compact"/>
        <w:numPr>
          <w:ilvl w:val="0"/>
          <w:numId w:val="1006"/>
        </w:numPr>
      </w:pPr>
      <w:r>
        <w:rPr>
          <w:b/>
          <w:bCs/>
        </w:rPr>
        <w:t xml:space="preserve">Point of Sale (F-002):</w:t>
      </w:r>
      <w:r>
        <w:t xml:space="preserve"> </w:t>
      </w:r>
      <w:r>
        <w:t xml:space="preserve">Three POS contexts (factory gate, distribution centre, agent checkout) with offline capability, multi-payment, and EFRIS receipts.</w:t>
      </w:r>
    </w:p>
    <w:p>
      <w:pPr>
        <w:pStyle w:val="Compact"/>
        <w:numPr>
          <w:ilvl w:val="0"/>
          <w:numId w:val="1006"/>
        </w:numPr>
      </w:pPr>
      <w:r>
        <w:rPr>
          <w:b/>
          <w:bCs/>
        </w:rPr>
        <w:t xml:space="preserve">Inventory and Warehouse Management (F-003):</w:t>
      </w:r>
      <w:r>
        <w:t xml:space="preserve"> </w:t>
      </w:r>
      <w:r>
        <w:t xml:space="preserve">Multi-location stock management with batch/expiry tracking, FEFO enforcement, and dual-track inventory separation.</w:t>
      </w:r>
    </w:p>
    <w:p>
      <w:pPr>
        <w:pStyle w:val="Compact"/>
        <w:numPr>
          <w:ilvl w:val="0"/>
          <w:numId w:val="1006"/>
        </w:numPr>
      </w:pPr>
      <w:r>
        <w:rPr>
          <w:b/>
          <w:bCs/>
        </w:rPr>
        <w:t xml:space="preserve">Agent Distribution Management (F-004):</w:t>
      </w:r>
      <w:r>
        <w:t xml:space="preserve"> </w:t>
      </w:r>
      <w:r>
        <w:t xml:space="preserve">1,071-agent field network management with virtual stock stores, real-time cash balance tracking, and FIFO remittance allocation.</w:t>
      </w:r>
    </w:p>
    <w:bookmarkEnd w:id="33"/>
    <w:bookmarkStart w:id="34" w:name="Xf635d386203d9c4ee88de6b64be09b68e35e0a2"/>
    <w:p>
      <w:pPr>
        <w:pStyle w:val="Heading2"/>
      </w:pPr>
      <w:r>
        <w:t xml:space="preserve">2.3 User Classes and Characteristics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Class</w:t>
            </w:r>
          </w:p>
        </w:tc>
        <w:tc>
          <w:tcPr/>
          <w:p>
            <w:pPr>
              <w:pStyle w:val="Compact"/>
            </w:pPr>
            <w:r>
              <w:t xml:space="preserve">Count</w:t>
            </w:r>
          </w:p>
        </w:tc>
        <w:tc>
          <w:tcPr/>
          <w:p>
            <w:pPr>
              <w:pStyle w:val="Compact"/>
            </w:pPr>
            <w:r>
              <w:t xml:space="preserve">Technical Literacy</w:t>
            </w:r>
          </w:p>
        </w:tc>
        <w:tc>
          <w:tcPr/>
          <w:p>
            <w:pPr>
              <w:pStyle w:val="Compact"/>
            </w:pPr>
            <w:r>
              <w:t xml:space="preserve">Primary Phase 1 Interaction</w:t>
            </w:r>
          </w:p>
        </w:tc>
      </w:tr>
      <w:tr>
        <w:tc>
          <w:tcPr/>
          <w:p>
            <w:pPr>
              <w:pStyle w:val="Compact"/>
            </w:pPr>
            <w:r>
              <w:t xml:space="preserve">Sales Manager</w:t>
            </w:r>
          </w:p>
        </w:tc>
        <w:tc>
          <w:tcPr/>
          <w:p>
            <w:pPr>
              <w:pStyle w:val="Compact"/>
            </w:pPr>
            <w:r>
              <w:t xml:space="preserve">1</w:t>
            </w:r>
          </w:p>
        </w:tc>
        <w:tc>
          <w:tcPr/>
          <w:p>
            <w:pPr>
              <w:pStyle w:val="Compact"/>
            </w:pPr>
            <w:r>
              <w:t xml:space="preserve">Proficient</w:t>
            </w:r>
          </w:p>
        </w:tc>
        <w:tc>
          <w:tcPr/>
          <w:p>
            <w:pPr>
              <w:pStyle w:val="Compact"/>
            </w:pPr>
            <w:r>
              <w:t xml:space="preserve">Invoice approval, credit override, sales reports</w:t>
            </w:r>
          </w:p>
        </w:tc>
      </w:tr>
      <w:tr>
        <w:tc>
          <w:tcPr/>
          <w:p>
            <w:pPr>
              <w:pStyle w:val="Compact"/>
            </w:pPr>
            <w:r>
              <w:t xml:space="preserve">Cashier (factory gate / distribution centre)</w:t>
            </w:r>
          </w:p>
        </w:tc>
        <w:tc>
          <w:tcPr/>
          <w:p>
            <w:pPr>
              <w:pStyle w:val="Compact"/>
            </w:pPr>
            <w:r>
              <w:t xml:space="preserve">~5</w:t>
            </w:r>
          </w:p>
        </w:tc>
        <w:tc>
          <w:tcPr/>
          <w:p>
            <w:pPr>
              <w:pStyle w:val="Compact"/>
            </w:pPr>
            <w:r>
              <w:t xml:space="preserve">Basic</w:t>
            </w:r>
          </w:p>
        </w:tc>
        <w:tc>
          <w:tcPr/>
          <w:p>
            <w:pPr>
              <w:pStyle w:val="Compact"/>
            </w:pPr>
            <w:r>
              <w:t xml:space="preserve">POS — cash sales, receipt printing</w:t>
            </w:r>
          </w:p>
        </w:tc>
      </w:tr>
      <w:tr>
        <w:tc>
          <w:tcPr/>
          <w:p>
            <w:pPr>
              <w:pStyle w:val="Compact"/>
            </w:pPr>
            <w:r>
              <w:t xml:space="preserve">Accounts Assistant</w:t>
            </w:r>
          </w:p>
        </w:tc>
        <w:tc>
          <w:tcPr/>
          <w:p>
            <w:pPr>
              <w:pStyle w:val="Compact"/>
            </w:pPr>
            <w:r>
              <w:t xml:space="preserve">~8</w:t>
            </w:r>
          </w:p>
        </w:tc>
        <w:tc>
          <w:tcPr/>
          <w:p>
            <w:pPr>
              <w:pStyle w:val="Compact"/>
            </w:pPr>
            <w:r>
              <w:t xml:space="preserve">Basic-Proficient</w:t>
            </w:r>
          </w:p>
        </w:tc>
        <w:tc>
          <w:tcPr/>
          <w:p>
            <w:pPr>
              <w:pStyle w:val="Compact"/>
            </w:pPr>
            <w:r>
              <w:t xml:space="preserve">Invoice creation, credit note workflow</w:t>
            </w:r>
          </w:p>
        </w:tc>
      </w:tr>
      <w:tr>
        <w:tc>
          <w:tcPr/>
          <w:p>
            <w:pPr>
              <w:pStyle w:val="Compact"/>
            </w:pPr>
            <w:r>
              <w:t xml:space="preserve">Store Manager</w:t>
            </w:r>
          </w:p>
        </w:tc>
        <w:tc>
          <w:tcPr/>
          <w:p>
            <w:pPr>
              <w:pStyle w:val="Compact"/>
            </w:pPr>
            <w:r>
              <w:t xml:space="preserve">1</w:t>
            </w:r>
          </w:p>
        </w:tc>
        <w:tc>
          <w:tcPr/>
          <w:p>
            <w:pPr>
              <w:pStyle w:val="Compact"/>
            </w:pPr>
            <w:r>
              <w:t xml:space="preserve">Basic</w:t>
            </w:r>
          </w:p>
        </w:tc>
        <w:tc>
          <w:tcPr/>
          <w:p>
            <w:pPr>
              <w:pStyle w:val="Compact"/>
            </w:pPr>
            <w:r>
              <w:t xml:space="preserve">Stock issuance, transfers, agent stock</w:t>
            </w:r>
          </w:p>
        </w:tc>
      </w:tr>
      <w:tr>
        <w:tc>
          <w:tcPr/>
          <w:p>
            <w:pPr>
              <w:pStyle w:val="Compact"/>
            </w:pPr>
            <w:r>
              <w:t xml:space="preserve">Warehouse Staff</w:t>
            </w:r>
          </w:p>
        </w:tc>
        <w:tc>
          <w:tcPr/>
          <w:p>
            <w:pPr>
              <w:pStyle w:val="Compact"/>
            </w:pPr>
            <w:r>
              <w:t xml:space="preserve">~15</w:t>
            </w:r>
          </w:p>
        </w:tc>
        <w:tc>
          <w:tcPr/>
          <w:p>
            <w:pPr>
              <w:pStyle w:val="Compact"/>
            </w:pPr>
            <w:r>
              <w:t xml:space="preserve">Basic</w:t>
            </w:r>
          </w:p>
        </w:tc>
        <w:tc>
          <w:tcPr/>
          <w:p>
            <w:pPr>
              <w:pStyle w:val="Compact"/>
            </w:pPr>
            <w:r>
              <w:t xml:space="preserve">Stock receipt, physical count, transfers</w:t>
            </w:r>
          </w:p>
        </w:tc>
      </w:tr>
      <w:tr>
        <w:tc>
          <w:tcPr/>
          <w:p>
            <w:pPr>
              <w:pStyle w:val="Compact"/>
            </w:pPr>
            <w:r>
              <w:t xml:space="preserve">Field Sales Agent</w:t>
            </w:r>
          </w:p>
        </w:tc>
        <w:tc>
          <w:tcPr/>
          <w:p>
            <w:pPr>
              <w:pStyle w:val="Compact"/>
            </w:pPr>
            <w:r>
              <w:t xml:space="preserve">1,071</w:t>
            </w:r>
          </w:p>
        </w:tc>
        <w:tc>
          <w:tcPr/>
          <w:p>
            <w:pPr>
              <w:pStyle w:val="Compact"/>
            </w:pPr>
            <w:r>
              <w:t xml:space="preserve">Smartphone-literate</w:t>
            </w:r>
          </w:p>
        </w:tc>
        <w:tc>
          <w:tcPr/>
          <w:p>
            <w:pPr>
              <w:pStyle w:val="Compact"/>
            </w:pPr>
            <w:r>
              <w:t xml:space="preserve">Sales Agent App — POS, remittance, commission</w:t>
            </w:r>
          </w:p>
        </w:tc>
      </w:tr>
      <w:tr>
        <w:tc>
          <w:tcPr/>
          <w:p>
            <w:pPr>
              <w:pStyle w:val="Compact"/>
            </w:pPr>
            <w:r>
              <w:t xml:space="preserve">Sales and Marketing Manager</w:t>
            </w:r>
          </w:p>
        </w:tc>
        <w:tc>
          <w:tcPr/>
          <w:p>
            <w:pPr>
              <w:pStyle w:val="Compact"/>
            </w:pPr>
            <w:r>
              <w:t xml:space="preserve">1</w:t>
            </w:r>
          </w:p>
        </w:tc>
        <w:tc>
          <w:tcPr/>
          <w:p>
            <w:pPr>
              <w:pStyle w:val="Compact"/>
            </w:pPr>
            <w:r>
              <w:t xml:space="preserve">Proficient</w:t>
            </w:r>
          </w:p>
        </w:tc>
        <w:tc>
          <w:tcPr/>
          <w:p>
            <w:pPr>
              <w:pStyle w:val="Compact"/>
            </w:pPr>
            <w:r>
              <w:t xml:space="preserve">Performance reports, agent management</w:t>
            </w:r>
          </w:p>
        </w:tc>
      </w:tr>
      <w:tr>
        <w:tc>
          <w:tcPr/>
          <w:p>
            <w:pPr>
              <w:pStyle w:val="Compact"/>
            </w:pPr>
            <w:r>
              <w:t xml:space="preserve">Finance Director</w:t>
            </w:r>
          </w:p>
        </w:tc>
        <w:tc>
          <w:tcPr/>
          <w:p>
            <w:pPr>
              <w:pStyle w:val="Compact"/>
            </w:pPr>
            <w:r>
              <w:t xml:space="preserve">1</w:t>
            </w:r>
          </w:p>
        </w:tc>
        <w:tc>
          <w:tcPr/>
          <w:p>
            <w:pPr>
              <w:pStyle w:val="Compact"/>
            </w:pPr>
            <w:r>
              <w:t xml:space="preserve">Proficient</w:t>
            </w:r>
          </w:p>
        </w:tc>
        <w:tc>
          <w:tcPr/>
          <w:p>
            <w:pPr>
              <w:pStyle w:val="Compact"/>
            </w:pPr>
            <w:r>
              <w:t xml:space="preserve">GL posting review, commission approval</w:t>
            </w:r>
          </w:p>
        </w:tc>
      </w:tr>
      <w:tr>
        <w:tc>
          <w:tcPr/>
          <w:p>
            <w:pPr>
              <w:pStyle w:val="Compact"/>
            </w:pPr>
            <w:r>
              <w:t xml:space="preserve">BIRDC Director</w:t>
            </w:r>
          </w:p>
        </w:tc>
        <w:tc>
          <w:tcPr/>
          <w:p>
            <w:pPr>
              <w:pStyle w:val="Compact"/>
            </w:pPr>
            <w:r>
              <w:t xml:space="preserve">1</w:t>
            </w:r>
          </w:p>
        </w:tc>
        <w:tc>
          <w:tcPr/>
          <w:p>
            <w:pPr>
              <w:pStyle w:val="Compact"/>
            </w:pPr>
            <w:r>
              <w:t xml:space="preserve">Basic smartphone</w:t>
            </w:r>
          </w:p>
        </w:tc>
        <w:tc>
          <w:tcPr/>
          <w:p>
            <w:pPr>
              <w:pStyle w:val="Compact"/>
            </w:pPr>
            <w:r>
              <w:t xml:space="preserve">Executive dashboard, daily sales notification</w:t>
            </w:r>
          </w:p>
        </w:tc>
      </w:tr>
    </w:tbl>
    <w:p>
      <w:pPr>
        <w:pStyle w:val="BodyText"/>
      </w:pPr>
      <w:r>
        <w:rPr>
          <w:b/>
          <w:bCs/>
        </w:rPr>
        <w:t xml:space="preserve">DC-001 constraint:</w:t>
      </w:r>
      <w:r>
        <w:t xml:space="preserve"> </w:t>
      </w:r>
      <w:r>
        <w:t xml:space="preserve">Prossy (factory gate cashier, S4 education, basic smartphone user) must complete a cash sale from product search to printed receipt in under 90 seconds on first use, with no training.</w:t>
      </w:r>
    </w:p>
    <w:bookmarkEnd w:id="34"/>
    <w:bookmarkStart w:id="35" w:name="Xaefe62f46ff186db8804a1b836abdb1ffca5f29"/>
    <w:p>
      <w:pPr>
        <w:pStyle w:val="Heading2"/>
      </w:pPr>
      <w:r>
        <w:t xml:space="preserve">2.4 Operating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Server</w:t>
            </w:r>
          </w:p>
        </w:tc>
        <w:tc>
          <w:tcPr/>
          <w:p>
            <w:pPr>
              <w:pStyle w:val="Compact"/>
            </w:pPr>
            <w:r>
              <w:t xml:space="preserve">On-premise, BIRDC Nyaruzinga, Bushenyi, Uganda</w:t>
            </w:r>
          </w:p>
        </w:tc>
      </w:tr>
      <w:tr>
        <w:tc>
          <w:tcPr/>
          <w:p>
            <w:pPr>
              <w:pStyle w:val="Compact"/>
            </w:pPr>
            <w:r>
              <w:t xml:space="preserve">Web server</w:t>
            </w:r>
          </w:p>
        </w:tc>
        <w:tc>
          <w:tcPr/>
          <w:p>
            <w:pPr>
              <w:pStyle w:val="Compact"/>
            </w:pPr>
            <w:r>
              <w:t xml:space="preserve">Apache / Nginx, HTTPS</w:t>
            </w:r>
          </w:p>
        </w:tc>
      </w:tr>
      <w:tr>
        <w:tc>
          <w:tcPr/>
          <w:p>
            <w:pPr>
              <w:pStyle w:val="Compact"/>
            </w:pPr>
            <w:r>
              <w:t xml:space="preserve">Database</w:t>
            </w:r>
          </w:p>
        </w:tc>
        <w:tc>
          <w:tcPr/>
          <w:p>
            <w:pPr>
              <w:pStyle w:val="Compact"/>
            </w:pPr>
            <w:r>
              <w:t xml:space="preserve">MySQL 9.1 InnoDB, utf8mb4</w:t>
            </w:r>
          </w:p>
        </w:tc>
      </w:tr>
      <w:tr>
        <w:tc>
          <w:tcPr/>
          <w:p>
            <w:pPr>
              <w:pStyle w:val="Compact"/>
            </w:pPr>
            <w:r>
              <w:t xml:space="preserve">Backend</w:t>
            </w:r>
          </w:p>
        </w:tc>
        <w:tc>
          <w:tcPr/>
          <w:p>
            <w:pPr>
              <w:pStyle w:val="Compact"/>
            </w:pPr>
            <w:r>
              <w:t xml:space="preserve">PHP 8.3+,</w:t>
            </w:r>
            <w:r>
              <w:t xml:space="preserve"> </w:t>
            </w:r>
            <w:r>
              <w:rPr>
                <w:rStyle w:val="VerbatimChar"/>
              </w:rPr>
              <w:t xml:space="preserve">declare(strict_types=1)</w:t>
            </w:r>
            <w:r>
              <w:t xml:space="preserve">, PSR-4/PSR-12</w:t>
            </w:r>
          </w:p>
        </w:tc>
      </w:tr>
      <w:tr>
        <w:tc>
          <w:tcPr/>
          <w:p>
            <w:pPr>
              <w:pStyle w:val="Compact"/>
            </w:pPr>
            <w:r>
              <w:t xml:space="preserve">Frontend</w:t>
            </w:r>
          </w:p>
        </w:tc>
        <w:tc>
          <w:tcPr/>
          <w:p>
            <w:pPr>
              <w:pStyle w:val="Compact"/>
            </w:pPr>
            <w:r>
              <w:t xml:space="preserve">Bootstrap 5, Tabler admin UI, jQuery, Alpine.js</w:t>
            </w:r>
          </w:p>
        </w:tc>
      </w:tr>
      <w:tr>
        <w:tc>
          <w:tcPr/>
          <w:p>
            <w:pPr>
              <w:pStyle w:val="Compact"/>
            </w:pPr>
            <w:r>
              <w:t xml:space="preserve">Mobile</w:t>
            </w:r>
          </w:p>
        </w:tc>
        <w:tc>
          <w:tcPr/>
          <w:p>
            <w:pPr>
              <w:pStyle w:val="Compact"/>
            </w:pPr>
            <w:r>
              <w:t xml:space="preserve">Android 8.0 (API 26) minimum, Kotlin, Jetpack Compose</w:t>
            </w:r>
          </w:p>
        </w:tc>
      </w:tr>
      <w:tr>
        <w:tc>
          <w:tcPr/>
          <w:p>
            <w:pPr>
              <w:pStyle w:val="Compact"/>
            </w:pPr>
            <w:r>
              <w:t xml:space="preserve">Offline storage</w:t>
            </w:r>
          </w:p>
        </w:tc>
        <w:tc>
          <w:tcPr/>
          <w:p>
            <w:pPr>
              <w:pStyle w:val="Compact"/>
            </w:pPr>
            <w:r>
              <w:t xml:space="preserve">Android Room (SQLite), WorkManager background sync</w:t>
            </w:r>
          </w:p>
        </w:tc>
      </w:tr>
      <w:tr>
        <w:tc>
          <w:tcPr/>
          <w:p>
            <w:pPr>
              <w:pStyle w:val="Compact"/>
            </w:pPr>
            <w:r>
              <w:t xml:space="preserve">Connectivity</w:t>
            </w:r>
          </w:p>
        </w:tc>
        <w:tc>
          <w:tcPr/>
          <w:p>
            <w:pPr>
              <w:pStyle w:val="Compact"/>
            </w:pPr>
            <w:r>
              <w:t xml:space="preserve">LAN-wired for office terminals; 3G/4G for mobile; intermittent Bushenyi rural connectivity is the baseline assumption</w:t>
            </w:r>
          </w:p>
        </w:tc>
      </w:tr>
    </w:tbl>
    <w:bookmarkEnd w:id="35"/>
    <w:bookmarkStart w:id="36" w:name="X5d4bb3a454a24917f8aafccd60ad859b7e8eaec"/>
    <w:p>
      <w:pPr>
        <w:pStyle w:val="Heading2"/>
      </w:pPr>
      <w:r>
        <w:t xml:space="preserve">2.5 Design and Implementation Constraints</w:t>
      </w:r>
    </w:p>
    <w:p>
      <w:pPr>
        <w:pStyle w:val="FirstParagraph"/>
      </w:pPr>
      <w:r>
        <w:t xml:space="preserve">The following Design Covenants (DC-001 through DC-007) are binding on all Phase 1 requirements. No requirement may be designed or implemented in a way that violates any Design Covenant without written sign-off from the Finance Director and BIRDC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 ID</w:t>
            </w:r>
          </w:p>
        </w:tc>
        <w:tc>
          <w:tcPr/>
          <w:p>
            <w:pPr>
              <w:pStyle w:val="Compact"/>
            </w:pPr>
            <w:r>
              <w:t xml:space="preserve">Summary</w:t>
            </w:r>
          </w:p>
        </w:tc>
      </w:tr>
      <w:tr>
        <w:tc>
          <w:tcPr/>
          <w:p>
            <w:pPr>
              <w:pStyle w:val="Compact"/>
            </w:pPr>
            <w:r>
              <w:rPr>
                <w:b/>
                <w:bCs/>
              </w:rPr>
              <w:t xml:space="preserve">DC-001</w:t>
            </w:r>
          </w:p>
        </w:tc>
        <w:tc>
          <w:tcPr/>
          <w:p>
            <w:pPr>
              <w:pStyle w:val="Compact"/>
            </w:pPr>
            <w:r>
              <w:t xml:space="preserve">Zero mandatory training for routine operations — every daily-use screen is self-discoverable</w:t>
            </w:r>
          </w:p>
        </w:tc>
      </w:tr>
      <w:tr>
        <w:tc>
          <w:tcPr/>
          <w:p>
            <w:pPr>
              <w:pStyle w:val="Compact"/>
            </w:pPr>
            <w:r>
              <w:rPr>
                <w:b/>
                <w:bCs/>
              </w:rPr>
              <w:t xml:space="preserve">DC-002</w:t>
            </w:r>
          </w:p>
        </w:tc>
        <w:tc>
          <w:tcPr/>
          <w:p>
            <w:pPr>
              <w:pStyle w:val="Compact"/>
            </w:pPr>
            <w:r>
              <w:t xml:space="preserve">All business rules configurable via UI — no developer involvement for PAYE bands, commission rates, price lists, FEFO thresholds</w:t>
            </w:r>
          </w:p>
        </w:tc>
      </w:tr>
      <w:tr>
        <w:tc>
          <w:tcPr/>
          <w:p>
            <w:pPr>
              <w:pStyle w:val="Compact"/>
            </w:pPr>
            <w:r>
              <w:rPr>
                <w:b/>
                <w:bCs/>
              </w:rPr>
              <w:t xml:space="preserve">DC-003</w:t>
            </w:r>
          </w:p>
        </w:tc>
        <w:tc>
          <w:tcPr/>
          <w:p>
            <w:pPr>
              <w:pStyle w:val="Compact"/>
            </w:pPr>
            <w:r>
              <w:t xml:space="preserve">Every financial transaction creates an immutable audit trail automatically; 7-year retention enforced</w:t>
            </w:r>
          </w:p>
        </w:tc>
      </w:tr>
      <w:tr>
        <w:tc>
          <w:tcPr/>
          <w:p>
            <w:pPr>
              <w:pStyle w:val="Compact"/>
            </w:pPr>
            <w:r>
              <w:rPr>
                <w:b/>
                <w:bCs/>
              </w:rPr>
              <w:t xml:space="preserve">DC-004</w:t>
            </w:r>
          </w:p>
        </w:tc>
        <w:tc>
          <w:tcPr/>
          <w:p>
            <w:pPr>
              <w:pStyle w:val="Compact"/>
            </w:pPr>
            <w:r>
              <w:t xml:space="preserve">Dual-mode accounting — PIBID parliamentary and BIRDC IFRS simultaneously</w:t>
            </w:r>
          </w:p>
        </w:tc>
      </w:tr>
      <w:tr>
        <w:tc>
          <w:tcPr/>
          <w:p>
            <w:pPr>
              <w:pStyle w:val="Compact"/>
            </w:pPr>
            <w:r>
              <w:rPr>
                <w:b/>
                <w:bCs/>
              </w:rPr>
              <w:t xml:space="preserve">DC-005</w:t>
            </w:r>
          </w:p>
        </w:tc>
        <w:tc>
          <w:tcPr/>
          <w:p>
            <w:pPr>
              <w:pStyle w:val="Compact"/>
            </w:pPr>
            <w:r>
              <w:t xml:space="preserve">Offline-first where it matters — factory gate POS, Warehouse App, Sales Agent App must function fully offline</w:t>
            </w:r>
          </w:p>
        </w:tc>
      </w:tr>
      <w:tr>
        <w:tc>
          <w:tcPr/>
          <w:p>
            <w:pPr>
              <w:pStyle w:val="Compact"/>
            </w:pPr>
            <w:r>
              <w:rPr>
                <w:b/>
                <w:bCs/>
              </w:rPr>
              <w:t xml:space="preserve">DC-006</w:t>
            </w:r>
          </w:p>
        </w:tc>
        <w:tc>
          <w:tcPr/>
          <w:p>
            <w:pPr>
              <w:pStyle w:val="Compact"/>
            </w:pPr>
            <w:r>
              <w:t xml:space="preserve">Data sovereignty — all data stored on BIRDC's own servers; no SaaS vendor dependency</w:t>
            </w:r>
          </w:p>
        </w:tc>
      </w:tr>
      <w:tr>
        <w:tc>
          <w:tcPr/>
          <w:p>
            <w:pPr>
              <w:pStyle w:val="Compact"/>
            </w:pPr>
            <w:r>
              <w:rPr>
                <w:b/>
                <w:bCs/>
              </w:rPr>
              <w:t xml:space="preserve">DC-007</w:t>
            </w:r>
          </w:p>
        </w:tc>
        <w:tc>
          <w:tcPr/>
          <w:p>
            <w:pPr>
              <w:pStyle w:val="Compact"/>
            </w:pPr>
            <w:r>
              <w:t xml:space="preserve">Replicable by design — all BIRDC-specific rules in configuration tables, not code</w:t>
            </w:r>
          </w:p>
        </w:tc>
      </w:tr>
    </w:tbl>
    <w:bookmarkEnd w:id="36"/>
    <w:bookmarkStart w:id="37" w:name="X5445862ff77d16e7c47309f8483109c6dfb26fe"/>
    <w:p>
      <w:pPr>
        <w:pStyle w:val="Heading2"/>
      </w:pPr>
      <w:r>
        <w:t xml:space="preserve">2.6 Assumptions and Dependencies</w:t>
      </w:r>
    </w:p>
    <w:p>
      <w:pPr>
        <w:pStyle w:val="Compact"/>
        <w:numPr>
          <w:ilvl w:val="0"/>
          <w:numId w:val="1007"/>
        </w:numPr>
      </w:pPr>
      <w:r>
        <w:t xml:space="preserve">The Phase 2 General Ledger module (F-005) will be deployed in sequence. Phase 1 GL posting calls write to a staging table; the GL module activates them on Phase 2 deployment.</w:t>
      </w:r>
    </w:p>
    <w:p>
      <w:pPr>
        <w:pStyle w:val="Compact"/>
        <w:numPr>
          <w:ilvl w:val="0"/>
          <w:numId w:val="1007"/>
        </w:numPr>
      </w:pPr>
      <w:r>
        <w:t xml:space="preserve">EFRIS API sandbox credentials (</w:t>
      </w:r>
      <w:r>
        <w:rPr>
          <w:b/>
          <w:bCs/>
        </w:rPr>
        <w:t xml:space="preserve">GAP-001</w:t>
      </w:r>
      <w:r>
        <w:t xml:space="preserve">) will be provided by BIRDC IT before Phase 1 integration testing begins.</w:t>
      </w:r>
    </w:p>
    <w:p>
      <w:pPr>
        <w:pStyle w:val="Compact"/>
        <w:numPr>
          <w:ilvl w:val="0"/>
          <w:numId w:val="1007"/>
        </w:numPr>
      </w:pPr>
      <w:r>
        <w:t xml:space="preserve">MTN MoMo and Airtel Money API credentials (</w:t>
      </w:r>
      <w:r>
        <w:rPr>
          <w:b/>
          <w:bCs/>
        </w:rPr>
        <w:t xml:space="preserve">GAP-002</w:t>
      </w:r>
      <w:r>
        <w:t xml:space="preserve">,</w:t>
      </w:r>
      <w:r>
        <w:t xml:space="preserve"> </w:t>
      </w:r>
      <w:r>
        <w:rPr>
          <w:b/>
          <w:bCs/>
        </w:rPr>
        <w:t xml:space="preserve">GAP-003</w:t>
      </w:r>
      <w:r>
        <w:t xml:space="preserve">) will be provided before payment integration testing.</w:t>
      </w:r>
    </w:p>
    <w:p>
      <w:pPr>
        <w:pStyle w:val="Compact"/>
        <w:numPr>
          <w:ilvl w:val="0"/>
          <w:numId w:val="1007"/>
        </w:numPr>
      </w:pPr>
      <w:r>
        <w:t xml:space="preserve">80mm thermal receipt printers are available at all POS terminals and compatible with ESC/POS protocol.</w:t>
      </w:r>
    </w:p>
    <w:p>
      <w:pPr>
        <w:pStyle w:val="Compact"/>
        <w:numPr>
          <w:ilvl w:val="0"/>
          <w:numId w:val="1007"/>
        </w:numPr>
      </w:pPr>
      <w:r>
        <w:t xml:space="preserve">BIRDC's existing Chart of Accounts structure is available for GL account mapping (</w:t>
      </w:r>
      <w:r>
        <w:rPr>
          <w:b/>
          <w:bCs/>
        </w:rPr>
        <w:t xml:space="preserve">GAP-012</w:t>
      </w:r>
      <w:r>
        <w:t xml:space="preserve">).</w:t>
      </w:r>
    </w:p>
    <w:p>
      <w:pPr>
        <w:pStyle w:val="Compact"/>
        <w:numPr>
          <w:ilvl w:val="0"/>
          <w:numId w:val="1007"/>
        </w:numPr>
      </w:pPr>
      <w:r>
        <w:t xml:space="preserve">The legacy accounting data migration strategy (</w:t>
      </w:r>
      <w:r>
        <w:rPr>
          <w:b/>
          <w:bCs/>
        </w:rPr>
        <w:t xml:space="preserve">GAP-014</w:t>
      </w:r>
      <w:r>
        <w:t xml:space="preserve">) is resolved before go-live.</w:t>
      </w:r>
    </w:p>
    <w:bookmarkEnd w:id="37"/>
    <w:bookmarkStart w:id="38" w:name="Xf04dfff6fde9aed1348c3b3678d989eaa74b7c1"/>
    <w:p>
      <w:pPr>
        <w:pStyle w:val="Heading2"/>
      </w:pPr>
      <w:r>
        <w:t xml:space="preserve">2.7 Business Rules Summary</w:t>
      </w:r>
    </w:p>
    <w:p>
      <w:pPr>
        <w:pStyle w:val="FirstParagraph"/>
      </w:pPr>
      <w:r>
        <w:t xml:space="preserve">The following immutable business rules govern Phase 1 module behaviour. Violation of any rule by any system component is a critical defect.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 ID</w:t>
            </w:r>
          </w:p>
        </w:tc>
        <w:tc>
          <w:tcPr/>
          <w:p>
            <w:pPr>
              <w:pStyle w:val="Compact"/>
            </w:pPr>
            <w:r>
              <w:t xml:space="preserve">Summary</w:t>
            </w:r>
          </w:p>
        </w:tc>
        <w:tc>
          <w:tcPr/>
          <w:p>
            <w:pPr>
              <w:pStyle w:val="Compact"/>
            </w:pPr>
            <w:r>
              <w:t xml:space="preserve">Modules Affected</w:t>
            </w:r>
          </w:p>
        </w:tc>
      </w:tr>
      <w:tr>
        <w:tc>
          <w:tcPr/>
          <w:p>
            <w:pPr>
              <w:pStyle w:val="Compact"/>
            </w:pPr>
            <w:r>
              <w:rPr>
                <w:b/>
                <w:bCs/>
              </w:rPr>
              <w:t xml:space="preserve">BR-001</w:t>
            </w:r>
          </w:p>
        </w:tc>
        <w:tc>
          <w:tcPr/>
          <w:p>
            <w:pPr>
              <w:pStyle w:val="Compact"/>
            </w:pPr>
            <w:r>
              <w:t xml:space="preserve">Dual-Track Inventory Separation — warehouse and agent stock never merged</w:t>
            </w:r>
          </w:p>
        </w:tc>
        <w:tc>
          <w:tcPr/>
          <w:p>
            <w:pPr>
              <w:pStyle w:val="Compact"/>
            </w:pPr>
            <w:r>
              <w:t xml:space="preserve">F-003, F-004</w:t>
            </w:r>
          </w:p>
        </w:tc>
      </w:tr>
      <w:tr>
        <w:tc>
          <w:tcPr/>
          <w:p>
            <w:pPr>
              <w:pStyle w:val="Compact"/>
            </w:pPr>
            <w:r>
              <w:rPr>
                <w:b/>
                <w:bCs/>
              </w:rPr>
              <w:t xml:space="preserve">BR-002</w:t>
            </w:r>
          </w:p>
        </w:tc>
        <w:tc>
          <w:tcPr/>
          <w:p>
            <w:pPr>
              <w:pStyle w:val="Compact"/>
            </w:pPr>
            <w:r>
              <w:t xml:space="preserve">FIFO Remittance Allocation — stored procedure</w:t>
            </w:r>
            <w:r>
              <w:t xml:space="preserve"> </w:t>
            </w:r>
            <w:r>
              <w:rPr>
                <w:rStyle w:val="VerbatimChar"/>
              </w:rPr>
              <w:t xml:space="preserve">sp_apply_remittance_to_invoices</w:t>
            </w:r>
          </w:p>
        </w:tc>
        <w:tc>
          <w:tcPr/>
          <w:p>
            <w:pPr>
              <w:pStyle w:val="Compact"/>
            </w:pPr>
            <w:r>
              <w:t xml:space="preserve">F-004</w:t>
            </w:r>
          </w:p>
        </w:tc>
      </w:tr>
      <w:tr>
        <w:tc>
          <w:tcPr/>
          <w:p>
            <w:pPr>
              <w:pStyle w:val="Compact"/>
            </w:pPr>
            <w:r>
              <w:rPr>
                <w:b/>
                <w:bCs/>
              </w:rPr>
              <w:t xml:space="preserve">BR-003</w:t>
            </w:r>
          </w:p>
        </w:tc>
        <w:tc>
          <w:tcPr/>
          <w:p>
            <w:pPr>
              <w:pStyle w:val="Compact"/>
            </w:pPr>
            <w:r>
              <w:t xml:space="preserve">Segregation of Duties — enforced at API layer</w:t>
            </w:r>
          </w:p>
        </w:tc>
        <w:tc>
          <w:tcPr/>
          <w:p>
            <w:pPr>
              <w:pStyle w:val="Compact"/>
            </w:pPr>
            <w:r>
              <w:t xml:space="preserve">F-001, F-002, F-003, F-004</w:t>
            </w:r>
          </w:p>
        </w:tc>
      </w:tr>
      <w:tr>
        <w:tc>
          <w:tcPr/>
          <w:p>
            <w:pPr>
              <w:pStyle w:val="Compact"/>
            </w:pPr>
            <w:r>
              <w:rPr>
                <w:b/>
                <w:bCs/>
              </w:rPr>
              <w:t xml:space="preserve">BR-006</w:t>
            </w:r>
          </w:p>
        </w:tc>
        <w:tc>
          <w:tcPr/>
          <w:p>
            <w:pPr>
              <w:pStyle w:val="Compact"/>
            </w:pPr>
            <w:r>
              <w:t xml:space="preserve">Agent Stock Float Limit — issuance blocked if limit exceeded</w:t>
            </w:r>
          </w:p>
        </w:tc>
        <w:tc>
          <w:tcPr/>
          <w:p>
            <w:pPr>
              <w:pStyle w:val="Compact"/>
            </w:pPr>
            <w:r>
              <w:t xml:space="preserve">F-003, F-004</w:t>
            </w:r>
          </w:p>
        </w:tc>
      </w:tr>
      <w:tr>
        <w:tc>
          <w:tcPr/>
          <w:p>
            <w:pPr>
              <w:pStyle w:val="Compact"/>
            </w:pPr>
            <w:r>
              <w:rPr>
                <w:b/>
                <w:bCs/>
              </w:rPr>
              <w:t xml:space="preserve">BR-007</w:t>
            </w:r>
          </w:p>
        </w:tc>
        <w:tc>
          <w:tcPr/>
          <w:p>
            <w:pPr>
              <w:pStyle w:val="Compact"/>
            </w:pPr>
            <w:r>
              <w:t xml:space="preserve">FEFO Enforcement — automatic earliest-expiry batch selection</w:t>
            </w:r>
          </w:p>
        </w:tc>
        <w:tc>
          <w:tcPr/>
          <w:p>
            <w:pPr>
              <w:pStyle w:val="Compact"/>
            </w:pPr>
            <w:r>
              <w:t xml:space="preserve">F-001, F-002, F-003</w:t>
            </w:r>
          </w:p>
        </w:tc>
      </w:tr>
      <w:tr>
        <w:tc>
          <w:tcPr/>
          <w:p>
            <w:pPr>
              <w:pStyle w:val="Compact"/>
            </w:pPr>
            <w:r>
              <w:rPr>
                <w:b/>
                <w:bCs/>
              </w:rPr>
              <w:t xml:space="preserve">BR-009</w:t>
            </w:r>
          </w:p>
        </w:tc>
        <w:tc>
          <w:tcPr/>
          <w:p>
            <w:pPr>
              <w:pStyle w:val="Compact"/>
            </w:pPr>
            <w:r>
              <w:t xml:space="preserve">Sequential Numbering and Gap Detection — invoices, receipts, JEs</w:t>
            </w:r>
          </w:p>
        </w:tc>
        <w:tc>
          <w:tcPr/>
          <w:p>
            <w:pPr>
              <w:pStyle w:val="Compact"/>
            </w:pPr>
            <w:r>
              <w:t xml:space="preserve">F-001, F-002</w:t>
            </w:r>
          </w:p>
        </w:tc>
      </w:tr>
      <w:tr>
        <w:tc>
          <w:tcPr/>
          <w:p>
            <w:pPr>
              <w:pStyle w:val="Compact"/>
            </w:pPr>
            <w:r>
              <w:rPr>
                <w:b/>
                <w:bCs/>
              </w:rPr>
              <w:t xml:space="preserve">BR-013</w:t>
            </w:r>
          </w:p>
        </w:tc>
        <w:tc>
          <w:tcPr/>
          <w:p>
            <w:pPr>
              <w:pStyle w:val="Compact"/>
            </w:pPr>
            <w:r>
              <w:t xml:space="preserve">GL Hash Chain Integrity</w:t>
            </w:r>
          </w:p>
        </w:tc>
        <w:tc>
          <w:tcPr/>
          <w:p>
            <w:pPr>
              <w:pStyle w:val="Compact"/>
            </w:pPr>
            <w:r>
              <w:t xml:space="preserve">F-001, F-002, F-003, F-004</w:t>
            </w:r>
          </w:p>
        </w:tc>
      </w:tr>
      <w:tr>
        <w:tc>
          <w:tcPr/>
          <w:p>
            <w:pPr>
              <w:pStyle w:val="Compact"/>
            </w:pPr>
            <w:r>
              <w:rPr>
                <w:b/>
                <w:bCs/>
              </w:rPr>
              <w:t xml:space="preserve">BR-015</w:t>
            </w:r>
          </w:p>
        </w:tc>
        <w:tc>
          <w:tcPr/>
          <w:p>
            <w:pPr>
              <w:pStyle w:val="Compact"/>
            </w:pPr>
            <w:r>
              <w:t xml:space="preserve">Commission on Verified Sales Only</w:t>
            </w:r>
          </w:p>
        </w:tc>
        <w:tc>
          <w:tcPr/>
          <w:p>
            <w:pPr>
              <w:pStyle w:val="Compact"/>
            </w:pPr>
            <w:r>
              <w:t xml:space="preserve">F-004</w:t>
            </w:r>
          </w:p>
        </w:tc>
      </w:tr>
    </w:tbl>
    <w:bookmarkEnd w:id="38"/>
    <w:bookmarkEnd w:id="39"/>
    <w:bookmarkStart w:id="52" w:name="X5dda2b241dc00e3ec14c03b46419d3c5696914f"/>
    <w:p>
      <w:pPr>
        <w:pStyle w:val="Heading1"/>
      </w:pPr>
      <w:r>
        <w:t xml:space="preserve">3. Specific Requirements</w:t>
      </w:r>
    </w:p>
    <w:bookmarkStart w:id="42" w:name="X0138736cf531babc867ae891d8068fb1b1b2be8"/>
    <w:p>
      <w:pPr>
        <w:pStyle w:val="Heading2"/>
      </w:pPr>
      <w:r>
        <w:t xml:space="preserve">3.1 Module F-001: Sales and Distribution</w:t>
      </w:r>
    </w:p>
    <w:bookmarkStart w:id="40" w:name="Xa31bfdb7b015d0b7a066a82f823936ab477cb0a"/>
    <w:p>
      <w:pPr>
        <w:pStyle w:val="Heading3"/>
      </w:pPr>
      <w:r>
        <w:t xml:space="preserve">3.1.1 Overview</w:t>
      </w:r>
    </w:p>
    <w:p>
      <w:pPr>
        <w:pStyle w:val="FirstParagraph"/>
      </w:pPr>
      <w:r>
        <w:t xml:space="preserve">Module F-001 covers the complete order-to-cash cycle for Tooke products sold through BIRDC's commercial channels. It manages invoice lifecycle, EFRIS real-time fiscal submission, GL auto-posting, credit management, pricing, and sales performance tracking for all sales channels including direct sales to institutions and distributors.</w:t>
      </w:r>
    </w:p>
    <w:bookmarkEnd w:id="40"/>
    <w:bookmarkStart w:id="41" w:name="Xf4830900f69927228a816b9a60c9e2247987c2c"/>
    <w:p>
      <w:pPr>
        <w:pStyle w:val="Heading3"/>
      </w:pPr>
      <w:r>
        <w:t xml:space="preserve">3.1.2 Functional Requirements — Sales and Distribution</w:t>
      </w:r>
    </w:p>
    <w:p>
      <w:r>
        <w:pict>
          <v:rect style="width:0;height:1.5pt" o:hralign="center" o:hrstd="t" o:hr="t"/>
        </w:pict>
      </w:r>
    </w:p>
    <w:p>
      <w:pPr>
        <w:pStyle w:val="FirstParagraph"/>
      </w:pPr>
      <w:r>
        <w:rPr>
          <w:b/>
          <w:bCs/>
        </w:rPr>
        <w:t xml:space="preserve">FR-SAL-001</w:t>
      </w:r>
      <w:r>
        <w:t xml:space="preserve"> </w:t>
      </w:r>
      <w:r>
        <w:t xml:space="preserve">— Invoice Creation</w:t>
      </w:r>
    </w:p>
    <w:p>
      <w:pPr>
        <w:pStyle w:val="BodyText"/>
      </w:pPr>
      <w:r>
        <w:t xml:space="preserve">When a Sales Officer or Accounts Assistant initiates a new invoice, the system shall create an invoice record in</w:t>
      </w:r>
      <w:r>
        <w:t xml:space="preserve"> </w:t>
      </w:r>
      <w:r>
        <w:rPr>
          <w:rStyle w:val="VerbatimChar"/>
        </w:rPr>
        <w:t xml:space="preserve">draft</w:t>
      </w:r>
      <w:r>
        <w:t xml:space="preserve"> </w:t>
      </w:r>
      <w:r>
        <w:t xml:space="preserve">status with a unique sequential identifier in the format</w:t>
      </w:r>
      <w:r>
        <w:t xml:space="preserve"> </w:t>
      </w:r>
      <w:r>
        <w:rPr>
          <w:rStyle w:val="VerbatimChar"/>
        </w:rPr>
        <w:t xml:space="preserve">INV-YYYY-NNNN</w:t>
      </w:r>
      <w:r>
        <w:t xml:space="preserve"> </w:t>
      </w:r>
      <w:r>
        <w:t xml:space="preserve">(where YYYY is the calendar year and NNNN is a zero-padded sequential number within the year), pre-populate the invoice date with the current server date, and require the operator to select a customer from the registered customer list before any line items can be added.</w:t>
      </w:r>
    </w:p>
    <w:p>
      <w:pPr>
        <w:pStyle w:val="BodyText"/>
      </w:pPr>
      <w:r>
        <w:rPr>
          <w:i/>
          <w:iCs/>
        </w:rPr>
        <w:t xml:space="preserve">Traceability: BG-001 (financial integrity), BR-009 (sequential numbering).</w:t>
      </w:r>
    </w:p>
    <w:p>
      <w:r>
        <w:pict>
          <v:rect style="width:0;height:1.5pt" o:hralign="center" o:hrstd="t" o:hr="t"/>
        </w:pict>
      </w:r>
    </w:p>
    <w:p>
      <w:pPr>
        <w:pStyle w:val="FirstParagraph"/>
      </w:pPr>
      <w:r>
        <w:rPr>
          <w:b/>
          <w:bCs/>
        </w:rPr>
        <w:t xml:space="preserve">FR-SAL-002</w:t>
      </w:r>
      <w:r>
        <w:t xml:space="preserve"> </w:t>
      </w:r>
      <w:r>
        <w:t xml:space="preserve">— Invoice Line Item Entry</w:t>
      </w:r>
    </w:p>
    <w:p>
      <w:pPr>
        <w:pStyle w:val="BodyText"/>
      </w:pPr>
      <w:r>
        <w:t xml:space="preserve">When an operator adds a line item to a draft invoice, the system shall require selection of a product from the stock catalogue, auto-populate the unit price from the price list assigned to the customer (wholesale, retail, export, or institutional), allow the operator to enter the quantity in the product's sales UOM, calculate the line total as quantity multiplied by unit price, and display the cumulative invoice total after each line addition.</w:t>
      </w:r>
    </w:p>
    <w:p>
      <w:pPr>
        <w:pStyle w:val="BodyText"/>
      </w:pPr>
      <w:r>
        <w:rPr>
          <w:i/>
          <w:iCs/>
        </w:rPr>
        <w:t xml:space="preserve">Traceability: BG-001, DC-001 (self-discoverable).</w:t>
      </w:r>
    </w:p>
    <w:p>
      <w:r>
        <w:pict>
          <v:rect style="width:0;height:1.5pt" o:hralign="center" o:hrstd="t" o:hr="t"/>
        </w:pict>
      </w:r>
    </w:p>
    <w:p>
      <w:pPr>
        <w:pStyle w:val="FirstParagraph"/>
      </w:pPr>
      <w:r>
        <w:rPr>
          <w:b/>
          <w:bCs/>
        </w:rPr>
        <w:t xml:space="preserve">FR-SAL-003</w:t>
      </w:r>
      <w:r>
        <w:t xml:space="preserve"> </w:t>
      </w:r>
      <w:r>
        <w:t xml:space="preserve">— Price List Assignment and Override</w:t>
      </w:r>
    </w:p>
    <w:p>
      <w:pPr>
        <w:pStyle w:val="BodyText"/>
      </w:pPr>
      <w:r>
        <w:t xml:space="preserve">When a customer is selected on an invoice, the system shall automatically apply the price list assigned to that customer's account. When no price list is assigned to the customer, the system shall default to the retail price list. The system shall permit a user with the</w:t>
      </w:r>
      <w:r>
        <w:t xml:space="preserve"> </w:t>
      </w:r>
      <w:r>
        <w:rPr>
          <w:rStyle w:val="VerbatimChar"/>
        </w:rPr>
        <w:t xml:space="preserve">sales_manager</w:t>
      </w:r>
      <w:r>
        <w:t xml:space="preserve"> </w:t>
      </w:r>
      <w:r>
        <w:t xml:space="preserve">role to override the unit price on any line item; all price overrides shall be logged in the audit trail with the original price, overridden price, and the overriding user's identity.</w:t>
      </w:r>
    </w:p>
    <w:p>
      <w:pPr>
        <w:pStyle w:val="BodyText"/>
      </w:pPr>
      <w:r>
        <w:rPr>
          <w:i/>
          <w:iCs/>
        </w:rPr>
        <w:t xml:space="preserve">Traceability: BG-001, DC-002 (configurable rules), DC-003 (audit trail).</w:t>
      </w:r>
    </w:p>
    <w:p>
      <w:r>
        <w:pict>
          <v:rect style="width:0;height:1.5pt" o:hralign="center" o:hrstd="t" o:hr="t"/>
        </w:pict>
      </w:r>
    </w:p>
    <w:p>
      <w:pPr>
        <w:pStyle w:val="FirstParagraph"/>
      </w:pPr>
      <w:r>
        <w:rPr>
          <w:b/>
          <w:bCs/>
        </w:rPr>
        <w:t xml:space="preserve">FR-SAL-004</w:t>
      </w:r>
      <w:r>
        <w:t xml:space="preserve"> </w:t>
      </w:r>
      <w:r>
        <w:t xml:space="preserve">— Multiple Price Lists</w:t>
      </w:r>
    </w:p>
    <w:p>
      <w:pPr>
        <w:pStyle w:val="BodyText"/>
      </w:pPr>
      <w:r>
        <w:t xml:space="preserve">When the Finance Director or Sales Manager configures a price list, the system shall support unlimited named price lists (at minimum: Wholesale, Retail, Export, Institutional), allow each price list to define a price per product in UGX or any configured currency, and allow assignment of a default price list to any customer account.</w:t>
      </w:r>
      <w:r>
        <w:t xml:space="preserve"> </w:t>
      </w:r>
      <w:r>
        <w:rPr>
          <w:rStyle w:val="VerbatimChar"/>
        </w:rPr>
        <w:t xml:space="preserve">[CONTEXT-GAP: GAP-001]</w:t>
      </w:r>
      <w:r>
        <w:t xml:space="preserve"> </w:t>
      </w:r>
      <w:r>
        <w:t xml:space="preserve">— EFRIS requires UGX as the functional currency for domestic invoices; confirm handling of USD/EUR export invoices with URA.</w:t>
      </w:r>
    </w:p>
    <w:p>
      <w:pPr>
        <w:pStyle w:val="BodyText"/>
      </w:pPr>
      <w:r>
        <w:rPr>
          <w:i/>
          <w:iCs/>
        </w:rPr>
        <w:t xml:space="preserve">Traceability: BG-002 (commercial discipline), DC-002.</w:t>
      </w:r>
    </w:p>
    <w:p>
      <w:r>
        <w:pict>
          <v:rect style="width:0;height:1.5pt" o:hralign="center" o:hrstd="t" o:hr="t"/>
        </w:pict>
      </w:r>
    </w:p>
    <w:p>
      <w:pPr>
        <w:pStyle w:val="FirstParagraph"/>
      </w:pPr>
      <w:r>
        <w:rPr>
          <w:b/>
          <w:bCs/>
        </w:rPr>
        <w:t xml:space="preserve">FR-SAL-005</w:t>
      </w:r>
      <w:r>
        <w:t xml:space="preserve"> </w:t>
      </w:r>
      <w:r>
        <w:t xml:space="preserve">— Time-Bound Promotional Pricing</w:t>
      </w:r>
    </w:p>
    <w:p>
      <w:pPr>
        <w:pStyle w:val="BodyText"/>
      </w:pPr>
      <w:r>
        <w:t xml:space="preserve">When a promotional price is configured for a product with a start date and end date, the system shall automatically apply the promotional price instead of the standard list price for invoices dated within the promotion period, and revert to the standard price list price on the day after the promotion end date without any manual intervention.</w:t>
      </w:r>
    </w:p>
    <w:p>
      <w:pPr>
        <w:pStyle w:val="BodyText"/>
      </w:pPr>
      <w:r>
        <w:rPr>
          <w:i/>
          <w:iCs/>
        </w:rPr>
        <w:t xml:space="preserve">Traceability: BG-002, DC-002.</w:t>
      </w:r>
    </w:p>
    <w:p>
      <w:r>
        <w:pict>
          <v:rect style="width:0;height:1.5pt" o:hralign="center" o:hrstd="t" o:hr="t"/>
        </w:pict>
      </w:r>
    </w:p>
    <w:p>
      <w:pPr>
        <w:pStyle w:val="FirstParagraph"/>
      </w:pPr>
      <w:r>
        <w:rPr>
          <w:b/>
          <w:bCs/>
        </w:rPr>
        <w:t xml:space="preserve">FR-SAL-006</w:t>
      </w:r>
      <w:r>
        <w:t xml:space="preserve"> </w:t>
      </w:r>
      <w:r>
        <w:t xml:space="preserve">— Volume Discount Rules</w:t>
      </w:r>
    </w:p>
    <w:p>
      <w:pPr>
        <w:pStyle w:val="BodyText"/>
      </w:pPr>
      <w:r>
        <w:t xml:space="preserve">When an invoice line item quantity meets or exceeds a configured volume discount threshold for that product, the system shall automatically apply the configured percentage discount to that line item's unit price, display the discount amount as a separate line on the invoice, and log the discount rule applied in the invoice record.</w:t>
      </w:r>
    </w:p>
    <w:p>
      <w:pPr>
        <w:pStyle w:val="BodyText"/>
      </w:pPr>
      <w:r>
        <w:rPr>
          <w:i/>
          <w:iCs/>
        </w:rPr>
        <w:t xml:space="preserve">Traceability: BG-002, DC-002.</w:t>
      </w:r>
    </w:p>
    <w:p>
      <w:r>
        <w:pict>
          <v:rect style="width:0;height:1.5pt" o:hralign="center" o:hrstd="t" o:hr="t"/>
        </w:pict>
      </w:r>
    </w:p>
    <w:p>
      <w:pPr>
        <w:pStyle w:val="FirstParagraph"/>
      </w:pPr>
      <w:r>
        <w:rPr>
          <w:b/>
          <w:bCs/>
        </w:rPr>
        <w:t xml:space="preserve">FR-SAL-007</w:t>
      </w:r>
      <w:r>
        <w:t xml:space="preserve"> </w:t>
      </w:r>
      <w:r>
        <w:t xml:space="preserve">— Credit Limit Enforcement</w:t>
      </w:r>
    </w:p>
    <w:p>
      <w:pPr>
        <w:pStyle w:val="BodyText"/>
      </w:pPr>
      <w:r>
        <w:t xml:space="preserve">When an operator attempts to confirm an invoice for a customer with a credit account, the system shall calculate the customer's current outstanding AR balance (sum of all unpaid and partially paid invoices), add the value of the current invoice, and compare the total to the customer's configured credit limit. When the sum exceeds the credit limit, the system shall block invoice confirmation and display a message stating the credit limit, current exposure, and the amount by which the new invoice would exceed the limit.</w:t>
      </w:r>
    </w:p>
    <w:p>
      <w:pPr>
        <w:pStyle w:val="BodyText"/>
      </w:pPr>
      <w:r>
        <w:rPr>
          <w:i/>
          <w:iCs/>
        </w:rPr>
        <w:t xml:space="preserve">Traceability: BG-003 (agent accountability), BR-003.</w:t>
      </w:r>
    </w:p>
    <w:p>
      <w:r>
        <w:pict>
          <v:rect style="width:0;height:1.5pt" o:hralign="center" o:hrstd="t" o:hr="t"/>
        </w:pict>
      </w:r>
    </w:p>
    <w:p>
      <w:pPr>
        <w:pStyle w:val="FirstParagraph"/>
      </w:pPr>
      <w:r>
        <w:rPr>
          <w:b/>
          <w:bCs/>
        </w:rPr>
        <w:t xml:space="preserve">FR-SAL-008</w:t>
      </w:r>
      <w:r>
        <w:t xml:space="preserve"> </w:t>
      </w:r>
      <w:r>
        <w:t xml:space="preserve">— Credit Limit Manager Override</w:t>
      </w:r>
    </w:p>
    <w:p>
      <w:pPr>
        <w:pStyle w:val="BodyText"/>
      </w:pPr>
      <w:r>
        <w:t xml:space="preserve">When a Sales Manager with the</w:t>
      </w:r>
      <w:r>
        <w:t xml:space="preserve"> </w:t>
      </w:r>
      <w:r>
        <w:rPr>
          <w:rStyle w:val="VerbatimChar"/>
        </w:rPr>
        <w:t xml:space="preserve">credit_override</w:t>
      </w:r>
      <w:r>
        <w:t xml:space="preserve"> </w:t>
      </w:r>
      <w:r>
        <w:t xml:space="preserve">permission reviews a blocked invoice (per FR-SAL-007), the system shall permit the manager to approve the invoice by entering a mandatory reason code selected from a configurable list, after which the system shall confirm the invoice, log the override in the audit trail with the manager's identity, timestamp, reason code, and credit exposure at time of override.</w:t>
      </w:r>
    </w:p>
    <w:p>
      <w:pPr>
        <w:pStyle w:val="BodyText"/>
      </w:pPr>
      <w:r>
        <w:rPr>
          <w:i/>
          <w:iCs/>
        </w:rPr>
        <w:t xml:space="preserve">Traceability: BG-003, DC-003 (audit readiness).</w:t>
      </w:r>
    </w:p>
    <w:p>
      <w:r>
        <w:pict>
          <v:rect style="width:0;height:1.5pt" o:hralign="center" o:hrstd="t" o:hr="t"/>
        </w:pict>
      </w:r>
    </w:p>
    <w:p>
      <w:pPr>
        <w:pStyle w:val="FirstParagraph"/>
      </w:pPr>
      <w:r>
        <w:rPr>
          <w:b/>
          <w:bCs/>
        </w:rPr>
        <w:t xml:space="preserve">FR-SAL-009</w:t>
      </w:r>
      <w:r>
        <w:t xml:space="preserve"> </w:t>
      </w:r>
      <w:r>
        <w:t xml:space="preserve">— Invoice Confirmation and Status Transition</w:t>
      </w:r>
    </w:p>
    <w:p>
      <w:pPr>
        <w:pStyle w:val="BodyText"/>
      </w:pPr>
      <w:r>
        <w:t xml:space="preserve">When an operator confirms a draft invoice (transitions from</w:t>
      </w:r>
      <w:r>
        <w:t xml:space="preserve"> </w:t>
      </w:r>
      <w:r>
        <w:rPr>
          <w:rStyle w:val="VerbatimChar"/>
        </w:rPr>
        <w:t xml:space="preserve">draft</w:t>
      </w:r>
      <w:r>
        <w:t xml:space="preserve"> </w:t>
      </w:r>
      <w:r>
        <w:t xml:space="preserve">to</w:t>
      </w:r>
      <w:r>
        <w:t xml:space="preserve"> </w:t>
      </w:r>
      <w:r>
        <w:rPr>
          <w:rStyle w:val="VerbatimChar"/>
        </w:rPr>
        <w:t xml:space="preserve">pending EFRIS</w:t>
      </w:r>
      <w:r>
        <w:t xml:space="preserve">), the system shall validate that: all required fields are populated, at least one line item exists, the customer's credit limit check has passed or been overridden, and sufficient stock is available in the selected warehouse location. When all validations pass, the system shall lock the invoice against further editing and trigger the EFRIS submission process (FR-SAL-011) and GL auto-posting (FR-SAL-013) simultaneously.</w:t>
      </w:r>
    </w:p>
    <w:p>
      <w:pPr>
        <w:pStyle w:val="BodyText"/>
      </w:pPr>
      <w:r>
        <w:rPr>
          <w:i/>
          <w:iCs/>
        </w:rPr>
        <w:t xml:space="preserve">Traceability: BG-001, BR-003, BR-007, BR-009.</w:t>
      </w:r>
    </w:p>
    <w:p>
      <w:r>
        <w:pict>
          <v:rect style="width:0;height:1.5pt" o:hralign="center" o:hrstd="t" o:hr="t"/>
        </w:pict>
      </w:r>
    </w:p>
    <w:p>
      <w:pPr>
        <w:pStyle w:val="FirstParagraph"/>
      </w:pPr>
      <w:r>
        <w:rPr>
          <w:b/>
          <w:bCs/>
        </w:rPr>
        <w:t xml:space="preserve">FR-SAL-010</w:t>
      </w:r>
      <w:r>
        <w:t xml:space="preserve"> </w:t>
      </w:r>
      <w:r>
        <w:t xml:space="preserve">— Invoice Lifecycle State Machine</w:t>
      </w:r>
    </w:p>
    <w:p>
      <w:pPr>
        <w:pStyle w:val="BodyText"/>
      </w:pPr>
      <w:r>
        <w:t xml:space="preserve">The system shall enforce the following invoice status transitions and no others: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 Status</w:t>
            </w:r>
          </w:p>
        </w:tc>
        <w:tc>
          <w:tcPr/>
          <w:p>
            <w:pPr>
              <w:pStyle w:val="Compact"/>
            </w:pPr>
            <w:r>
              <w:t xml:space="preserve">To Status</w:t>
            </w:r>
          </w:p>
        </w:tc>
        <w:tc>
          <w:tcPr/>
          <w:p>
            <w:pPr>
              <w:pStyle w:val="Compact"/>
            </w:pPr>
            <w:r>
              <w:t xml:space="preserve">Trigger</w:t>
            </w:r>
          </w:p>
        </w:tc>
      </w:tr>
      <w:tr>
        <w:tc>
          <w:tcPr/>
          <w:p>
            <w:pPr>
              <w:pStyle w:val="Compact"/>
            </w:pPr>
            <w:r>
              <w:rPr>
                <w:rStyle w:val="VerbatimChar"/>
              </w:rPr>
              <w:t xml:space="preserve">draft</w:t>
            </w:r>
          </w:p>
        </w:tc>
        <w:tc>
          <w:tcPr/>
          <w:p>
            <w:pPr>
              <w:pStyle w:val="Compact"/>
            </w:pPr>
            <w:r>
              <w:rPr>
                <w:rStyle w:val="VerbatimChar"/>
              </w:rPr>
              <w:t xml:space="preserve">pending EFRIS</w:t>
            </w:r>
          </w:p>
        </w:tc>
        <w:tc>
          <w:tcPr/>
          <w:p>
            <w:pPr>
              <w:pStyle w:val="Compact"/>
            </w:pPr>
            <w:r>
              <w:t xml:space="preserve">Operator confirms invoice</w:t>
            </w:r>
          </w:p>
        </w:tc>
      </w:tr>
      <w:tr>
        <w:tc>
          <w:tcPr/>
          <w:p>
            <w:pPr>
              <w:pStyle w:val="Compact"/>
            </w:pPr>
            <w:r>
              <w:rPr>
                <w:rStyle w:val="VerbatimChar"/>
              </w:rPr>
              <w:t xml:space="preserve">pending EFRIS</w:t>
            </w:r>
          </w:p>
        </w:tc>
        <w:tc>
          <w:tcPr/>
          <w:p>
            <w:pPr>
              <w:pStyle w:val="Compact"/>
            </w:pPr>
            <w:r>
              <w:rPr>
                <w:rStyle w:val="VerbatimChar"/>
              </w:rPr>
              <w:t xml:space="preserve">issued</w:t>
            </w:r>
          </w:p>
        </w:tc>
        <w:tc>
          <w:tcPr/>
          <w:p>
            <w:pPr>
              <w:pStyle w:val="Compact"/>
            </w:pPr>
            <w:r>
              <w:t xml:space="preserve">EFRIS FDN received successfully</w:t>
            </w:r>
          </w:p>
        </w:tc>
      </w:tr>
      <w:tr>
        <w:tc>
          <w:tcPr/>
          <w:p>
            <w:pPr>
              <w:pStyle w:val="Compact"/>
            </w:pPr>
            <w:r>
              <w:rPr>
                <w:rStyle w:val="VerbatimChar"/>
              </w:rPr>
              <w:t xml:space="preserve">pending EFRIS</w:t>
            </w:r>
          </w:p>
        </w:tc>
        <w:tc>
          <w:tcPr/>
          <w:p>
            <w:pPr>
              <w:pStyle w:val="Compact"/>
            </w:pPr>
            <w:r>
              <w:rPr>
                <w:rStyle w:val="VerbatimChar"/>
              </w:rPr>
              <w:t xml:space="preserve">EFRIS failed</w:t>
            </w:r>
          </w:p>
        </w:tc>
        <w:tc>
          <w:tcPr/>
          <w:p>
            <w:pPr>
              <w:pStyle w:val="Compact"/>
            </w:pPr>
            <w:r>
              <w:t xml:space="preserve">EFRIS submission fails after 3 retries</w:t>
            </w:r>
          </w:p>
        </w:tc>
      </w:tr>
      <w:tr>
        <w:tc>
          <w:tcPr/>
          <w:p>
            <w:pPr>
              <w:pStyle w:val="Compact"/>
            </w:pPr>
            <w:r>
              <w:rPr>
                <w:rStyle w:val="VerbatimChar"/>
              </w:rPr>
              <w:t xml:space="preserve">issued</w:t>
            </w:r>
          </w:p>
        </w:tc>
        <w:tc>
          <w:tcPr/>
          <w:p>
            <w:pPr>
              <w:pStyle w:val="Compact"/>
            </w:pPr>
            <w:r>
              <w:rPr>
                <w:rStyle w:val="VerbatimChar"/>
              </w:rPr>
              <w:t xml:space="preserve">partially paid</w:t>
            </w:r>
          </w:p>
        </w:tc>
        <w:tc>
          <w:tcPr/>
          <w:p>
            <w:pPr>
              <w:pStyle w:val="Compact"/>
            </w:pPr>
            <w:r>
              <w:t xml:space="preserve">Payment received, balance &gt; 0</w:t>
            </w:r>
          </w:p>
        </w:tc>
      </w:tr>
      <w:tr>
        <w:tc>
          <w:tcPr/>
          <w:p>
            <w:pPr>
              <w:pStyle w:val="Compact"/>
            </w:pPr>
            <w:r>
              <w:rPr>
                <w:rStyle w:val="VerbatimChar"/>
              </w:rPr>
              <w:t xml:space="preserve">issued</w:t>
            </w:r>
          </w:p>
        </w:tc>
        <w:tc>
          <w:tcPr/>
          <w:p>
            <w:pPr>
              <w:pStyle w:val="Compact"/>
            </w:pPr>
            <w:r>
              <w:rPr>
                <w:rStyle w:val="VerbatimChar"/>
              </w:rPr>
              <w:t xml:space="preserve">paid</w:t>
            </w:r>
          </w:p>
        </w:tc>
        <w:tc>
          <w:tcPr/>
          <w:p>
            <w:pPr>
              <w:pStyle w:val="Compact"/>
            </w:pPr>
            <w:r>
              <w:t xml:space="preserve">Full payment received</w:t>
            </w:r>
          </w:p>
        </w:tc>
      </w:tr>
      <w:tr>
        <w:tc>
          <w:tcPr/>
          <w:p>
            <w:pPr>
              <w:pStyle w:val="Compact"/>
            </w:pPr>
            <w:r>
              <w:rPr>
                <w:rStyle w:val="VerbatimChar"/>
              </w:rPr>
              <w:t xml:space="preserve">partially paid</w:t>
            </w:r>
          </w:p>
        </w:tc>
        <w:tc>
          <w:tcPr/>
          <w:p>
            <w:pPr>
              <w:pStyle w:val="Compact"/>
            </w:pPr>
            <w:r>
              <w:rPr>
                <w:rStyle w:val="VerbatimChar"/>
              </w:rPr>
              <w:t xml:space="preserve">paid</w:t>
            </w:r>
          </w:p>
        </w:tc>
        <w:tc>
          <w:tcPr/>
          <w:p>
            <w:pPr>
              <w:pStyle w:val="Compact"/>
            </w:pPr>
            <w:r>
              <w:t xml:space="preserve">Remaining balance paid</w:t>
            </w:r>
          </w:p>
        </w:tc>
      </w:tr>
      <w:tr>
        <w:tc>
          <w:tcPr/>
          <w:p>
            <w:pPr>
              <w:pStyle w:val="Compact"/>
            </w:pPr>
            <w:r>
              <w:rPr>
                <w:rStyle w:val="VerbatimChar"/>
              </w:rPr>
              <w:t xml:space="preserve">issued</w:t>
            </w:r>
          </w:p>
        </w:tc>
        <w:tc>
          <w:tcPr/>
          <w:p>
            <w:pPr>
              <w:pStyle w:val="Compact"/>
            </w:pPr>
            <w:r>
              <w:rPr>
                <w:rStyle w:val="VerbatimChar"/>
              </w:rPr>
              <w:t xml:space="preserve">void</w:t>
            </w:r>
          </w:p>
        </w:tc>
        <w:tc>
          <w:tcPr/>
          <w:p>
            <w:pPr>
              <w:pStyle w:val="Compact"/>
            </w:pPr>
            <w:r>
              <w:t xml:space="preserve">Void workflow completed (FR-SAL-020)</w:t>
            </w:r>
          </w:p>
        </w:tc>
      </w:tr>
      <w:tr>
        <w:tc>
          <w:tcPr/>
          <w:p>
            <w:pPr>
              <w:pStyle w:val="Compact"/>
            </w:pPr>
            <w:r>
              <w:rPr>
                <w:rStyle w:val="VerbatimChar"/>
              </w:rPr>
              <w:t xml:space="preserve">partially paid</w:t>
            </w:r>
          </w:p>
        </w:tc>
        <w:tc>
          <w:tcPr/>
          <w:p>
            <w:pPr>
              <w:pStyle w:val="Compact"/>
            </w:pPr>
            <w:r>
              <w:rPr>
                <w:rStyle w:val="VerbatimChar"/>
              </w:rPr>
              <w:t xml:space="preserve">void</w:t>
            </w:r>
          </w:p>
        </w:tc>
        <w:tc>
          <w:tcPr/>
          <w:p>
            <w:pPr>
              <w:pStyle w:val="Compact"/>
            </w:pPr>
            <w:r>
              <w:t xml:space="preserve">Void workflow completed (FR-SAL-020)</w:t>
            </w:r>
          </w:p>
        </w:tc>
      </w:tr>
    </w:tbl>
    <w:p>
      <w:pPr>
        <w:pStyle w:val="BodyText"/>
      </w:pPr>
      <w:r>
        <w:t xml:space="preserve">No other status transitions shall be permitted. Attempts to perform an invalid transition shall return an error.</w:t>
      </w:r>
    </w:p>
    <w:p>
      <w:pPr>
        <w:pStyle w:val="BodyText"/>
      </w:pPr>
      <w:r>
        <w:rPr>
          <w:i/>
          <w:iCs/>
        </w:rPr>
        <w:t xml:space="preserve">Traceability: BG-001, DC-003.</w:t>
      </w:r>
    </w:p>
    <w:p>
      <w:r>
        <w:pict>
          <v:rect style="width:0;height:1.5pt" o:hralign="center" o:hrstd="t" o:hr="t"/>
        </w:pict>
      </w:r>
    </w:p>
    <w:p>
      <w:pPr>
        <w:pStyle w:val="FirstParagraph"/>
      </w:pPr>
      <w:r>
        <w:rPr>
          <w:b/>
          <w:bCs/>
        </w:rPr>
        <w:t xml:space="preserve">FR-SAL-011</w:t>
      </w:r>
      <w:r>
        <w:t xml:space="preserve"> </w:t>
      </w:r>
      <w:r>
        <w:t xml:space="preserve">— EFRIS Real-Time Submission on Invoice Confirmation</w:t>
      </w:r>
    </w:p>
    <w:p>
      <w:pPr>
        <w:pStyle w:val="BodyText"/>
      </w:pPr>
      <w:r>
        <w:t xml:space="preserve">When an invoice transitions to</w:t>
      </w:r>
      <w:r>
        <w:t xml:space="preserve"> </w:t>
      </w:r>
      <w:r>
        <w:rPr>
          <w:rStyle w:val="VerbatimChar"/>
        </w:rPr>
        <w:t xml:space="preserve">pending EFRIS</w:t>
      </w:r>
      <w:r>
        <w:t xml:space="preserve"> </w:t>
      </w:r>
      <w:r>
        <w:t xml:space="preserve">status, the system shall immediately submit the invoice data to the URA EFRIS system-to-system REST API with all required fiscal fields. When the EFRIS API returns a Fiscal Document Number (FDN) and QR code, the system shall store the FDN and QR code against the invoice record and transition the invoice status to</w:t>
      </w:r>
      <w:r>
        <w:t xml:space="preserve"> </w:t>
      </w:r>
      <w:r>
        <w:rPr>
          <w:rStyle w:val="VerbatimChar"/>
        </w:rPr>
        <w:t xml:space="preserve">issued</w:t>
      </w:r>
      <w:r>
        <w:t xml:space="preserve">. When the EFRIS API returns an error or does not respond within 30 seconds, the system shall place the submission in the retry queue (FR-SAL-012) and notify the Finance Manager.</w:t>
      </w:r>
      <w:r>
        <w:t xml:space="preserve"> </w:t>
      </w:r>
      <w:r>
        <w:rPr>
          <w:rStyle w:val="VerbatimChar"/>
        </w:rPr>
        <w:t xml:space="preserve">[CONTEXT-GAP: GAP-001]</w:t>
      </w:r>
      <w:r>
        <w:t xml:space="preserve"> </w:t>
      </w:r>
      <w:r>
        <w:t xml:space="preserve">— EFRIS API sandbox credentials required.</w:t>
      </w:r>
    </w:p>
    <w:p>
      <w:pPr>
        <w:pStyle w:val="BodyText"/>
      </w:pPr>
      <w:r>
        <w:rPr>
          <w:i/>
          <w:iCs/>
        </w:rPr>
        <w:t xml:space="preserve">Traceability: BG-002 (EFRIS compliance), external: URA EFRIS Technical Specification.</w:t>
      </w:r>
    </w:p>
    <w:p>
      <w:r>
        <w:pict>
          <v:rect style="width:0;height:1.5pt" o:hralign="center" o:hrstd="t" o:hr="t"/>
        </w:pict>
      </w:r>
    </w:p>
    <w:p>
      <w:pPr>
        <w:pStyle w:val="FirstParagraph"/>
      </w:pPr>
      <w:r>
        <w:rPr>
          <w:b/>
          <w:bCs/>
        </w:rPr>
        <w:t xml:space="preserve">FR-SAL-012</w:t>
      </w:r>
      <w:r>
        <w:t xml:space="preserve"> </w:t>
      </w:r>
      <w:r>
        <w:t xml:space="preserve">— EFRIS Retry Queue and Failure Alert</w:t>
      </w:r>
    </w:p>
    <w:p>
      <w:pPr>
        <w:pStyle w:val="BodyText"/>
      </w:pPr>
      <w:r>
        <w:t xml:space="preserve">When an EFRIS submission fails, the system shall: queue the submission for automatic retry at 5-minute intervals; alert the Finance Manager by in-app notification after the first failure; escalate to email notification after 3 consecutive failures; and mark the invoice with status</w:t>
      </w:r>
      <w:r>
        <w:t xml:space="preserve"> </w:t>
      </w:r>
      <w:r>
        <w:rPr>
          <w:rStyle w:val="VerbatimChar"/>
        </w:rPr>
        <w:t xml:space="preserve">EFRIS failed</w:t>
      </w:r>
      <w:r>
        <w:t xml:space="preserve"> </w:t>
      </w:r>
      <w:r>
        <w:t xml:space="preserve">after 3 consecutive failures. The system shall allow the Finance Manager to manually trigger a retry from the EFRIS failure queue at any time.</w:t>
      </w:r>
    </w:p>
    <w:p>
      <w:pPr>
        <w:pStyle w:val="BodyText"/>
      </w:pPr>
      <w:r>
        <w:rPr>
          <w:i/>
          <w:iCs/>
        </w:rPr>
        <w:t xml:space="preserve">Traceability: BG-001, DC-003.</w:t>
      </w:r>
    </w:p>
    <w:p>
      <w:r>
        <w:pict>
          <v:rect style="width:0;height:1.5pt" o:hralign="center" o:hrstd="t" o:hr="t"/>
        </w:pict>
      </w:r>
    </w:p>
    <w:p>
      <w:pPr>
        <w:pStyle w:val="FirstParagraph"/>
      </w:pPr>
      <w:r>
        <w:rPr>
          <w:b/>
          <w:bCs/>
        </w:rPr>
        <w:t xml:space="preserve">FR-SAL-013</w:t>
      </w:r>
      <w:r>
        <w:t xml:space="preserve"> </w:t>
      </w:r>
      <w:r>
        <w:t xml:space="preserve">— GL Auto-Posting on Invoice Confirmation</w:t>
      </w:r>
    </w:p>
    <w:p>
      <w:pPr>
        <w:pStyle w:val="BodyText"/>
      </w:pPr>
      <w:r>
        <w:t xml:space="preserve">When an invoice is confirmed (transitions from</w:t>
      </w:r>
      <w:r>
        <w:t xml:space="preserve"> </w:t>
      </w:r>
      <w:r>
        <w:rPr>
          <w:rStyle w:val="VerbatimChar"/>
        </w:rPr>
        <w:t xml:space="preserve">draft</w:t>
      </w:r>
      <w:r>
        <w:t xml:space="preserve"> </w:t>
      </w:r>
      <w:r>
        <w:t xml:space="preserve">to</w:t>
      </w:r>
      <w:r>
        <w:t xml:space="preserve"> </w:t>
      </w:r>
      <w:r>
        <w:rPr>
          <w:rStyle w:val="VerbatimChar"/>
        </w:rPr>
        <w:t xml:space="preserve">pending EFRIS</w:t>
      </w:r>
      <w:r>
        <w:t xml:space="preserve">), the system shall automatically generate the following GL journal entries without any manual action:</w:t>
      </w:r>
    </w:p>
    <w:p>
      <w:pPr>
        <w:pStyle w:val="Compact"/>
        <w:numPr>
          <w:ilvl w:val="0"/>
          <w:numId w:val="1008"/>
        </w:numPr>
      </w:pPr>
      <w:r>
        <w:t xml:space="preserve">DR Accounts Receivable (customer's AR control account) / CR Revenue (product revenue account, segmented by product category)</w:t>
      </w:r>
    </w:p>
    <w:p>
      <w:pPr>
        <w:pStyle w:val="Compact"/>
        <w:numPr>
          <w:ilvl w:val="0"/>
          <w:numId w:val="1008"/>
        </w:numPr>
      </w:pPr>
      <w:r>
        <w:t xml:space="preserve">DR Cost of Goods Sold / CR Inventory (at the FIFO or moving-average cost of the specific batches allocated per FR-SAL-014)</w:t>
      </w:r>
    </w:p>
    <w:p>
      <w:pPr>
        <w:pStyle w:val="FirstParagraph"/>
      </w:pPr>
      <w:r>
        <w:t xml:space="preserve">The system shall post these entries with the invoice number as the source reference, the operator's identity as the posting user, and the server timestamp as the posting date.</w:t>
      </w:r>
    </w:p>
    <w:p>
      <w:pPr>
        <w:pStyle w:val="BodyText"/>
      </w:pPr>
      <w:r>
        <w:rPr>
          <w:i/>
          <w:iCs/>
        </w:rPr>
        <w:t xml:space="preserve">Traceability: BG-002, DC-003, BR-013.</w:t>
      </w:r>
    </w:p>
    <w:p>
      <w:r>
        <w:pict>
          <v:rect style="width:0;height:1.5pt" o:hralign="center" o:hrstd="t" o:hr="t"/>
        </w:pict>
      </w:r>
    </w:p>
    <w:p>
      <w:pPr>
        <w:pStyle w:val="FirstParagraph"/>
      </w:pPr>
      <w:r>
        <w:rPr>
          <w:b/>
          <w:bCs/>
        </w:rPr>
        <w:t xml:space="preserve">FR-SAL-014</w:t>
      </w:r>
      <w:r>
        <w:t xml:space="preserve"> </w:t>
      </w:r>
      <w:r>
        <w:t xml:space="preserve">— COGS Calculation from FIFO/Moving-Average Batch Valuation</w:t>
      </w:r>
    </w:p>
    <w:p>
      <w:pPr>
        <w:pStyle w:val="BodyText"/>
      </w:pPr>
      <w:r>
        <w:t xml:space="preserve">When the GL auto-post for a confirmed invoice is generated (FR-SAL-013), the system shall calculate the Cost of Goods Sold for each line item by: selecting the specific inventory batch(es) allocated to this sale per FEFO rules (BR-007), reading the cost per unit for each batch from the inventory valuation method configured for that product (FIFO or moving average), multiplying by the quantity sold, and using this calculated cost as the CR Inventory / DR COGS value in the journal entry. The batch allocation and cost per unit used shall be recorded against the invoice line item for traceability.</w:t>
      </w:r>
    </w:p>
    <w:p>
      <w:pPr>
        <w:pStyle w:val="BodyText"/>
      </w:pPr>
      <w:r>
        <w:rPr>
          <w:i/>
          <w:iCs/>
        </w:rPr>
        <w:t xml:space="preserve">Traceability: BG-002, BR-007, DC-003.</w:t>
      </w:r>
    </w:p>
    <w:p>
      <w:r>
        <w:pict>
          <v:rect style="width:0;height:1.5pt" o:hralign="center" o:hrstd="t" o:hr="t"/>
        </w:pict>
      </w:r>
    </w:p>
    <w:p>
      <w:pPr>
        <w:pStyle w:val="FirstParagraph"/>
      </w:pPr>
      <w:r>
        <w:rPr>
          <w:b/>
          <w:bCs/>
        </w:rPr>
        <w:t xml:space="preserve">FR-SAL-015</w:t>
      </w:r>
      <w:r>
        <w:t xml:space="preserve"> </w:t>
      </w:r>
      <w:r>
        <w:t xml:space="preserve">— FDN and QR Code on Printed Invoice</w:t>
      </w:r>
    </w:p>
    <w:p>
      <w:pPr>
        <w:pStyle w:val="BodyText"/>
      </w:pPr>
      <w:r>
        <w:t xml:space="preserve">When a confirmed invoice (status</w:t>
      </w:r>
      <w:r>
        <w:t xml:space="preserve"> </w:t>
      </w:r>
      <w:r>
        <w:rPr>
          <w:rStyle w:val="VerbatimChar"/>
        </w:rPr>
        <w:t xml:space="preserve">issued</w:t>
      </w:r>
      <w:r>
        <w:t xml:space="preserve"> </w:t>
      </w:r>
      <w:r>
        <w:t xml:space="preserve">or later) is printed or exported to PDF, the system shall include the EFRIS Fiscal Document Number (FDN), the EFRIS QR code image, BIRDC's TIN, and the invoice date on the invoice document in the positions required by URA EFRIS guidelines. The system shall prevent printing of invoices in</w:t>
      </w:r>
      <w:r>
        <w:t xml:space="preserve"> </w:t>
      </w:r>
      <w:r>
        <w:rPr>
          <w:rStyle w:val="VerbatimChar"/>
        </w:rPr>
        <w:t xml:space="preserve">pending EFRIS</w:t>
      </w:r>
      <w:r>
        <w:t xml:space="preserve"> </w:t>
      </w:r>
      <w:r>
        <w:t xml:space="preserve">or</w:t>
      </w:r>
      <w:r>
        <w:t xml:space="preserve"> </w:t>
      </w:r>
      <w:r>
        <w:rPr>
          <w:rStyle w:val="VerbatimChar"/>
        </w:rPr>
        <w:t xml:space="preserve">EFRIS failed</w:t>
      </w:r>
      <w:r>
        <w:t xml:space="preserve"> </w:t>
      </w:r>
      <w:r>
        <w:t xml:space="preserve">status without an explicit override by the Finance Manager.</w:t>
      </w:r>
    </w:p>
    <w:p>
      <w:pPr>
        <w:pStyle w:val="BodyText"/>
      </w:pPr>
      <w:r>
        <w:rPr>
          <w:i/>
          <w:iCs/>
        </w:rPr>
        <w:t xml:space="preserve">Traceability: BG-002, URA EFRIS Technical Specification.</w:t>
      </w:r>
    </w:p>
    <w:p>
      <w:r>
        <w:pict>
          <v:rect style="width:0;height:1.5pt" o:hralign="center" o:hrstd="t" o:hr="t"/>
        </w:pict>
      </w:r>
    </w:p>
    <w:p>
      <w:pPr>
        <w:pStyle w:val="FirstParagraph"/>
      </w:pPr>
      <w:r>
        <w:rPr>
          <w:b/>
          <w:bCs/>
        </w:rPr>
        <w:t xml:space="preserve">FR-SAL-016</w:t>
      </w:r>
      <w:r>
        <w:t xml:space="preserve"> </w:t>
      </w:r>
      <w:r>
        <w:t xml:space="preserve">— Sequential Invoice Numbering with Gap Detection</w:t>
      </w:r>
    </w:p>
    <w:p>
      <w:pPr>
        <w:pStyle w:val="BodyText"/>
      </w:pPr>
      <w:r>
        <w:t xml:space="preserve">The system shall assign invoice numbers in the format</w:t>
      </w:r>
      <w:r>
        <w:t xml:space="preserve"> </w:t>
      </w:r>
      <w:r>
        <w:rPr>
          <w:rStyle w:val="VerbatimChar"/>
        </w:rPr>
        <w:t xml:space="preserve">INV-YYYY-NNNN</w:t>
      </w:r>
      <w:r>
        <w:t xml:space="preserve"> </w:t>
      </w:r>
      <w:r>
        <w:t xml:space="preserve">using a database sequence that increments atomically. The system shall monitor the invoice number series daily and, when a gap is detected (a number missing between the lowest and highest issued numbers in a series), generate an automatic in-app alert to the Finance Manager and record the gap detection event in the audit trail. Voided invoices shall retain their assigned number permanently, marked with status</w:t>
      </w:r>
      <w:r>
        <w:t xml:space="preserve"> </w:t>
      </w:r>
      <w:r>
        <w:rPr>
          <w:rStyle w:val="VerbatimChar"/>
        </w:rPr>
        <w:t xml:space="preserve">void</w:t>
      </w:r>
      <w:r>
        <w:t xml:space="preserve"> </w:t>
      </w:r>
      <w:r>
        <w:t xml:space="preserve">— invoice numbers shall never be recycled or reused.</w:t>
      </w:r>
    </w:p>
    <w:p>
      <w:pPr>
        <w:pStyle w:val="BodyText"/>
      </w:pPr>
      <w:r>
        <w:rPr>
          <w:i/>
          <w:iCs/>
        </w:rPr>
        <w:t xml:space="preserve">Traceability: BG-002, BR-009, DC-003.</w:t>
      </w:r>
    </w:p>
    <w:p>
      <w:r>
        <w:pict>
          <v:rect style="width:0;height:1.5pt" o:hralign="center" o:hrstd="t" o:hr="t"/>
        </w:pict>
      </w:r>
    </w:p>
    <w:p>
      <w:pPr>
        <w:pStyle w:val="FirstParagraph"/>
      </w:pPr>
      <w:r>
        <w:rPr>
          <w:b/>
          <w:bCs/>
        </w:rPr>
        <w:t xml:space="preserve">FR-SAL-017</w:t>
      </w:r>
      <w:r>
        <w:t xml:space="preserve"> </w:t>
      </w:r>
      <w:r>
        <w:t xml:space="preserve">— Void Invoice Workflow</w:t>
      </w:r>
    </w:p>
    <w:p>
      <w:pPr>
        <w:pStyle w:val="BodyText"/>
      </w:pPr>
      <w:r>
        <w:t xml:space="preserve">When an authorised user initiates a void request on an issued or partially paid invoice, the system shall: require selection of a void reason code from a configurable list (minimum codes: data entry error, customer cancellation, duplicate invoice, fraudulent transaction); route the void request to a Sales Manager for approval (BR-003 — creator cannot approve); upon approval, set the invoice status to</w:t>
      </w:r>
      <w:r>
        <w:t xml:space="preserve"> </w:t>
      </w:r>
      <w:r>
        <w:rPr>
          <w:rStyle w:val="VerbatimChar"/>
        </w:rPr>
        <w:t xml:space="preserve">void</w:t>
      </w:r>
      <w:r>
        <w:t xml:space="preserve"> </w:t>
      </w:r>
      <w:r>
        <w:t xml:space="preserve">and retain the invoice record permanently; and trigger automatic GL reversal (FR-SAL-018).</w:t>
      </w:r>
    </w:p>
    <w:p>
      <w:pPr>
        <w:pStyle w:val="BodyText"/>
      </w:pPr>
      <w:r>
        <w:rPr>
          <w:i/>
          <w:iCs/>
        </w:rPr>
        <w:t xml:space="preserve">Traceability: BG-001, BR-003, DC-003.</w:t>
      </w:r>
    </w:p>
    <w:p>
      <w:r>
        <w:pict>
          <v:rect style="width:0;height:1.5pt" o:hralign="center" o:hrstd="t" o:hr="t"/>
        </w:pict>
      </w:r>
    </w:p>
    <w:p>
      <w:pPr>
        <w:pStyle w:val="FirstParagraph"/>
      </w:pPr>
      <w:r>
        <w:rPr>
          <w:b/>
          <w:bCs/>
        </w:rPr>
        <w:t xml:space="preserve">FR-SAL-018</w:t>
      </w:r>
      <w:r>
        <w:t xml:space="preserve"> </w:t>
      </w:r>
      <w:r>
        <w:t xml:space="preserve">— GL Auto-Reversal on Invoice Void</w:t>
      </w:r>
    </w:p>
    <w:p>
      <w:pPr>
        <w:pStyle w:val="BodyText"/>
      </w:pPr>
      <w:r>
        <w:t xml:space="preserve">When an invoice void is approved, the system shall automatically post a reversing journal entry that exactly mirrors the original GL posting (FR-SAL-013) with all debits and credits swapped, using the void approval date as the entry date, the void reference (VOID-INV-YYYY-NNNN) as the source reference, and the approver's identity as the posting user. The reversal journal entry shall be linked to the original journal entry by a foreign key for traceability.</w:t>
      </w:r>
    </w:p>
    <w:p>
      <w:pPr>
        <w:pStyle w:val="BodyText"/>
      </w:pPr>
      <w:r>
        <w:rPr>
          <w:i/>
          <w:iCs/>
        </w:rPr>
        <w:t xml:space="preserve">Traceability: BG-001, DC-003, BR-013.</w:t>
      </w:r>
    </w:p>
    <w:p>
      <w:r>
        <w:pict>
          <v:rect style="width:0;height:1.5pt" o:hralign="center" o:hrstd="t" o:hr="t"/>
        </w:pict>
      </w:r>
    </w:p>
    <w:p>
      <w:pPr>
        <w:pStyle w:val="FirstParagraph"/>
      </w:pPr>
      <w:r>
        <w:rPr>
          <w:b/>
          <w:bCs/>
        </w:rPr>
        <w:t xml:space="preserve">FR-SAL-019</w:t>
      </w:r>
      <w:r>
        <w:t xml:space="preserve"> </w:t>
      </w:r>
      <w:r>
        <w:t xml:space="preserve">— Credit Note Creation and Workflow</w:t>
      </w:r>
    </w:p>
    <w:p>
      <w:pPr>
        <w:pStyle w:val="BodyText"/>
      </w:pPr>
      <w:r>
        <w:t xml:space="preserve">When a credit note is initiated against a specific invoice, the system shall: require the originating invoice number; auto-populate customer details and the line items from the originating invoice; allow the operator to select the specific lines and quantities being credited; require a credit reason code; route for Sales Manager approval (BR-003); upon approval, submit the credit note to URA EFRIS as a credit note document type and receive an FDN; post the GL reversal for the credited amount; and link the credit note to the originating invoice for AR aging and audit trail purposes.</w:t>
      </w:r>
    </w:p>
    <w:p>
      <w:pPr>
        <w:pStyle w:val="BodyText"/>
      </w:pPr>
      <w:r>
        <w:rPr>
          <w:i/>
          <w:iCs/>
        </w:rPr>
        <w:t xml:space="preserve">Traceability: BG-001, BR-003, DC-003, URA EFRIS Technical Specification.</w:t>
      </w:r>
    </w:p>
    <w:p>
      <w:r>
        <w:pict>
          <v:rect style="width:0;height:1.5pt" o:hralign="center" o:hrstd="t" o:hr="t"/>
        </w:pict>
      </w:r>
    </w:p>
    <w:p>
      <w:pPr>
        <w:pStyle w:val="FirstParagraph"/>
      </w:pPr>
      <w:r>
        <w:rPr>
          <w:b/>
          <w:bCs/>
        </w:rPr>
        <w:t xml:space="preserve">FR-SAL-020</w:t>
      </w:r>
      <w:r>
        <w:t xml:space="preserve"> </w:t>
      </w:r>
      <w:r>
        <w:t xml:space="preserve">— Credit Note EFRIS Submission</w:t>
      </w:r>
    </w:p>
    <w:p>
      <w:pPr>
        <w:pStyle w:val="BodyText"/>
      </w:pPr>
      <w:r>
        <w:t xml:space="preserve">When a credit note is approved, the system shall submit the credit note to URA EFRIS as a credit note document type (not an invoice). The system shall store the FDN and QR code returned by EFRIS against the credit note record and include both on the printed credit note document.</w:t>
      </w:r>
    </w:p>
    <w:p>
      <w:pPr>
        <w:pStyle w:val="BodyText"/>
      </w:pPr>
      <w:r>
        <w:rPr>
          <w:i/>
          <w:iCs/>
        </w:rPr>
        <w:t xml:space="preserve">Traceability: BG-002, URA EFRIS Technical Specification.</w:t>
      </w:r>
    </w:p>
    <w:p>
      <w:r>
        <w:pict>
          <v:rect style="width:0;height:1.5pt" o:hralign="center" o:hrstd="t" o:hr="t"/>
        </w:pict>
      </w:r>
    </w:p>
    <w:p>
      <w:pPr>
        <w:pStyle w:val="FirstParagraph"/>
      </w:pPr>
      <w:r>
        <w:rPr>
          <w:b/>
          <w:bCs/>
        </w:rPr>
        <w:t xml:space="preserve">FR-SAL-021</w:t>
      </w:r>
      <w:r>
        <w:t xml:space="preserve"> </w:t>
      </w:r>
      <w:r>
        <w:t xml:space="preserve">— Territory-Based Sales Tracking</w:t>
      </w:r>
    </w:p>
    <w:p>
      <w:pPr>
        <w:pStyle w:val="BodyText"/>
      </w:pPr>
      <w:r>
        <w:t xml:space="preserve">When a sales invoice is confirmed, the system shall associate the invoice with the territory of the assigned sales agent or the territory configured for the customer. The system shall maintain cumulative sales totals (quantity and value) by territory, updated in real time as invoices are confirmed and payments are received.</w:t>
      </w:r>
    </w:p>
    <w:p>
      <w:pPr>
        <w:pStyle w:val="BodyText"/>
      </w:pPr>
      <w:r>
        <w:rPr>
          <w:i/>
          <w:iCs/>
        </w:rPr>
        <w:t xml:space="preserve">Traceability: BG-003 (agent accountability), STK-006 (Sales Manager need).</w:t>
      </w:r>
    </w:p>
    <w:p>
      <w:r>
        <w:pict>
          <v:rect style="width:0;height:1.5pt" o:hralign="center" o:hrstd="t" o:hr="t"/>
        </w:pict>
      </w:r>
    </w:p>
    <w:p>
      <w:pPr>
        <w:pStyle w:val="FirstParagraph"/>
      </w:pPr>
      <w:r>
        <w:rPr>
          <w:b/>
          <w:bCs/>
        </w:rPr>
        <w:t xml:space="preserve">FR-SAL-022</w:t>
      </w:r>
      <w:r>
        <w:t xml:space="preserve"> </w:t>
      </w:r>
      <w:r>
        <w:t xml:space="preserve">— Territory Performance Report</w:t>
      </w:r>
    </w:p>
    <w:p>
      <w:pPr>
        <w:pStyle w:val="BodyText"/>
      </w:pPr>
      <w:r>
        <w:t xml:space="preserve">When a Sales Manager or Director requests a territory performance report for a specified date range, the system shall generate a report showing: each territory's total invoiced value, total payments received, outstanding AR balance, number of invoices, and comparison to the territory's sales target for the period.</w:t>
      </w:r>
    </w:p>
    <w:p>
      <w:pPr>
        <w:pStyle w:val="BodyText"/>
      </w:pPr>
      <w:r>
        <w:rPr>
          <w:i/>
          <w:iCs/>
        </w:rPr>
        <w:t xml:space="preserve">Traceability: BG-003, STK-006.</w:t>
      </w:r>
    </w:p>
    <w:p>
      <w:r>
        <w:pict>
          <v:rect style="width:0;height:1.5pt" o:hralign="center" o:hrstd="t" o:hr="t"/>
        </w:pict>
      </w:r>
    </w:p>
    <w:p>
      <w:pPr>
        <w:pStyle w:val="FirstParagraph"/>
      </w:pPr>
      <w:r>
        <w:rPr>
          <w:b/>
          <w:bCs/>
        </w:rPr>
        <w:t xml:space="preserve">FR-SAL-023</w:t>
      </w:r>
      <w:r>
        <w:t xml:space="preserve"> </w:t>
      </w:r>
      <w:r>
        <w:t xml:space="preserve">— Sales Target Configuration</w:t>
      </w:r>
    </w:p>
    <w:p>
      <w:pPr>
        <w:pStyle w:val="BodyText"/>
      </w:pPr>
      <w:r>
        <w:t xml:space="preserve">When a Sales Manager configures sales targets, the system shall allow entry of monthly and quarterly sales targets per sales agent and per territory, in UGX. Targets shall be configurable up to 12 months in advance. The system shall retain historical targets for comparison reporting.</w:t>
      </w:r>
    </w:p>
    <w:p>
      <w:pPr>
        <w:pStyle w:val="BodyText"/>
      </w:pPr>
      <w:r>
        <w:rPr>
          <w:i/>
          <w:iCs/>
        </w:rPr>
        <w:t xml:space="preserve">Traceability: BG-003, DC-002.</w:t>
      </w:r>
    </w:p>
    <w:p>
      <w:r>
        <w:pict>
          <v:rect style="width:0;height:1.5pt" o:hralign="center" o:hrstd="t" o:hr="t"/>
        </w:pict>
      </w:r>
    </w:p>
    <w:p>
      <w:pPr>
        <w:pStyle w:val="FirstParagraph"/>
      </w:pPr>
      <w:r>
        <w:rPr>
          <w:b/>
          <w:bCs/>
        </w:rPr>
        <w:t xml:space="preserve">FR-SAL-024</w:t>
      </w:r>
      <w:r>
        <w:t xml:space="preserve"> </w:t>
      </w:r>
      <w:r>
        <w:t xml:space="preserve">— Sales Target Achievement Tracking</w:t>
      </w:r>
    </w:p>
    <w:p>
      <w:pPr>
        <w:pStyle w:val="BodyText"/>
      </w:pPr>
      <w:r>
        <w:t xml:space="preserve">When a Sales Manager or Director views a sales performance dashboard, the system shall display, for each sales agent and territory: the current period target (monthly and quarterly), actual invoiced sales to date, percentage achievement, and projected end-of-period total based on current run rate.</w:t>
      </w:r>
    </w:p>
    <w:p>
      <w:pPr>
        <w:pStyle w:val="BodyText"/>
      </w:pPr>
      <w:r>
        <w:rPr>
          <w:i/>
          <w:iCs/>
        </w:rPr>
        <w:t xml:space="preserve">Traceability: BG-003, STK-006.</w:t>
      </w:r>
    </w:p>
    <w:p>
      <w:r>
        <w:pict>
          <v:rect style="width:0;height:1.5pt" o:hralign="center" o:hrstd="t" o:hr="t"/>
        </w:pict>
      </w:r>
    </w:p>
    <w:p>
      <w:pPr>
        <w:pStyle w:val="FirstParagraph"/>
      </w:pPr>
      <w:r>
        <w:rPr>
          <w:b/>
          <w:bCs/>
        </w:rPr>
        <w:t xml:space="preserve">FR-SAL-025</w:t>
      </w:r>
      <w:r>
        <w:t xml:space="preserve"> </w:t>
      </w:r>
      <w:r>
        <w:t xml:space="preserve">— Daily Sales Summary Push Notification</w:t>
      </w:r>
    </w:p>
    <w:p>
      <w:pPr>
        <w:pStyle w:val="BodyText"/>
      </w:pPr>
      <w:r>
        <w:t xml:space="preserve">When the system clock reaches 18:00 East Africa Time on any business day, the system shall automatically generate a daily sales summary containing: total invoiced value for the day, total payments received, number of invoices issued, top 5 products by revenue, and top 5 territories by revenue. The system shall send this summary as a push notification to the BIRDC Director and Sales Manager and deliver it via email to their registered addresses.</w:t>
      </w:r>
    </w:p>
    <w:p>
      <w:pPr>
        <w:pStyle w:val="BodyText"/>
      </w:pPr>
      <w:r>
        <w:rPr>
          <w:i/>
          <w:iCs/>
        </w:rPr>
        <w:t xml:space="preserve">Traceability: BG-003, STK-001, STK-006, DC-002.</w:t>
      </w:r>
    </w:p>
    <w:p>
      <w:r>
        <w:pict>
          <v:rect style="width:0;height:1.5pt" o:hralign="center" o:hrstd="t" o:hr="t"/>
        </w:pict>
      </w:r>
    </w:p>
    <w:p>
      <w:pPr>
        <w:pStyle w:val="FirstParagraph"/>
      </w:pPr>
      <w:r>
        <w:rPr>
          <w:b/>
          <w:bCs/>
        </w:rPr>
        <w:t xml:space="preserve">FR-SAL-026</w:t>
      </w:r>
      <w:r>
        <w:t xml:space="preserve"> </w:t>
      </w:r>
      <w:r>
        <w:t xml:space="preserve">— Customer Account Management</w:t>
      </w:r>
    </w:p>
    <w:p>
      <w:pPr>
        <w:pStyle w:val="BodyText"/>
      </w:pPr>
      <w:r>
        <w:t xml:space="preserve">When a user with the</w:t>
      </w:r>
      <w:r>
        <w:t xml:space="preserve"> </w:t>
      </w:r>
      <w:r>
        <w:rPr>
          <w:rStyle w:val="VerbatimChar"/>
        </w:rPr>
        <w:t xml:space="preserve">sales_manager</w:t>
      </w:r>
      <w:r>
        <w:t xml:space="preserve"> </w:t>
      </w:r>
      <w:r>
        <w:t xml:space="preserve">role creates or edits a customer account, the system shall capture: customer name, trading name, TIN (optional for non-registered businesses), contact persons, physical address, district, payment terms (cash, 7-day, 14-day, 30-day credit), assigned price list, assigned sales agent, assigned territory, and credit limit. All customer account changes shall be logged in the audit trail.</w:t>
      </w:r>
    </w:p>
    <w:p>
      <w:pPr>
        <w:pStyle w:val="BodyText"/>
      </w:pPr>
      <w:r>
        <w:rPr>
          <w:i/>
          <w:iCs/>
        </w:rPr>
        <w:t xml:space="preserve">Traceability: BG-001, DC-003.</w:t>
      </w:r>
    </w:p>
    <w:p>
      <w:r>
        <w:pict>
          <v:rect style="width:0;height:1.5pt" o:hralign="center" o:hrstd="t" o:hr="t"/>
        </w:pict>
      </w:r>
    </w:p>
    <w:p>
      <w:pPr>
        <w:pStyle w:val="FirstParagraph"/>
      </w:pPr>
      <w:r>
        <w:rPr>
          <w:b/>
          <w:bCs/>
        </w:rPr>
        <w:t xml:space="preserve">FR-SAL-027</w:t>
      </w:r>
      <w:r>
        <w:t xml:space="preserve"> </w:t>
      </w:r>
      <w:r>
        <w:t xml:space="preserve">— Sales Agent Assignment to Invoice</w:t>
      </w:r>
    </w:p>
    <w:p>
      <w:pPr>
        <w:pStyle w:val="BodyText"/>
      </w:pPr>
      <w:r>
        <w:t xml:space="preserve">When a sales invoice is created, the system shall allow the operator to assign the invoice to a sales agent. When the invoice is created within the Sales Agent Portal by an agent, the system shall automatically assign the invoice to that agent. Agent assignment determines commission accrual (BR-015) and territory attribution (FR-SAL-021).</w:t>
      </w:r>
    </w:p>
    <w:p>
      <w:pPr>
        <w:pStyle w:val="BodyText"/>
      </w:pPr>
      <w:r>
        <w:rPr>
          <w:i/>
          <w:iCs/>
        </w:rPr>
        <w:t xml:space="preserve">Traceability: BG-003, BR-015.</w:t>
      </w:r>
    </w:p>
    <w:p>
      <w:r>
        <w:pict>
          <v:rect style="width:0;height:1.5pt" o:hralign="center" o:hrstd="t" o:hr="t"/>
        </w:pict>
      </w:r>
    </w:p>
    <w:p>
      <w:pPr>
        <w:pStyle w:val="FirstParagraph"/>
      </w:pPr>
      <w:r>
        <w:rPr>
          <w:b/>
          <w:bCs/>
        </w:rPr>
        <w:t xml:space="preserve">FR-SAL-028</w:t>
      </w:r>
      <w:r>
        <w:t xml:space="preserve"> </w:t>
      </w:r>
      <w:r>
        <w:t xml:space="preserve">— Payment Receipt Against Invoice</w:t>
      </w:r>
    </w:p>
    <w:p>
      <w:pPr>
        <w:pStyle w:val="BodyText"/>
      </w:pPr>
      <w:r>
        <w:t xml:space="preserve">When a payment is received and recorded against an invoice, the system shall: record the payment amount, payment method (cash, mobile money, cheque, bank transfer), reference number, and date; reduce the invoice outstanding balance; update the invoice status (</w:t>
      </w:r>
      <w:r>
        <w:rPr>
          <w:rStyle w:val="VerbatimChar"/>
        </w:rPr>
        <w:t xml:space="preserve">partially paid</w:t>
      </w:r>
      <w:r>
        <w:t xml:space="preserve"> </w:t>
      </w:r>
      <w:r>
        <w:t xml:space="preserve">or</w:t>
      </w:r>
      <w:r>
        <w:t xml:space="preserve"> </w:t>
      </w:r>
      <w:r>
        <w:rPr>
          <w:rStyle w:val="VerbatimChar"/>
        </w:rPr>
        <w:t xml:space="preserve">paid</w:t>
      </w:r>
      <w:r>
        <w:t xml:space="preserve">); and post a GL entry (DR Cash/Bank / CR Accounts Receivable) with the payment date and reference.</w:t>
      </w:r>
    </w:p>
    <w:p>
      <w:pPr>
        <w:pStyle w:val="BodyText"/>
      </w:pPr>
      <w:r>
        <w:rPr>
          <w:i/>
          <w:iCs/>
        </w:rPr>
        <w:t xml:space="preserve">Traceability: BG-001, DC-003.</w:t>
      </w:r>
    </w:p>
    <w:p>
      <w:r>
        <w:pict>
          <v:rect style="width:0;height:1.5pt" o:hralign="center" o:hrstd="t" o:hr="t"/>
        </w:pict>
      </w:r>
    </w:p>
    <w:p>
      <w:pPr>
        <w:pStyle w:val="FirstParagraph"/>
      </w:pPr>
      <w:r>
        <w:rPr>
          <w:b/>
          <w:bCs/>
        </w:rPr>
        <w:t xml:space="preserve">FR-SAL-029</w:t>
      </w:r>
      <w:r>
        <w:t xml:space="preserve"> </w:t>
      </w:r>
      <w:r>
        <w:t xml:space="preserve">— AR Aging Report</w:t>
      </w:r>
    </w:p>
    <w:p>
      <w:pPr>
        <w:pStyle w:val="BodyText"/>
      </w:pPr>
      <w:r>
        <w:t xml:space="preserve">When a Finance Director or Accounts Assistant requests an AR aging report, the system shall display all outstanding invoices grouped by aging bucket: current (0-30 days), 31-60 days, 61-90 days, 91-120 days, and 120+ days past due. The report shall include customer name, invoice number, invoice date, invoice value, payments received, and outstanding balance. The report shall be exportable to PDF and Excel.</w:t>
      </w:r>
    </w:p>
    <w:p>
      <w:pPr>
        <w:pStyle w:val="BodyText"/>
      </w:pPr>
      <w:r>
        <w:rPr>
          <w:i/>
          <w:iCs/>
        </w:rPr>
        <w:t xml:space="preserve">Traceability: BG-001, STK-002 (Finance Director).</w:t>
      </w:r>
    </w:p>
    <w:p>
      <w:r>
        <w:pict>
          <v:rect style="width:0;height:1.5pt" o:hralign="center" o:hrstd="t" o:hr="t"/>
        </w:pict>
      </w:r>
    </w:p>
    <w:p>
      <w:pPr>
        <w:pStyle w:val="FirstParagraph"/>
      </w:pPr>
      <w:r>
        <w:rPr>
          <w:b/>
          <w:bCs/>
        </w:rPr>
        <w:t xml:space="preserve">FR-SAL-030</w:t>
      </w:r>
      <w:r>
        <w:t xml:space="preserve"> </w:t>
      </w:r>
      <w:r>
        <w:t xml:space="preserve">— Pro Forma Invoice</w:t>
      </w:r>
    </w:p>
    <w:p>
      <w:pPr>
        <w:pStyle w:val="BodyText"/>
      </w:pPr>
      <w:r>
        <w:t xml:space="preserve">When a sales officer creates a pro forma invoice, the system shall generate a document with identical fields to a tax invoice but clearly marked "PRO FORMA — NOT A TAX INVOICE" on every page. The system shall submit the pro forma to EFRIS if required by URA EFRIS guidelines</w:t>
      </w:r>
      <w:r>
        <w:t xml:space="preserve"> </w:t>
      </w:r>
      <w:r>
        <w:rPr>
          <w:rStyle w:val="VerbatimChar"/>
        </w:rPr>
        <w:t xml:space="preserve">[CONTEXT-GAP: GAP-001]</w:t>
      </w:r>
      <w:r>
        <w:t xml:space="preserve">. A pro forma shall not trigger GL posting. A pro forma may be converted to a confirmed invoice by the operator, at which point all confirmation rules (FR-SAL-009) apply.</w:t>
      </w:r>
    </w:p>
    <w:p>
      <w:pPr>
        <w:pStyle w:val="BodyText"/>
      </w:pPr>
      <w:r>
        <w:rPr>
          <w:i/>
          <w:iCs/>
        </w:rPr>
        <w:t xml:space="preserve">Traceability: BG-002, STK-006.</w:t>
      </w:r>
    </w:p>
    <w:p>
      <w:r>
        <w:pict>
          <v:rect style="width:0;height:1.5pt" o:hralign="center" o:hrstd="t" o:hr="t"/>
        </w:pict>
      </w:r>
    </w:p>
    <w:p>
      <w:pPr>
        <w:pStyle w:val="FirstParagraph"/>
      </w:pPr>
      <w:r>
        <w:rPr>
          <w:b/>
          <w:bCs/>
        </w:rPr>
        <w:t xml:space="preserve">FR-SAL-031</w:t>
      </w:r>
      <w:r>
        <w:t xml:space="preserve"> </w:t>
      </w:r>
      <w:r>
        <w:t xml:space="preserve">— Invoice Search and Filtering</w:t>
      </w:r>
    </w:p>
    <w:p>
      <w:pPr>
        <w:pStyle w:val="BodyText"/>
      </w:pPr>
      <w:r>
        <w:t xml:space="preserve">When a user accesses the invoice list, the system shall provide filtering by: invoice number (partial match), customer name (partial match), status, date range, sales agent, territory, and payment status. The invoice list shall display a minimum of 50 rows per page with pagination and be rendered by DataTables to support the expected data volume.</w:t>
      </w:r>
    </w:p>
    <w:p>
      <w:pPr>
        <w:pStyle w:val="BodyText"/>
      </w:pPr>
      <w:r>
        <w:rPr>
          <w:i/>
          <w:iCs/>
        </w:rPr>
        <w:t xml:space="preserve">Traceability: DC-001.</w:t>
      </w:r>
    </w:p>
    <w:p>
      <w:r>
        <w:pict>
          <v:rect style="width:0;height:1.5pt" o:hralign="center" o:hrstd="t" o:hr="t"/>
        </w:pict>
      </w:r>
    </w:p>
    <w:p>
      <w:pPr>
        <w:pStyle w:val="FirstParagraph"/>
      </w:pPr>
      <w:r>
        <w:rPr>
          <w:b/>
          <w:bCs/>
        </w:rPr>
        <w:t xml:space="preserve">FR-SAL-032</w:t>
      </w:r>
      <w:r>
        <w:t xml:space="preserve"> </w:t>
      </w:r>
      <w:r>
        <w:t xml:space="preserve">— Bulk Invoice Export</w:t>
      </w:r>
    </w:p>
    <w:p>
      <w:pPr>
        <w:pStyle w:val="BodyText"/>
      </w:pPr>
      <w:r>
        <w:t xml:space="preserve">When a Finance Director or Accounts Assistant selects multiple invoices and requests an export, the system shall generate an Excel workbook containing all selected invoices with line-item detail, GL posting references, EFRIS FDN numbers, and payment status, using PhpSpreadsheet.</w:t>
      </w:r>
    </w:p>
    <w:p>
      <w:pPr>
        <w:pStyle w:val="BodyText"/>
      </w:pPr>
      <w:r>
        <w:rPr>
          <w:i/>
          <w:iCs/>
        </w:rPr>
        <w:t xml:space="preserve">Traceability: BG-001, STK-002.</w:t>
      </w:r>
    </w:p>
    <w:p>
      <w:r>
        <w:pict>
          <v:rect style="width:0;height:1.5pt" o:hralign="center" o:hrstd="t" o:hr="t"/>
        </w:pict>
      </w:r>
    </w:p>
    <w:p>
      <w:pPr>
        <w:pStyle w:val="FirstParagraph"/>
      </w:pPr>
      <w:r>
        <w:rPr>
          <w:b/>
          <w:bCs/>
        </w:rPr>
        <w:t xml:space="preserve">FR-SAL-033</w:t>
      </w:r>
      <w:r>
        <w:t xml:space="preserve"> </w:t>
      </w:r>
      <w:r>
        <w:t xml:space="preserve">— EFRIS Audit Log</w:t>
      </w:r>
    </w:p>
    <w:p>
      <w:pPr>
        <w:pStyle w:val="BodyText"/>
      </w:pPr>
      <w:r>
        <w:t xml:space="preserve">The system shall maintain a dedicated EFRIS submission log for every sales document submitted to URA EFRIS. Each log entry shall record: document number, submission timestamp, HTTP status code returned by EFRIS, FDN received (or null on failure), response payload (stored verbatim), retry count, and final submission status. This log shall be tamper-evident and retained for 7 years per DC-003 and Uganda Companies Act requirements.</w:t>
      </w:r>
    </w:p>
    <w:p>
      <w:pPr>
        <w:pStyle w:val="BodyText"/>
      </w:pPr>
      <w:r>
        <w:rPr>
          <w:i/>
          <w:iCs/>
        </w:rPr>
        <w:t xml:space="preserve">Traceability: BG-002, DC-003, BR-013.</w:t>
      </w:r>
    </w:p>
    <w:p>
      <w:r>
        <w:pict>
          <v:rect style="width:0;height:1.5pt" o:hralign="center" o:hrstd="t" o:hr="t"/>
        </w:pict>
      </w:r>
    </w:p>
    <w:p>
      <w:pPr>
        <w:pStyle w:val="FirstParagraph"/>
      </w:pPr>
      <w:r>
        <w:rPr>
          <w:b/>
          <w:bCs/>
        </w:rPr>
        <w:t xml:space="preserve">FR-SAL-034</w:t>
      </w:r>
      <w:r>
        <w:t xml:space="preserve"> </w:t>
      </w:r>
      <w:r>
        <w:t xml:space="preserve">— Discounts and Surcharges at Invoice Level</w:t>
      </w:r>
    </w:p>
    <w:p>
      <w:pPr>
        <w:pStyle w:val="BodyText"/>
      </w:pPr>
      <w:r>
        <w:t xml:space="preserve">When an operator applies a discount or surcharge at the invoice header level, the system shall distribute the adjustment proportionally across all line items, recalculate all line totals, update the invoice total, and log the adjustment amount, type (discount or surcharge), and applying user in the invoice record. Invoice-level discounts require approval from a user with the</w:t>
      </w:r>
      <w:r>
        <w:t xml:space="preserve"> </w:t>
      </w:r>
      <w:r>
        <w:rPr>
          <w:rStyle w:val="VerbatimChar"/>
        </w:rPr>
        <w:t xml:space="preserve">sales_manager</w:t>
      </w:r>
      <w:r>
        <w:t xml:space="preserve"> </w:t>
      </w:r>
      <w:r>
        <w:t xml:space="preserve">role when the discount percentage exceeds a configurable threshold (default: 10%).</w:t>
      </w:r>
    </w:p>
    <w:p>
      <w:pPr>
        <w:pStyle w:val="BodyText"/>
      </w:pPr>
      <w:r>
        <w:rPr>
          <w:i/>
          <w:iCs/>
        </w:rPr>
        <w:t xml:space="preserve">Traceability: BG-002, DC-002.</w:t>
      </w:r>
    </w:p>
    <w:p>
      <w:r>
        <w:pict>
          <v:rect style="width:0;height:1.5pt" o:hralign="center" o:hrstd="t" o:hr="t"/>
        </w:pict>
      </w:r>
    </w:p>
    <w:p>
      <w:pPr>
        <w:pStyle w:val="FirstParagraph"/>
      </w:pPr>
      <w:r>
        <w:rPr>
          <w:b/>
          <w:bCs/>
        </w:rPr>
        <w:t xml:space="preserve">FR-SAL-035</w:t>
      </w:r>
      <w:r>
        <w:t xml:space="preserve"> </w:t>
      </w:r>
      <w:r>
        <w:t xml:space="preserve">— Multi-Currency Invoice Support</w:t>
      </w:r>
    </w:p>
    <w:p>
      <w:pPr>
        <w:pStyle w:val="BodyText"/>
      </w:pPr>
      <w:r>
        <w:t xml:space="preserve">When an export invoice is created for an international customer, the system shall allow selection of the invoice currency (UGX, USD, EUR, or any configured currency). The system shall record both the foreign currency amount and the UGX equivalent at the exchange rate configured at the time of invoice creation. GL posting shall always be in UGX.</w:t>
      </w:r>
      <w:r>
        <w:t xml:space="preserve"> </w:t>
      </w:r>
      <w:r>
        <w:rPr>
          <w:rStyle w:val="VerbatimChar"/>
        </w:rPr>
        <w:t xml:space="preserve">[CONTEXT-GAP: GAP-001]</w:t>
      </w:r>
      <w:r>
        <w:t xml:space="preserve"> </w:t>
      </w:r>
      <w:r>
        <w:t xml:space="preserve">— confirm EFRIS requirements for foreign-currency invoices.</w:t>
      </w:r>
    </w:p>
    <w:p>
      <w:pPr>
        <w:pStyle w:val="BodyText"/>
      </w:pPr>
      <w:r>
        <w:rPr>
          <w:i/>
          <w:iCs/>
        </w:rPr>
        <w:t xml:space="preserve">Traceability: BG-002, F-005 (GL multi-currency), DC-002.</w:t>
      </w:r>
    </w:p>
    <w:bookmarkEnd w:id="41"/>
    <w:bookmarkEnd w:id="42"/>
    <w:bookmarkStart w:id="45" w:name="X758f0bc0216b2679698c14ce6c34b485f37895d"/>
    <w:p>
      <w:pPr>
        <w:pStyle w:val="Heading2"/>
      </w:pPr>
      <w:r>
        <w:t xml:space="preserve">3.2 Module F-002: Point of Sale (POS)</w:t>
      </w:r>
    </w:p>
    <w:bookmarkStart w:id="43" w:name="X0db9bbd5b4d9887b6c2ae65ff257974388ab153"/>
    <w:p>
      <w:pPr>
        <w:pStyle w:val="Heading3"/>
      </w:pPr>
      <w:r>
        <w:t xml:space="preserve">3.2.1 Overview</w:t>
      </w:r>
    </w:p>
    <w:p>
      <w:pPr>
        <w:pStyle w:val="FirstParagraph"/>
      </w:pPr>
      <w:r>
        <w:t xml:space="preserve">Module F-002 provides three POS contexts: factory gate / showroom (fixed terminal), distribution centre (fixed terminal), and agent checkout (Sales Agent Android App). All three contexts submit transactions to URA EFRIS, post to GL, and support multiple payment methods. Factory gate and distribution centre POS are web-based (Bootstrap 5 / Tabler UI); agent checkout is the Sales Agent Android App with offline capability.</w:t>
      </w:r>
    </w:p>
    <w:bookmarkEnd w:id="43"/>
    <w:bookmarkStart w:id="44" w:name="X2227c0ce8a854b6fa550bf2cc52eaa9e9c14b7b"/>
    <w:p>
      <w:pPr>
        <w:pStyle w:val="Heading3"/>
      </w:pPr>
      <w:r>
        <w:t xml:space="preserve">3.2.2 Functional Requirements — Point of Sale</w:t>
      </w:r>
    </w:p>
    <w:p>
      <w:r>
        <w:pict>
          <v:rect style="width:0;height:1.5pt" o:hralign="center" o:hrstd="t" o:hr="t"/>
        </w:pict>
      </w:r>
    </w:p>
    <w:p>
      <w:pPr>
        <w:pStyle w:val="FirstParagraph"/>
      </w:pPr>
      <w:r>
        <w:rPr>
          <w:b/>
          <w:bCs/>
        </w:rPr>
        <w:t xml:space="preserve">FR-POS-001</w:t>
      </w:r>
      <w:r>
        <w:t xml:space="preserve"> </w:t>
      </w:r>
      <w:r>
        <w:t xml:space="preserve">— POS Session Opening with Float</w:t>
      </w:r>
    </w:p>
    <w:p>
      <w:pPr>
        <w:pStyle w:val="BodyText"/>
      </w:pPr>
      <w:r>
        <w:t xml:space="preserve">When a cashier or agent initiates a new POS session, the system shall require entry of the opening float amount (the cash placed in the till or cash bag at the start of the shift) before any sale transactions are permitted. The system shall record the opening float amount, the session start time, the operator's identity, and the POS terminal/context identifier. A session without a recorded opening float shall block all sale transactions per BR-007 enforcement at the session layer.</w:t>
      </w:r>
    </w:p>
    <w:p>
      <w:pPr>
        <w:pStyle w:val="BodyText"/>
      </w:pPr>
      <w:r>
        <w:rPr>
          <w:i/>
          <w:iCs/>
        </w:rPr>
        <w:t xml:space="preserve">Traceability: BR-007, DC-003, STK-019 (cashier).</w:t>
      </w:r>
    </w:p>
    <w:p>
      <w:r>
        <w:pict>
          <v:rect style="width:0;height:1.5pt" o:hralign="center" o:hrstd="t" o:hr="t"/>
        </w:pict>
      </w:r>
    </w:p>
    <w:p>
      <w:pPr>
        <w:pStyle w:val="FirstParagraph"/>
      </w:pPr>
      <w:r>
        <w:rPr>
          <w:b/>
          <w:bCs/>
        </w:rPr>
        <w:t xml:space="preserve">FR-POS-002</w:t>
      </w:r>
      <w:r>
        <w:t xml:space="preserve"> </w:t>
      </w:r>
      <w:r>
        <w:t xml:space="preserve">— POS Context Routing</w:t>
      </w:r>
    </w:p>
    <w:p>
      <w:pPr>
        <w:pStyle w:val="BodyText"/>
      </w:pPr>
      <w:r>
        <w:t xml:space="preserve">When a user opens the POS module, the system shall automatically route the session to the correct POS context based on the user's role and assigned location:</w:t>
      </w:r>
    </w:p>
    <w:p>
      <w:pPr>
        <w:pStyle w:val="Compact"/>
        <w:numPr>
          <w:ilvl w:val="0"/>
          <w:numId w:val="1009"/>
        </w:numPr>
      </w:pPr>
      <w:r>
        <w:t xml:space="preserve">Users with role</w:t>
      </w:r>
      <w:r>
        <w:t xml:space="preserve"> </w:t>
      </w:r>
      <w:r>
        <w:rPr>
          <w:rStyle w:val="VerbatimChar"/>
        </w:rPr>
        <w:t xml:space="preserve">cashier_factory_gate</w:t>
      </w:r>
      <w:r>
        <w:t xml:space="preserve"> </w:t>
      </w:r>
      <w:r>
        <w:t xml:space="preserve">are routed to the factory gate context, which draws stock from the factory gate warehouse location.</w:t>
      </w:r>
    </w:p>
    <w:p>
      <w:pPr>
        <w:pStyle w:val="Compact"/>
        <w:numPr>
          <w:ilvl w:val="0"/>
          <w:numId w:val="1009"/>
        </w:numPr>
      </w:pPr>
      <w:r>
        <w:t xml:space="preserve">Users with role</w:t>
      </w:r>
      <w:r>
        <w:t xml:space="preserve"> </w:t>
      </w:r>
      <w:r>
        <w:rPr>
          <w:rStyle w:val="VerbatimChar"/>
        </w:rPr>
        <w:t xml:space="preserve">cashier_distribution_centre</w:t>
      </w:r>
      <w:r>
        <w:t xml:space="preserve"> </w:t>
      </w:r>
      <w:r>
        <w:t xml:space="preserve">are routed to the distribution centre context, which draws stock from the distribution centre location.</w:t>
      </w:r>
    </w:p>
    <w:p>
      <w:pPr>
        <w:pStyle w:val="Compact"/>
        <w:numPr>
          <w:ilvl w:val="0"/>
          <w:numId w:val="1009"/>
        </w:numPr>
      </w:pPr>
      <w:r>
        <w:t xml:space="preserve">Users with role</w:t>
      </w:r>
      <w:r>
        <w:t xml:space="preserve"> </w:t>
      </w:r>
      <w:r>
        <w:rPr>
          <w:rStyle w:val="VerbatimChar"/>
        </w:rPr>
        <w:t xml:space="preserve">agent</w:t>
      </w:r>
      <w:r>
        <w:t xml:space="preserve"> </w:t>
      </w:r>
      <w:r>
        <w:t xml:space="preserve">accessing the Sales Agent App are routed to the agent checkout context, which draws stock from that agent's virtual store (</w:t>
      </w:r>
      <w:r>
        <w:rPr>
          <w:rStyle w:val="VerbatimChar"/>
        </w:rPr>
        <w:t xml:space="preserve">tbl_agent_stock_balance</w:t>
      </w:r>
      <w:r>
        <w:t xml:space="preserve">).</w:t>
      </w:r>
    </w:p>
    <w:p>
      <w:pPr>
        <w:pStyle w:val="FirstParagraph"/>
      </w:pPr>
      <w:r>
        <w:rPr>
          <w:i/>
          <w:iCs/>
        </w:rPr>
        <w:t xml:space="preserve">Traceability: BR-001, BR-007, DC-001.</w:t>
      </w:r>
    </w:p>
    <w:p>
      <w:r>
        <w:pict>
          <v:rect style="width:0;height:1.5pt" o:hralign="center" o:hrstd="t" o:hr="t"/>
        </w:pict>
      </w:r>
    </w:p>
    <w:p>
      <w:pPr>
        <w:pStyle w:val="FirstParagraph"/>
      </w:pPr>
      <w:r>
        <w:rPr>
          <w:b/>
          <w:bCs/>
        </w:rPr>
        <w:t xml:space="preserve">FR-POS-003</w:t>
      </w:r>
      <w:r>
        <w:t xml:space="preserve"> </w:t>
      </w:r>
      <w:r>
        <w:t xml:space="preserve">— Product Search by Name</w:t>
      </w:r>
    </w:p>
    <w:p>
      <w:pPr>
        <w:pStyle w:val="BodyText"/>
      </w:pPr>
      <w:r>
        <w:t xml:space="preserve">When a cashier types 2 or more characters into the product search field, the system shall return all products whose name contains the entered string (case-insensitive), display results in under 500 milliseconds, and allow the cashier to select a product by tapping or clicking the result row. The search shall be performed against products that have available stock at the current POS location.</w:t>
      </w:r>
    </w:p>
    <w:p>
      <w:pPr>
        <w:pStyle w:val="BodyText"/>
      </w:pPr>
      <w:r>
        <w:rPr>
          <w:i/>
          <w:iCs/>
        </w:rPr>
        <w:t xml:space="preserve">Traceability: DC-001, DC-005 (offline: search operates on local cache).</w:t>
      </w:r>
    </w:p>
    <w:p>
      <w:r>
        <w:pict>
          <v:rect style="width:0;height:1.5pt" o:hralign="center" o:hrstd="t" o:hr="t"/>
        </w:pict>
      </w:r>
    </w:p>
    <w:p>
      <w:pPr>
        <w:pStyle w:val="FirstParagraph"/>
      </w:pPr>
      <w:r>
        <w:rPr>
          <w:b/>
          <w:bCs/>
        </w:rPr>
        <w:t xml:space="preserve">FR-POS-004</w:t>
      </w:r>
      <w:r>
        <w:t xml:space="preserve"> </w:t>
      </w:r>
      <w:r>
        <w:t xml:space="preserve">— Product Search by Product Code</w:t>
      </w:r>
    </w:p>
    <w:p>
      <w:pPr>
        <w:pStyle w:val="BodyText"/>
      </w:pPr>
      <w:r>
        <w:t xml:space="preserve">When a cashier enters a product code (exact match) in the search field and presses Enter or taps Search, the system shall retrieve and display the matching product in under 500 milliseconds or display "product not found" if no match exists.</w:t>
      </w:r>
    </w:p>
    <w:p>
      <w:pPr>
        <w:pStyle w:val="BodyText"/>
      </w:pPr>
      <w:r>
        <w:rPr>
          <w:i/>
          <w:iCs/>
        </w:rPr>
        <w:t xml:space="preserve">Traceability: DC-001.</w:t>
      </w:r>
    </w:p>
    <w:p>
      <w:r>
        <w:pict>
          <v:rect style="width:0;height:1.5pt" o:hralign="center" o:hrstd="t" o:hr="t"/>
        </w:pict>
      </w:r>
    </w:p>
    <w:p>
      <w:pPr>
        <w:pStyle w:val="FirstParagraph"/>
      </w:pPr>
      <w:r>
        <w:rPr>
          <w:b/>
          <w:bCs/>
        </w:rPr>
        <w:t xml:space="preserve">FR-POS-005</w:t>
      </w:r>
      <w:r>
        <w:t xml:space="preserve"> </w:t>
      </w:r>
      <w:r>
        <w:t xml:space="preserve">— Product Search by Barcode Scan</w:t>
      </w:r>
    </w:p>
    <w:p>
      <w:pPr>
        <w:pStyle w:val="BodyText"/>
      </w:pPr>
      <w:r>
        <w:t xml:space="preserve">When a barcode is scanned via USB scanner (fixed terminal) or device camera (mobile), the system shall decode the barcode, match it to a product in the catalogue, and add the product to the current transaction in under 500 milliseconds. When no product matches the scanned barcode, the system shall display "barcode not found" and allow the cashier to search manually. Camera-based scanning on the Sales Agent App shall use Android ML Kit barcode scanning.</w:t>
      </w:r>
    </w:p>
    <w:p>
      <w:pPr>
        <w:pStyle w:val="BodyText"/>
      </w:pPr>
      <w:r>
        <w:rPr>
          <w:i/>
          <w:iCs/>
        </w:rPr>
        <w:t xml:space="preserve">Traceability: DC-001, DC-005 (offline capable).</w:t>
      </w:r>
    </w:p>
    <w:p>
      <w:r>
        <w:pict>
          <v:rect style="width:0;height:1.5pt" o:hralign="center" o:hrstd="t" o:hr="t"/>
        </w:pict>
      </w:r>
    </w:p>
    <w:p>
      <w:pPr>
        <w:pStyle w:val="FirstParagraph"/>
      </w:pPr>
      <w:r>
        <w:rPr>
          <w:b/>
          <w:bCs/>
        </w:rPr>
        <w:t xml:space="preserve">FR-POS-006</w:t>
      </w:r>
      <w:r>
        <w:t xml:space="preserve"> </w:t>
      </w:r>
      <w:r>
        <w:t xml:space="preserve">— Transaction Line Item Entry</w:t>
      </w:r>
    </w:p>
    <w:p>
      <w:pPr>
        <w:pStyle w:val="BodyText"/>
      </w:pPr>
      <w:r>
        <w:t xml:space="preserve">When a product is selected for a POS transaction, the system shall display the product name, current unit price from the applicable price list, an editable quantity field defaulting to 1, and the line total. The system shall update the transaction total in real time as quantities are changed. The cashier shall be able to remove a line item before payment is confirmed.</w:t>
      </w:r>
    </w:p>
    <w:p>
      <w:pPr>
        <w:pStyle w:val="BodyText"/>
      </w:pPr>
      <w:r>
        <w:rPr>
          <w:i/>
          <w:iCs/>
        </w:rPr>
        <w:t xml:space="preserve">Traceability: DC-001.</w:t>
      </w:r>
    </w:p>
    <w:p>
      <w:r>
        <w:pict>
          <v:rect style="width:0;height:1.5pt" o:hralign="center" o:hrstd="t" o:hr="t"/>
        </w:pict>
      </w:r>
    </w:p>
    <w:p>
      <w:pPr>
        <w:pStyle w:val="FirstParagraph"/>
      </w:pPr>
      <w:r>
        <w:rPr>
          <w:b/>
          <w:bCs/>
        </w:rPr>
        <w:t xml:space="preserve">FR-POS-007</w:t>
      </w:r>
      <w:r>
        <w:t xml:space="preserve"> </w:t>
      </w:r>
      <w:r>
        <w:t xml:space="preserve">— Quick Keys (Configurable Shortcut Buttons)</w:t>
      </w:r>
    </w:p>
    <w:p>
      <w:pPr>
        <w:pStyle w:val="BodyText"/>
      </w:pPr>
      <w:r>
        <w:t xml:space="preserve">When a cashier is on the POS sale screen, the system shall display a configurable grid of Quick Key buttons, each mapped to a frequently sold product. A user with the</w:t>
      </w:r>
      <w:r>
        <w:t xml:space="preserve"> </w:t>
      </w:r>
      <w:r>
        <w:rPr>
          <w:rStyle w:val="VerbatimChar"/>
        </w:rPr>
        <w:t xml:space="preserve">pos_manager</w:t>
      </w:r>
      <w:r>
        <w:t xml:space="preserve"> </w:t>
      </w:r>
      <w:r>
        <w:t xml:space="preserve">role shall be able to add, remove, or rearrange Quick Key buttons via a settings screen. Tapping a Quick Key shall add the associated product to the transaction with quantity 1, equivalent to performing a product search and selection. Quick Key configurations shall be stored per POS context (factory gate, distribution centre) independently.</w:t>
      </w:r>
    </w:p>
    <w:p>
      <w:pPr>
        <w:pStyle w:val="BodyText"/>
      </w:pPr>
      <w:r>
        <w:rPr>
          <w:i/>
          <w:iCs/>
        </w:rPr>
        <w:t xml:space="preserve">Traceability: DC-001, DC-002.</w:t>
      </w:r>
    </w:p>
    <w:p>
      <w:r>
        <w:pict>
          <v:rect style="width:0;height:1.5pt" o:hralign="center" o:hrstd="t" o:hr="t"/>
        </w:pict>
      </w:r>
    </w:p>
    <w:p>
      <w:pPr>
        <w:pStyle w:val="FirstParagraph"/>
      </w:pPr>
      <w:r>
        <w:rPr>
          <w:b/>
          <w:bCs/>
        </w:rPr>
        <w:t xml:space="preserve">FR-POS-008</w:t>
      </w:r>
      <w:r>
        <w:t xml:space="preserve"> </w:t>
      </w:r>
      <w:r>
        <w:t xml:space="preserve">— Multi-Payment: Cash</w:t>
      </w:r>
    </w:p>
    <w:p>
      <w:pPr>
        <w:pStyle w:val="BodyText"/>
      </w:pPr>
      <w:r>
        <w:t xml:space="preserve">When a cashier selects Cash as a payment method for a transaction, the system shall display a numeric input for the cash tendered amount, calculate and display the change due (tendered minus transaction total), and confirm the payment only when the tendered amount is greater than or equal to the transaction total.</w:t>
      </w:r>
    </w:p>
    <w:p>
      <w:pPr>
        <w:pStyle w:val="BodyText"/>
      </w:pPr>
      <w:r>
        <w:rPr>
          <w:i/>
          <w:iCs/>
        </w:rPr>
        <w:t xml:space="preserve">Traceability: DC-001.</w:t>
      </w:r>
    </w:p>
    <w:p>
      <w:r>
        <w:pict>
          <v:rect style="width:0;height:1.5pt" o:hralign="center" o:hrstd="t" o:hr="t"/>
        </w:pict>
      </w:r>
    </w:p>
    <w:p>
      <w:pPr>
        <w:pStyle w:val="FirstParagraph"/>
      </w:pPr>
      <w:r>
        <w:rPr>
          <w:b/>
          <w:bCs/>
        </w:rPr>
        <w:t xml:space="preserve">FR-POS-009</w:t>
      </w:r>
      <w:r>
        <w:t xml:space="preserve"> </w:t>
      </w:r>
      <w:r>
        <w:t xml:space="preserve">— Multi-Payment: MTN Mobile Money</w:t>
      </w:r>
    </w:p>
    <w:p>
      <w:pPr>
        <w:pStyle w:val="BodyText"/>
      </w:pPr>
      <w:r>
        <w:t xml:space="preserve">When a cashier selects MTN MoMo as a payment method, the system shall prompt for the customer's MTN MoMo phone number, display the amount to be collected, initiate a payment request via the MTN MoMo Business API, display a pending status while awaiting customer confirmation on the customer's phone, and record the payment as confirmed upon receiving a success callback from the MTN API.</w:t>
      </w:r>
      <w:r>
        <w:t xml:space="preserve"> </w:t>
      </w:r>
      <w:r>
        <w:rPr>
          <w:rStyle w:val="VerbatimChar"/>
        </w:rPr>
        <w:t xml:space="preserve">[CONTEXT-GAP: GAP-002]</w:t>
      </w:r>
      <w:r>
        <w:t xml:space="preserve"> </w:t>
      </w:r>
      <w:r>
        <w:t xml:space="preserve">— MTN MoMo Business API sandbox credentials required.</w:t>
      </w:r>
    </w:p>
    <w:p>
      <w:pPr>
        <w:pStyle w:val="BodyText"/>
      </w:pPr>
      <w:r>
        <w:rPr>
          <w:i/>
          <w:iCs/>
        </w:rPr>
        <w:t xml:space="preserve">Traceability: DC-005.</w:t>
      </w:r>
    </w:p>
    <w:p>
      <w:r>
        <w:pict>
          <v:rect style="width:0;height:1.5pt" o:hralign="center" o:hrstd="t" o:hr="t"/>
        </w:pict>
      </w:r>
    </w:p>
    <w:p>
      <w:pPr>
        <w:pStyle w:val="FirstParagraph"/>
      </w:pPr>
      <w:r>
        <w:rPr>
          <w:b/>
          <w:bCs/>
        </w:rPr>
        <w:t xml:space="preserve">FR-POS-010</w:t>
      </w:r>
      <w:r>
        <w:t xml:space="preserve"> </w:t>
      </w:r>
      <w:r>
        <w:t xml:space="preserve">— Multi-Payment: Airtel Money</w:t>
      </w:r>
    </w:p>
    <w:p>
      <w:pPr>
        <w:pStyle w:val="BodyText"/>
      </w:pPr>
      <w:r>
        <w:t xml:space="preserve">When a cashier selects Airtel Money as a payment method, the system shall follow the same workflow as MTN MoMo (FR-POS-009) using the Airtel Money API.</w:t>
      </w:r>
      <w:r>
        <w:t xml:space="preserve"> </w:t>
      </w:r>
      <w:r>
        <w:rPr>
          <w:rStyle w:val="VerbatimChar"/>
        </w:rPr>
        <w:t xml:space="preserve">[CONTEXT-GAP: GAP-003]</w:t>
      </w:r>
    </w:p>
    <w:p>
      <w:pPr>
        <w:pStyle w:val="BodyText"/>
      </w:pPr>
      <w:r>
        <w:rPr>
          <w:i/>
          <w:iCs/>
        </w:rPr>
        <w:t xml:space="preserve">Traceability: DC-005.</w:t>
      </w:r>
    </w:p>
    <w:p>
      <w:r>
        <w:pict>
          <v:rect style="width:0;height:1.5pt" o:hralign="center" o:hrstd="t" o:hr="t"/>
        </w:pict>
      </w:r>
    </w:p>
    <w:p>
      <w:pPr>
        <w:pStyle w:val="FirstParagraph"/>
      </w:pPr>
      <w:r>
        <w:rPr>
          <w:b/>
          <w:bCs/>
        </w:rPr>
        <w:t xml:space="preserve">FR-POS-011</w:t>
      </w:r>
      <w:r>
        <w:t xml:space="preserve"> </w:t>
      </w:r>
      <w:r>
        <w:t xml:space="preserve">— Multi-Payment: Cheque</w:t>
      </w:r>
    </w:p>
    <w:p>
      <w:pPr>
        <w:pStyle w:val="BodyText"/>
      </w:pPr>
      <w:r>
        <w:t xml:space="preserve">When a cashier selects Cheque as a payment method, the system shall require entry of: cheque number, bank name, account name, and cheque date. The cheque payment shall be recorded as pending clearance. A user with the</w:t>
      </w:r>
      <w:r>
        <w:t xml:space="preserve"> </w:t>
      </w:r>
      <w:r>
        <w:rPr>
          <w:rStyle w:val="VerbatimChar"/>
        </w:rPr>
        <w:t xml:space="preserve">finance</w:t>
      </w:r>
      <w:r>
        <w:t xml:space="preserve"> </w:t>
      </w:r>
      <w:r>
        <w:t xml:space="preserve">role shall confirm cheque clearance separately, which triggers the GL posting for that payment.</w:t>
      </w:r>
    </w:p>
    <w:p>
      <w:pPr>
        <w:pStyle w:val="BodyText"/>
      </w:pPr>
      <w:r>
        <w:rPr>
          <w:i/>
          <w:iCs/>
        </w:rPr>
        <w:t xml:space="preserve">Traceability: DC-003.</w:t>
      </w:r>
    </w:p>
    <w:p>
      <w:r>
        <w:pict>
          <v:rect style="width:0;height:1.5pt" o:hralign="center" o:hrstd="t" o:hr="t"/>
        </w:pict>
      </w:r>
    </w:p>
    <w:p>
      <w:pPr>
        <w:pStyle w:val="FirstParagraph"/>
      </w:pPr>
      <w:r>
        <w:rPr>
          <w:b/>
          <w:bCs/>
        </w:rPr>
        <w:t xml:space="preserve">FR-POS-012</w:t>
      </w:r>
      <w:r>
        <w:t xml:space="preserve"> </w:t>
      </w:r>
      <w:r>
        <w:t xml:space="preserve">— Multi-Payment: Bank Deposit</w:t>
      </w:r>
    </w:p>
    <w:p>
      <w:pPr>
        <w:pStyle w:val="BodyText"/>
      </w:pPr>
      <w:r>
        <w:t xml:space="preserve">When a cashier selects Bank Deposit as a payment method, the system shall require entry of the bank deposit slip reference number, bank name, and deposit date. The bank deposit payment shall be recorded and the GL posting generated immediately (pending bank reconciliation confirmation).</w:t>
      </w:r>
    </w:p>
    <w:p>
      <w:pPr>
        <w:pStyle w:val="BodyText"/>
      </w:pPr>
      <w:r>
        <w:rPr>
          <w:i/>
          <w:iCs/>
        </w:rPr>
        <w:t xml:space="preserve">Traceability: DC-003.</w:t>
      </w:r>
    </w:p>
    <w:p>
      <w:r>
        <w:pict>
          <v:rect style="width:0;height:1.5pt" o:hralign="center" o:hrstd="t" o:hr="t"/>
        </w:pict>
      </w:r>
    </w:p>
    <w:p>
      <w:pPr>
        <w:pStyle w:val="FirstParagraph"/>
      </w:pPr>
      <w:r>
        <w:rPr>
          <w:b/>
          <w:bCs/>
        </w:rPr>
        <w:t xml:space="preserve">FR-POS-013</w:t>
      </w:r>
      <w:r>
        <w:t xml:space="preserve"> </w:t>
      </w:r>
      <w:r>
        <w:t xml:space="preserve">— Split Payment Across Multiple Methods</w:t>
      </w:r>
    </w:p>
    <w:p>
      <w:pPr>
        <w:pStyle w:val="BodyText"/>
      </w:pPr>
      <w:r>
        <w:t xml:space="preserve">When a customer pays using a combination of payment methods for a single transaction, the system shall allow the cashier to enter partial amounts against each payment method, validate that the sum of all payment amounts equals the transaction total before confirming the sale, and record each payment method and amount separately against the transaction record.</w:t>
      </w:r>
    </w:p>
    <w:p>
      <w:pPr>
        <w:pStyle w:val="BodyText"/>
      </w:pPr>
      <w:r>
        <w:rPr>
          <w:i/>
          <w:iCs/>
        </w:rPr>
        <w:t xml:space="preserve">Traceability: DC-001.</w:t>
      </w:r>
    </w:p>
    <w:p>
      <w:r>
        <w:pict>
          <v:rect style="width:0;height:1.5pt" o:hralign="center" o:hrstd="t" o:hr="t"/>
        </w:pict>
      </w:r>
    </w:p>
    <w:p>
      <w:pPr>
        <w:pStyle w:val="FirstParagraph"/>
      </w:pPr>
      <w:r>
        <w:rPr>
          <w:b/>
          <w:bCs/>
        </w:rPr>
        <w:t xml:space="preserve">FR-POS-014</w:t>
      </w:r>
      <w:r>
        <w:t xml:space="preserve"> </w:t>
      </w:r>
      <w:r>
        <w:t xml:space="preserve">— EFRIS Submission for POS Receipts</w:t>
      </w:r>
    </w:p>
    <w:p>
      <w:pPr>
        <w:pStyle w:val="BodyText"/>
      </w:pPr>
      <w:r>
        <w:t xml:space="preserve">When a POS sale is confirmed (all payments recorded and total balanced), the system shall immediately submit the transaction to URA EFRIS as a POS receipt. When the EFRIS API returns an FDN and QR code, the system shall store both against the transaction record. When the system is offline, the EFRIS submission shall be queued and processed automatically upon connectivity restoration per FR-POS-027.</w:t>
      </w:r>
      <w:r>
        <w:t xml:space="preserve"> </w:t>
      </w:r>
      <w:r>
        <w:rPr>
          <w:rStyle w:val="VerbatimChar"/>
        </w:rPr>
        <w:t xml:space="preserve">[CONTEXT-GAP: GAP-001]</w:t>
      </w:r>
    </w:p>
    <w:p>
      <w:pPr>
        <w:pStyle w:val="BodyText"/>
      </w:pPr>
      <w:r>
        <w:rPr>
          <w:i/>
          <w:iCs/>
        </w:rPr>
        <w:t xml:space="preserve">Traceability: BG-002, URA EFRIS Technical Specification.</w:t>
      </w:r>
    </w:p>
    <w:p>
      <w:r>
        <w:pict>
          <v:rect style="width:0;height:1.5pt" o:hralign="center" o:hrstd="t" o:hr="t"/>
        </w:pict>
      </w:r>
    </w:p>
    <w:p>
      <w:pPr>
        <w:pStyle w:val="FirstParagraph"/>
      </w:pPr>
      <w:r>
        <w:rPr>
          <w:b/>
          <w:bCs/>
        </w:rPr>
        <w:t xml:space="preserve">FR-POS-015</w:t>
      </w:r>
      <w:r>
        <w:t xml:space="preserve"> </w:t>
      </w:r>
      <w:r>
        <w:t xml:space="preserve">— Receipt Generation: 80mm Thermal</w:t>
      </w:r>
    </w:p>
    <w:p>
      <w:pPr>
        <w:pStyle w:val="BodyText"/>
      </w:pPr>
      <w:r>
        <w:t xml:space="preserve">When a POS sale is confirmed, the system shall generate a receipt formatted for 80mm thermal printers (ESC/POS protocol) containing: BIRDC name and address, TIN, POS context name, cashier name, transaction date and time, product lines (name, quantity, unit price, line total), payment method breakdown, transaction total, EFRIS FDN, EFRIS QR code, and a system-generated transaction reference number. The receipt shall print automatically or on cashier demand.</w:t>
      </w:r>
    </w:p>
    <w:p>
      <w:pPr>
        <w:pStyle w:val="BodyText"/>
      </w:pPr>
      <w:r>
        <w:rPr>
          <w:i/>
          <w:iCs/>
        </w:rPr>
        <w:t xml:space="preserve">Traceability: DC-001, URA EFRIS Technical Specification.</w:t>
      </w:r>
    </w:p>
    <w:p>
      <w:r>
        <w:pict>
          <v:rect style="width:0;height:1.5pt" o:hralign="center" o:hrstd="t" o:hr="t"/>
        </w:pict>
      </w:r>
    </w:p>
    <w:p>
      <w:pPr>
        <w:pStyle w:val="FirstParagraph"/>
      </w:pPr>
      <w:r>
        <w:rPr>
          <w:b/>
          <w:bCs/>
        </w:rPr>
        <w:t xml:space="preserve">FR-POS-016</w:t>
      </w:r>
      <w:r>
        <w:t xml:space="preserve"> </w:t>
      </w:r>
      <w:r>
        <w:t xml:space="preserve">— Receipt Generation: A4 Invoice</w:t>
      </w:r>
    </w:p>
    <w:p>
      <w:pPr>
        <w:pStyle w:val="BodyText"/>
      </w:pPr>
      <w:r>
        <w:t xml:space="preserve">When a cashier or customer requests a full A4 invoice for a POS transaction, the system shall generate a PDF invoice using mPDF with the same content as the thermal receipt plus the customer's name, address, and TIN (if the customer account is registered), formatted per BIRDC's standard invoice template.</w:t>
      </w:r>
    </w:p>
    <w:p>
      <w:pPr>
        <w:pStyle w:val="BodyText"/>
      </w:pPr>
      <w:r>
        <w:rPr>
          <w:i/>
          <w:iCs/>
        </w:rPr>
        <w:t xml:space="preserve">Traceability: DC-001.</w:t>
      </w:r>
    </w:p>
    <w:p>
      <w:r>
        <w:pict>
          <v:rect style="width:0;height:1.5pt" o:hralign="center" o:hrstd="t" o:hr="t"/>
        </w:pict>
      </w:r>
    </w:p>
    <w:p>
      <w:pPr>
        <w:pStyle w:val="FirstParagraph"/>
      </w:pPr>
      <w:r>
        <w:rPr>
          <w:b/>
          <w:bCs/>
        </w:rPr>
        <w:t xml:space="preserve">FR-POS-017</w:t>
      </w:r>
      <w:r>
        <w:t xml:space="preserve"> </w:t>
      </w:r>
      <w:r>
        <w:t xml:space="preserve">— Receipt Generation: SMS and WhatsApp Digital Receipt</w:t>
      </w:r>
    </w:p>
    <w:p>
      <w:pPr>
        <w:pStyle w:val="BodyText"/>
      </w:pPr>
      <w:r>
        <w:t xml:space="preserve">When a customer requests a digital receipt via SMS or WhatsApp, the system shall send the transaction total, FDN, product summary, and a link to the full PDF receipt to the phone number provided by the customer via the configured SMS/WhatsApp gateway.</w:t>
      </w:r>
      <w:r>
        <w:t xml:space="preserve"> </w:t>
      </w:r>
      <w:r>
        <w:rPr>
          <w:rStyle w:val="VerbatimChar"/>
        </w:rPr>
        <w:t xml:space="preserve">[CONTEXT-GAP: GAP-001]</w:t>
      </w:r>
      <w:r>
        <w:t xml:space="preserve"> </w:t>
      </w:r>
      <w:r>
        <w:t xml:space="preserve">— confirm SMS/WhatsApp gateway provider for BIRDC.</w:t>
      </w:r>
    </w:p>
    <w:p>
      <w:pPr>
        <w:pStyle w:val="BodyText"/>
      </w:pPr>
      <w:r>
        <w:rPr>
          <w:i/>
          <w:iCs/>
        </w:rPr>
        <w:t xml:space="preserve">Traceability: DC-001.</w:t>
      </w:r>
    </w:p>
    <w:p>
      <w:r>
        <w:pict>
          <v:rect style="width:0;height:1.5pt" o:hralign="center" o:hrstd="t" o:hr="t"/>
        </w:pict>
      </w:r>
    </w:p>
    <w:p>
      <w:pPr>
        <w:pStyle w:val="FirstParagraph"/>
      </w:pPr>
      <w:r>
        <w:rPr>
          <w:b/>
          <w:bCs/>
        </w:rPr>
        <w:t xml:space="preserve">FR-POS-018</w:t>
      </w:r>
      <w:r>
        <w:t xml:space="preserve"> </w:t>
      </w:r>
      <w:r>
        <w:t xml:space="preserve">— GL Auto-Posting for POS Transactions</w:t>
      </w:r>
    </w:p>
    <w:p>
      <w:pPr>
        <w:pStyle w:val="BodyText"/>
      </w:pPr>
      <w:r>
        <w:t xml:space="preserve">When a POS sale is confirmed, the system shall automatically post GL entries: DR Cash/Bank (by payment method account) / CR Revenue (by product category), and DR Cost of Goods Sold / CR Inventory (at FIFO/moving average cost of allocated batches). When the POS system is offline, GL posting shall be queued and executed on sync.</w:t>
      </w:r>
    </w:p>
    <w:p>
      <w:pPr>
        <w:pStyle w:val="BodyText"/>
      </w:pPr>
      <w:r>
        <w:rPr>
          <w:i/>
          <w:iCs/>
        </w:rPr>
        <w:t xml:space="preserve">Traceability: BG-001, DC-003, BR-013.</w:t>
      </w:r>
    </w:p>
    <w:p>
      <w:r>
        <w:pict>
          <v:rect style="width:0;height:1.5pt" o:hralign="center" o:hrstd="t" o:hr="t"/>
        </w:pict>
      </w:r>
    </w:p>
    <w:p>
      <w:pPr>
        <w:pStyle w:val="FirstParagraph"/>
      </w:pPr>
      <w:r>
        <w:rPr>
          <w:b/>
          <w:bCs/>
        </w:rPr>
        <w:t xml:space="preserve">FR-POS-019</w:t>
      </w:r>
      <w:r>
        <w:t xml:space="preserve"> </w:t>
      </w:r>
      <w:r>
        <w:t xml:space="preserve">— FEFO Batch Allocation at POS</w:t>
      </w:r>
    </w:p>
    <w:p>
      <w:pPr>
        <w:pStyle w:val="BodyText"/>
      </w:pPr>
      <w:r>
        <w:t xml:space="preserve">When a POS sale includes a product with batch/expiry tracking, the system shall automatically allocate the sale from the batch with the earliest expiry date (FEFO, BR-007). The cashier shall not be presented with a batch selection option. If the earliest-expiry batch has insufficient quantity, the system shall automatically continue allocation from the next-earliest batch.</w:t>
      </w:r>
    </w:p>
    <w:p>
      <w:pPr>
        <w:pStyle w:val="BodyText"/>
      </w:pPr>
      <w:r>
        <w:rPr>
          <w:i/>
          <w:iCs/>
        </w:rPr>
        <w:t xml:space="preserve">Traceability: BR-007.</w:t>
      </w:r>
    </w:p>
    <w:p>
      <w:r>
        <w:pict>
          <v:rect style="width:0;height:1.5pt" o:hralign="center" o:hrstd="t" o:hr="t"/>
        </w:pict>
      </w:r>
    </w:p>
    <w:p>
      <w:pPr>
        <w:pStyle w:val="FirstParagraph"/>
      </w:pPr>
      <w:r>
        <w:rPr>
          <w:b/>
          <w:bCs/>
        </w:rPr>
        <w:t xml:space="preserve">FR-POS-020</w:t>
      </w:r>
      <w:r>
        <w:t xml:space="preserve"> </w:t>
      </w:r>
      <w:r>
        <w:t xml:space="preserve">— Stock Availability Check at POS</w:t>
      </w:r>
    </w:p>
    <w:p>
      <w:pPr>
        <w:pStyle w:val="BodyText"/>
      </w:pPr>
      <w:r>
        <w:t xml:space="preserve">When a cashier adds a product to a POS transaction, the system shall verify that the required quantity is available at the current POS location (factory gate, distribution centre, or agent virtual store). When the quantity entered exceeds available stock, the system shall display the available quantity and prevent the sale from proceeding with the excess quantity.</w:t>
      </w:r>
    </w:p>
    <w:p>
      <w:pPr>
        <w:pStyle w:val="BodyText"/>
      </w:pPr>
      <w:r>
        <w:rPr>
          <w:i/>
          <w:iCs/>
        </w:rPr>
        <w:t xml:space="preserve">Traceability: BR-001.</w:t>
      </w:r>
    </w:p>
    <w:p>
      <w:r>
        <w:pict>
          <v:rect style="width:0;height:1.5pt" o:hralign="center" o:hrstd="t" o:hr="t"/>
        </w:pict>
      </w:r>
    </w:p>
    <w:p>
      <w:pPr>
        <w:pStyle w:val="FirstParagraph"/>
      </w:pPr>
      <w:r>
        <w:rPr>
          <w:b/>
          <w:bCs/>
        </w:rPr>
        <w:t xml:space="preserve">FR-POS-021</w:t>
      </w:r>
      <w:r>
        <w:t xml:space="preserve"> </w:t>
      </w:r>
      <w:r>
        <w:t xml:space="preserve">— POS End-of-Shift Reconciliation</w:t>
      </w:r>
    </w:p>
    <w:p>
      <w:pPr>
        <w:pStyle w:val="BodyText"/>
      </w:pPr>
      <w:r>
        <w:t xml:space="preserve">When a cashier closes a POS session, the system shall display the session summary: opening float, total sales by payment method, expected cash in till (opening float plus cash sales), and a field for the cashier to enter the actual cash counted. The system shall calculate the variance (expected minus actual) and record it against the session. The session closure report shall be sent to the cashier's supervisor and available for manager review.</w:t>
      </w:r>
    </w:p>
    <w:p>
      <w:pPr>
        <w:pStyle w:val="BodyText"/>
      </w:pPr>
      <w:r>
        <w:rPr>
          <w:i/>
          <w:iCs/>
        </w:rPr>
        <w:t xml:space="preserve">Traceability: DC-003, STK-019.</w:t>
      </w:r>
    </w:p>
    <w:p>
      <w:r>
        <w:pict>
          <v:rect style="width:0;height:1.5pt" o:hralign="center" o:hrstd="t" o:hr="t"/>
        </w:pict>
      </w:r>
    </w:p>
    <w:p>
      <w:pPr>
        <w:pStyle w:val="FirstParagraph"/>
      </w:pPr>
      <w:r>
        <w:rPr>
          <w:b/>
          <w:bCs/>
        </w:rPr>
        <w:t xml:space="preserve">FR-POS-022</w:t>
      </w:r>
      <w:r>
        <w:t xml:space="preserve"> </w:t>
      </w:r>
      <w:r>
        <w:t xml:space="preserve">— Variance Reporting to Supervisor</w:t>
      </w:r>
    </w:p>
    <w:p>
      <w:pPr>
        <w:pStyle w:val="BodyText"/>
      </w:pPr>
      <w:r>
        <w:t xml:space="preserve">When a POS session is closed with a cash variance, the system shall generate an automatic in-app notification to the direct supervisor of the cashier, displaying the cashier name, session date, expected cash, actual cash, and variance amount. Variances exceeding a configurable threshold (default: UGX 5,000) shall also generate an email alert.</w:t>
      </w:r>
    </w:p>
    <w:p>
      <w:pPr>
        <w:pStyle w:val="BodyText"/>
      </w:pPr>
      <w:r>
        <w:rPr>
          <w:i/>
          <w:iCs/>
        </w:rPr>
        <w:t xml:space="preserve">Traceability: DC-003, DC-002.</w:t>
      </w:r>
    </w:p>
    <w:p>
      <w:r>
        <w:pict>
          <v:rect style="width:0;height:1.5pt" o:hralign="center" o:hrstd="t" o:hr="t"/>
        </w:pict>
      </w:r>
    </w:p>
    <w:p>
      <w:pPr>
        <w:pStyle w:val="FirstParagraph"/>
      </w:pPr>
      <w:r>
        <w:rPr>
          <w:b/>
          <w:bCs/>
        </w:rPr>
        <w:t xml:space="preserve">FR-POS-023</w:t>
      </w:r>
      <w:r>
        <w:t xml:space="preserve"> </w:t>
      </w:r>
      <w:r>
        <w:t xml:space="preserve">— POS Session Transaction Log</w:t>
      </w:r>
    </w:p>
    <w:p>
      <w:pPr>
        <w:pStyle w:val="BodyText"/>
      </w:pPr>
      <w:r>
        <w:t xml:space="preserve">When a supervisor or Finance Director requests a POS session report, the system shall display all transactions within the selected session with: transaction time, products sold, quantities, amounts, payment methods, EFRIS FDN, and cashier identity. The report shall be exportable to PDF.</w:t>
      </w:r>
    </w:p>
    <w:p>
      <w:pPr>
        <w:pStyle w:val="BodyText"/>
      </w:pPr>
      <w:r>
        <w:rPr>
          <w:i/>
          <w:iCs/>
        </w:rPr>
        <w:t xml:space="preserve">Traceability: DC-003.</w:t>
      </w:r>
    </w:p>
    <w:p>
      <w:r>
        <w:pict>
          <v:rect style="width:0;height:1.5pt" o:hralign="center" o:hrstd="t" o:hr="t"/>
        </w:pict>
      </w:r>
    </w:p>
    <w:p>
      <w:pPr>
        <w:pStyle w:val="FirstParagraph"/>
      </w:pPr>
      <w:r>
        <w:rPr>
          <w:b/>
          <w:bCs/>
        </w:rPr>
        <w:t xml:space="preserve">FR-POS-024</w:t>
      </w:r>
      <w:r>
        <w:t xml:space="preserve"> </w:t>
      </w:r>
      <w:r>
        <w:t xml:space="preserve">— Agent POS Context — Virtual Store Deduction</w:t>
      </w:r>
    </w:p>
    <w:p>
      <w:pPr>
        <w:pStyle w:val="BodyText"/>
      </w:pPr>
      <w:r>
        <w:t xml:space="preserve">When an agent confirms a sale in the agent checkout context (Sales Agent App), the system shall deduct the sold quantities and value from the agent's virtual stock balance in</w:t>
      </w:r>
      <w:r>
        <w:t xml:space="preserve"> </w:t>
      </w:r>
      <w:r>
        <w:rPr>
          <w:rStyle w:val="VerbatimChar"/>
        </w:rPr>
        <w:t xml:space="preserve">tbl_agent_stock_balance</w:t>
      </w:r>
      <w:r>
        <w:t xml:space="preserve">, not from any physical warehouse location. This separation enforces BR-001 at every agent POS transaction.</w:t>
      </w:r>
    </w:p>
    <w:p>
      <w:pPr>
        <w:pStyle w:val="BodyText"/>
      </w:pPr>
      <w:r>
        <w:rPr>
          <w:i/>
          <w:iCs/>
        </w:rPr>
        <w:t xml:space="preserve">Traceability: BR-001, BR-007.</w:t>
      </w:r>
    </w:p>
    <w:p>
      <w:r>
        <w:pict>
          <v:rect style="width:0;height:1.5pt" o:hralign="center" o:hrstd="t" o:hr="t"/>
        </w:pict>
      </w:r>
    </w:p>
    <w:p>
      <w:pPr>
        <w:pStyle w:val="FirstParagraph"/>
      </w:pPr>
      <w:r>
        <w:rPr>
          <w:b/>
          <w:bCs/>
        </w:rPr>
        <w:t xml:space="preserve">FR-POS-025</w:t>
      </w:r>
      <w:r>
        <w:t xml:space="preserve"> </w:t>
      </w:r>
      <w:r>
        <w:t xml:space="preserve">— Offline POS — Local Transaction Storage</w:t>
      </w:r>
    </w:p>
    <w:p>
      <w:pPr>
        <w:pStyle w:val="BodyText"/>
      </w:pPr>
      <w:r>
        <w:t xml:space="preserve">When the Sales Agent App or factory gate POS terminal has no internet connectivity, the system shall continue to accept and record transactions in the local storage (Android Room / SQLite for mobile; browser local storage / service worker for web terminal), display a clear offline indicator to the cashier, and queue all transactions for sync on connectivity restoration. No transaction data shall be lost during offline operation.</w:t>
      </w:r>
    </w:p>
    <w:p>
      <w:pPr>
        <w:pStyle w:val="BodyText"/>
      </w:pPr>
      <w:r>
        <w:rPr>
          <w:i/>
          <w:iCs/>
        </w:rPr>
        <w:t xml:space="preserve">Traceability: DC-005, BR-009.</w:t>
      </w:r>
    </w:p>
    <w:p>
      <w:r>
        <w:pict>
          <v:rect style="width:0;height:1.5pt" o:hralign="center" o:hrstd="t" o:hr="t"/>
        </w:pict>
      </w:r>
    </w:p>
    <w:p>
      <w:pPr>
        <w:pStyle w:val="FirstParagraph"/>
      </w:pPr>
      <w:r>
        <w:rPr>
          <w:b/>
          <w:bCs/>
        </w:rPr>
        <w:t xml:space="preserve">FR-POS-026</w:t>
      </w:r>
      <w:r>
        <w:t xml:space="preserve"> </w:t>
      </w:r>
      <w:r>
        <w:t xml:space="preserve">— Offline POS — Sync on Reconnect</w:t>
      </w:r>
    </w:p>
    <w:p>
      <w:pPr>
        <w:pStyle w:val="BodyText"/>
      </w:pPr>
      <w:r>
        <w:t xml:space="preserve">When internet connectivity is restored, the system shall automatically initiate a sync of all offline transactions to the server via the REST API, assign the sequential transaction reference numbers (maintaining gap-free sequence per BR-009), submit all pending transactions to EFRIS (FR-POS-014), and post all pending GL entries (FR-POS-018). The sync shall complete in the background without interrupting ongoing POS operations. Sync status shall be visible to the cashier.</w:t>
      </w:r>
    </w:p>
    <w:p>
      <w:pPr>
        <w:pStyle w:val="BodyText"/>
      </w:pPr>
      <w:r>
        <w:rPr>
          <w:i/>
          <w:iCs/>
        </w:rPr>
        <w:t xml:space="preserve">Traceability: DC-005, BR-009.</w:t>
      </w:r>
    </w:p>
    <w:p>
      <w:r>
        <w:pict>
          <v:rect style="width:0;height:1.5pt" o:hralign="center" o:hrstd="t" o:hr="t"/>
        </w:pict>
      </w:r>
    </w:p>
    <w:p>
      <w:pPr>
        <w:pStyle w:val="FirstParagraph"/>
      </w:pPr>
      <w:r>
        <w:rPr>
          <w:b/>
          <w:bCs/>
        </w:rPr>
        <w:t xml:space="preserve">FR-POS-027</w:t>
      </w:r>
      <w:r>
        <w:t xml:space="preserve"> </w:t>
      </w:r>
      <w:r>
        <w:t xml:space="preserve">— Offline POS — Offline Product Catalogue Cache</w:t>
      </w:r>
    </w:p>
    <w:p>
      <w:pPr>
        <w:pStyle w:val="BodyText"/>
      </w:pPr>
      <w:r>
        <w:t xml:space="preserve">When the Sales Agent App or POS terminal initialises, the system shall download and cache the complete product catalogue, current stock balances for the relevant location, and applicable price list to local storage. This cache shall be refreshed on every successful online session start. Product searches (FR-POS-003 through FR-POS-005) shall operate against the local cache when offline.</w:t>
      </w:r>
    </w:p>
    <w:p>
      <w:pPr>
        <w:pStyle w:val="BodyText"/>
      </w:pPr>
      <w:r>
        <w:rPr>
          <w:i/>
          <w:iCs/>
        </w:rPr>
        <w:t xml:space="preserve">Traceability: DC-005.</w:t>
      </w:r>
    </w:p>
    <w:p>
      <w:r>
        <w:pict>
          <v:rect style="width:0;height:1.5pt" o:hralign="center" o:hrstd="t" o:hr="t"/>
        </w:pict>
      </w:r>
    </w:p>
    <w:p>
      <w:pPr>
        <w:pStyle w:val="FirstParagraph"/>
      </w:pPr>
      <w:r>
        <w:rPr>
          <w:b/>
          <w:bCs/>
        </w:rPr>
        <w:t xml:space="preserve">FR-POS-028</w:t>
      </w:r>
      <w:r>
        <w:t xml:space="preserve"> </w:t>
      </w:r>
      <w:r>
        <w:t xml:space="preserve">— POS Transaction Void</w:t>
      </w:r>
    </w:p>
    <w:p>
      <w:pPr>
        <w:pStyle w:val="BodyText"/>
      </w:pPr>
      <w:r>
        <w:t xml:space="preserve">When a cashier or supervisor initiates a void of a POS transaction within the same session, the system shall require a void reason code, require supervisor approval (BR-003 — cashier cannot approve own void), reverse the stock allocation, void the GL entry, and submit the void to EFRIS. Voided transactions shall be visible in the session log marked as VOID and shall retain their original transaction number.</w:t>
      </w:r>
    </w:p>
    <w:p>
      <w:pPr>
        <w:pStyle w:val="BodyText"/>
      </w:pPr>
      <w:r>
        <w:rPr>
          <w:i/>
          <w:iCs/>
        </w:rPr>
        <w:t xml:space="preserve">Traceability: BR-003, BR-009, DC-003.</w:t>
      </w:r>
    </w:p>
    <w:p>
      <w:r>
        <w:pict>
          <v:rect style="width:0;height:1.5pt" o:hralign="center" o:hrstd="t" o:hr="t"/>
        </w:pict>
      </w:r>
    </w:p>
    <w:p>
      <w:pPr>
        <w:pStyle w:val="FirstParagraph"/>
      </w:pPr>
      <w:r>
        <w:rPr>
          <w:b/>
          <w:bCs/>
        </w:rPr>
        <w:t xml:space="preserve">FR-POS-029</w:t>
      </w:r>
      <w:r>
        <w:t xml:space="preserve"> </w:t>
      </w:r>
      <w:r>
        <w:t xml:space="preserve">— POS Refund Workflow</w:t>
      </w:r>
    </w:p>
    <w:p>
      <w:pPr>
        <w:pStyle w:val="BodyText"/>
      </w:pPr>
      <w:r>
        <w:t xml:space="preserve">When a customer returns goods previously purchased at POS, a supervisor shall initiate a refund transaction referencing the original POS transaction number. The system shall: verify the original transaction exists and is not already fully refunded; create a refund transaction for the returned items; reverse the stock allocation (return items to the POS location stock); post a GL reversal; and issue a credit receipt to the customer. EFRIS credit note submission shall be triggered per FR-SAL-020.</w:t>
      </w:r>
    </w:p>
    <w:p>
      <w:pPr>
        <w:pStyle w:val="BodyText"/>
      </w:pPr>
      <w:r>
        <w:rPr>
          <w:i/>
          <w:iCs/>
        </w:rPr>
        <w:t xml:space="preserve">Traceability: DC-003, URA EFRIS Technical Specification.</w:t>
      </w:r>
    </w:p>
    <w:p>
      <w:r>
        <w:pict>
          <v:rect style="width:0;height:1.5pt" o:hralign="center" o:hrstd="t" o:hr="t"/>
        </w:pict>
      </w:r>
    </w:p>
    <w:p>
      <w:pPr>
        <w:pStyle w:val="FirstParagraph"/>
      </w:pPr>
      <w:r>
        <w:rPr>
          <w:b/>
          <w:bCs/>
        </w:rPr>
        <w:t xml:space="preserve">FR-POS-030</w:t>
      </w:r>
      <w:r>
        <w:t xml:space="preserve"> </w:t>
      </w:r>
      <w:r>
        <w:t xml:space="preserve">— POS Access Control and Role Enforcement</w:t>
      </w:r>
    </w:p>
    <w:p>
      <w:pPr>
        <w:pStyle w:val="BodyText"/>
      </w:pPr>
      <w:r>
        <w:t xml:space="preserve">When a user attempts to access a POS function that requires elevated permissions (void, refund, discount override, session access to a different location), the system shall deny access and display the required role. A user with the required role may authenticate on the same terminal to authorise the specific action (manager PIN override), without handing over the terminal or logging out the cashier.</w:t>
      </w:r>
    </w:p>
    <w:p>
      <w:pPr>
        <w:pStyle w:val="BodyText"/>
      </w:pPr>
      <w:r>
        <w:rPr>
          <w:i/>
          <w:iCs/>
        </w:rPr>
        <w:t xml:space="preserve">Traceability: BR-003, DC-001.</w:t>
      </w:r>
    </w:p>
    <w:p>
      <w:r>
        <w:pict>
          <v:rect style="width:0;height:1.5pt" o:hralign="center" o:hrstd="t" o:hr="t"/>
        </w:pict>
      </w:r>
    </w:p>
    <w:p>
      <w:pPr>
        <w:pStyle w:val="FirstParagraph"/>
      </w:pPr>
      <w:r>
        <w:rPr>
          <w:b/>
          <w:bCs/>
        </w:rPr>
        <w:t xml:space="preserve">FR-POS-031</w:t>
      </w:r>
      <w:r>
        <w:t xml:space="preserve"> </w:t>
      </w:r>
      <w:r>
        <w:t xml:space="preserve">— POS Daily Sales Report</w:t>
      </w:r>
    </w:p>
    <w:p>
      <w:pPr>
        <w:pStyle w:val="BodyText"/>
      </w:pPr>
      <w:r>
        <w:t xml:space="preserve">When a Sales Manager or Finance Director requests a POS daily sales report for a selected date and POS context, the system shall generate a report showing: total transactions, total revenue by product category, total revenue by payment method, number of voided transactions and their value, and cashier-level breakdown. The report shall be available in PDF and Excel formats.</w:t>
      </w:r>
    </w:p>
    <w:p>
      <w:pPr>
        <w:pStyle w:val="BodyText"/>
      </w:pPr>
      <w:r>
        <w:rPr>
          <w:i/>
          <w:iCs/>
        </w:rPr>
        <w:t xml:space="preserve">Traceability: STK-006, STK-002.</w:t>
      </w:r>
    </w:p>
    <w:p>
      <w:r>
        <w:pict>
          <v:rect style="width:0;height:1.5pt" o:hralign="center" o:hrstd="t" o:hr="t"/>
        </w:pict>
      </w:r>
    </w:p>
    <w:p>
      <w:pPr>
        <w:pStyle w:val="FirstParagraph"/>
      </w:pPr>
      <w:r>
        <w:rPr>
          <w:b/>
          <w:bCs/>
        </w:rPr>
        <w:t xml:space="preserve">FR-POS-032</w:t>
      </w:r>
      <w:r>
        <w:t xml:space="preserve"> </w:t>
      </w:r>
      <w:r>
        <w:t xml:space="preserve">— Bluetooth Thermal Printing on Sales Agent App</w:t>
      </w:r>
    </w:p>
    <w:p>
      <w:pPr>
        <w:pStyle w:val="BodyText"/>
      </w:pPr>
      <w:r>
        <w:t xml:space="preserve">When an agent confirms a sale on the Sales Agent Android App, the system shall send the receipt data to a paired Bluetooth 80mm thermal printer via ESC/POS protocol. The app shall retain the last paired printer across sessions. When no Bluetooth printer is paired or available, the app shall offer to send a digital receipt via SMS/WhatsApp (FR-POS-017) as the fallback.</w:t>
      </w:r>
    </w:p>
    <w:p>
      <w:pPr>
        <w:pStyle w:val="BodyText"/>
      </w:pPr>
      <w:r>
        <w:rPr>
          <w:i/>
          <w:iCs/>
        </w:rPr>
        <w:t xml:space="preserve">Traceability: DC-005, STK-015 (field agent).</w:t>
      </w:r>
    </w:p>
    <w:bookmarkEnd w:id="44"/>
    <w:bookmarkEnd w:id="45"/>
    <w:bookmarkStart w:id="48" w:name="X1b021c111eca4ae51605c42464bd98f47b2043b"/>
    <w:p>
      <w:pPr>
        <w:pStyle w:val="Heading2"/>
      </w:pPr>
      <w:r>
        <w:t xml:space="preserve">3.3 Module F-003: Inventory and Warehouse Management</w:t>
      </w:r>
    </w:p>
    <w:bookmarkStart w:id="46" w:name="X1d047d96de6946ea386cb11fe7b2fddc129beec"/>
    <w:p>
      <w:pPr>
        <w:pStyle w:val="Heading3"/>
      </w:pPr>
      <w:r>
        <w:t xml:space="preserve">3.3.1 Overview</w:t>
      </w:r>
    </w:p>
    <w:p>
      <w:pPr>
        <w:pStyle w:val="FirstParagraph"/>
      </w:pPr>
      <w:r>
        <w:t xml:space="preserve">Module F-003 manages all physical warehouse stock across unlimited named locations, enforces dual-track inventory separation (BR-001), tracks batches and expiry dates, enforces FEFO (BR-007), manages stock transfers, and supports physical stock counts. It is the stock authority that all other modules (Sales, POS, Agent Distribution, Production) query for available stock.</w:t>
      </w:r>
    </w:p>
    <w:bookmarkEnd w:id="46"/>
    <w:bookmarkStart w:id="47" w:name="Xf79a49c167d0474abb37f8d7dedac6a626c127c"/>
    <w:p>
      <w:pPr>
        <w:pStyle w:val="Heading3"/>
      </w:pPr>
      <w:r>
        <w:t xml:space="preserve">3.3.2 Functional Requirements — Inventory and Warehouse Management</w:t>
      </w:r>
    </w:p>
    <w:p>
      <w:r>
        <w:pict>
          <v:rect style="width:0;height:1.5pt" o:hralign="center" o:hrstd="t" o:hr="t"/>
        </w:pict>
      </w:r>
    </w:p>
    <w:p>
      <w:pPr>
        <w:pStyle w:val="FirstParagraph"/>
      </w:pPr>
      <w:r>
        <w:rPr>
          <w:b/>
          <w:bCs/>
        </w:rPr>
        <w:t xml:space="preserve">FR-INV-001</w:t>
      </w:r>
      <w:r>
        <w:t xml:space="preserve"> </w:t>
      </w:r>
      <w:r>
        <w:t xml:space="preserve">— Warehouse Location Management</w:t>
      </w:r>
    </w:p>
    <w:p>
      <w:pPr>
        <w:pStyle w:val="BodyText"/>
      </w:pPr>
      <w:r>
        <w:t xml:space="preserve">When an IT Administrator or Store Manager creates a warehouse location, the system shall capture: location code, location name, location type (main finished goods, packaging store, cold store, returns bay, distribution staging, or custom), physical address, and whether the location holds product for sale. The system shall support an unlimited number of named locations. Each location shall maintain its own stock balance, visible independently and in aggregate.</w:t>
      </w:r>
    </w:p>
    <w:p>
      <w:pPr>
        <w:pStyle w:val="BodyText"/>
      </w:pPr>
      <w:r>
        <w:rPr>
          <w:i/>
          <w:iCs/>
        </w:rPr>
        <w:t xml:space="preserve">Traceability: BG-004 (circular economy visibility), DC-002.</w:t>
      </w:r>
    </w:p>
    <w:p>
      <w:r>
        <w:pict>
          <v:rect style="width:0;height:1.5pt" o:hralign="center" o:hrstd="t" o:hr="t"/>
        </w:pict>
      </w:r>
    </w:p>
    <w:p>
      <w:pPr>
        <w:pStyle w:val="FirstParagraph"/>
      </w:pPr>
      <w:r>
        <w:rPr>
          <w:b/>
          <w:bCs/>
        </w:rPr>
        <w:t xml:space="preserve">FR-INV-002</w:t>
      </w:r>
      <w:r>
        <w:t xml:space="preserve"> </w:t>
      </w:r>
      <w:r>
        <w:t xml:space="preserve">— Stock Item Catalogue — Create and Manage</w:t>
      </w:r>
    </w:p>
    <w:p>
      <w:pPr>
        <w:pStyle w:val="BodyText"/>
      </w:pPr>
      <w:r>
        <w:t xml:space="preserve">When a Store Manager or authorised user creates a stock item, the system shall capture: item code (unique, system-generated or manual), item name, category, base UOM, all price tiers (wholesale, retail, export, institutional), cost price, FEFO flag (yes/no), batch tracking flag (yes/no), reorder level, reorder quantity, and item status (active/discontinued). All catalogue changes shall be logged in the audit trail.</w:t>
      </w:r>
    </w:p>
    <w:p>
      <w:pPr>
        <w:pStyle w:val="BodyText"/>
      </w:pPr>
      <w:r>
        <w:rPr>
          <w:i/>
          <w:iCs/>
        </w:rPr>
        <w:t xml:space="preserve">Traceability: DC-002, DC-003.</w:t>
      </w:r>
    </w:p>
    <w:p>
      <w:r>
        <w:pict>
          <v:rect style="width:0;height:1.5pt" o:hralign="center" o:hrstd="t" o:hr="t"/>
        </w:pict>
      </w:r>
    </w:p>
    <w:p>
      <w:pPr>
        <w:pStyle w:val="FirstParagraph"/>
      </w:pPr>
      <w:r>
        <w:rPr>
          <w:b/>
          <w:bCs/>
        </w:rPr>
        <w:t xml:space="preserve">FR-INV-003</w:t>
      </w:r>
      <w:r>
        <w:t xml:space="preserve"> </w:t>
      </w:r>
      <w:r>
        <w:t xml:space="preserve">— UOM Conversion Engine</w:t>
      </w:r>
    </w:p>
    <w:p>
      <w:pPr>
        <w:pStyle w:val="BodyText"/>
      </w:pPr>
      <w:r>
        <w:t xml:space="preserve">When a stock item has multiple units of measure (e.g., a bag sold by kg), the system shall store: the base UOM, all alternative UOMs, and the conversion factor from each alternative UOM to the base UOM. All internal stock balance calculations and GL postings shall use the base UOM. Conversion factors shall be configurable by the Store Manager without developer involvement (DC-002). The UOM conversion engine shall be used consistently across all modules that reference stock quantities.</w:t>
      </w:r>
    </w:p>
    <w:p>
      <w:pPr>
        <w:pStyle w:val="BodyText"/>
      </w:pPr>
      <w:r>
        <w:rPr>
          <w:i/>
          <w:iCs/>
        </w:rPr>
        <w:t xml:space="preserve">Traceability: DC-002, BG-004.</w:t>
      </w:r>
    </w:p>
    <w:p>
      <w:r>
        <w:pict>
          <v:rect style="width:0;height:1.5pt" o:hralign="center" o:hrstd="t" o:hr="t"/>
        </w:pict>
      </w:r>
    </w:p>
    <w:p>
      <w:pPr>
        <w:pStyle w:val="FirstParagraph"/>
      </w:pPr>
      <w:r>
        <w:rPr>
          <w:b/>
          <w:bCs/>
        </w:rPr>
        <w:t xml:space="preserve">FR-INV-004</w:t>
      </w:r>
      <w:r>
        <w:t xml:space="preserve"> </w:t>
      </w:r>
      <w:r>
        <w:t xml:space="preserve">— Dual-Track Inventory Architecture Enforcement</w:t>
      </w:r>
    </w:p>
    <w:p>
      <w:pPr>
        <w:pStyle w:val="BodyText"/>
      </w:pPr>
      <w:r>
        <w:t xml:space="preserve">The system shall maintain warehouse stock exclusively in</w:t>
      </w:r>
      <w:r>
        <w:t xml:space="preserve"> </w:t>
      </w:r>
      <w:r>
        <w:rPr>
          <w:rStyle w:val="VerbatimChar"/>
        </w:rPr>
        <w:t xml:space="preserve">tbl_stock_balance</w:t>
      </w:r>
      <w:r>
        <w:t xml:space="preserve"> </w:t>
      </w:r>
      <w:r>
        <w:t xml:space="preserve">(keyed by item, location, batch) and agent stock exclusively in</w:t>
      </w:r>
      <w:r>
        <w:t xml:space="preserve"> </w:t>
      </w:r>
      <w:r>
        <w:rPr>
          <w:rStyle w:val="VerbatimChar"/>
        </w:rPr>
        <w:t xml:space="preserve">tbl_agent_stock_balance</w:t>
      </w:r>
      <w:r>
        <w:t xml:space="preserve"> </w:t>
      </w:r>
      <w:r>
        <w:t xml:space="preserve">(keyed by item, agent, batch). No database view, stored procedure, or application layer query shall ever join these two tables in a way that produces a merged stock balance without an explicit label identifying warehouse stock and agent stock separately. This constraint shall be enforced by a database-level check and documented in the data dictionary.</w:t>
      </w:r>
    </w:p>
    <w:p>
      <w:pPr>
        <w:pStyle w:val="BodyText"/>
      </w:pPr>
      <w:r>
        <w:rPr>
          <w:i/>
          <w:iCs/>
        </w:rPr>
        <w:t xml:space="preserve">Traceability: BR-001.</w:t>
      </w:r>
    </w:p>
    <w:p>
      <w:r>
        <w:pict>
          <v:rect style="width:0;height:1.5pt" o:hralign="center" o:hrstd="t" o:hr="t"/>
        </w:pict>
      </w:r>
    </w:p>
    <w:p>
      <w:pPr>
        <w:pStyle w:val="FirstParagraph"/>
      </w:pPr>
      <w:r>
        <w:rPr>
          <w:b/>
          <w:bCs/>
        </w:rPr>
        <w:t xml:space="preserve">FR-INV-005</w:t>
      </w:r>
      <w:r>
        <w:t xml:space="preserve"> </w:t>
      </w:r>
      <w:r>
        <w:t xml:space="preserve">— Batch and Lot Registration</w:t>
      </w:r>
    </w:p>
    <w:p>
      <w:pPr>
        <w:pStyle w:val="BodyText"/>
      </w:pPr>
      <w:r>
        <w:t xml:space="preserve">When goods are received into any warehouse location, the system shall require the following for each batch of an expiry-tracked or batch-tracked product: batch number (supplier's or system-generated), manufacturing date (if known), expiry date (mandatory for food products), supplier or production order reference, and quantity received. All subsequent stock movements for this batch shall reference the batch record by foreign key.</w:t>
      </w:r>
    </w:p>
    <w:p>
      <w:pPr>
        <w:pStyle w:val="BodyText"/>
      </w:pPr>
      <w:r>
        <w:rPr>
          <w:i/>
          <w:iCs/>
        </w:rPr>
        <w:t xml:space="preserve">Traceability: BR-007, BG-002.</w:t>
      </w:r>
    </w:p>
    <w:p>
      <w:r>
        <w:pict>
          <v:rect style="width:0;height:1.5pt" o:hralign="center" o:hrstd="t" o:hr="t"/>
        </w:pict>
      </w:r>
    </w:p>
    <w:p>
      <w:pPr>
        <w:pStyle w:val="FirstParagraph"/>
      </w:pPr>
      <w:r>
        <w:rPr>
          <w:b/>
          <w:bCs/>
        </w:rPr>
        <w:t xml:space="preserve">FR-INV-006</w:t>
      </w:r>
      <w:r>
        <w:t xml:space="preserve"> </w:t>
      </w:r>
      <w:r>
        <w:t xml:space="preserve">— FEFO Automatic Batch Selection</w:t>
      </w:r>
    </w:p>
    <w:p>
      <w:pPr>
        <w:pStyle w:val="BodyText"/>
      </w:pPr>
      <w:r>
        <w:t xml:space="preserve">When stock is allocated for a sale, POS transaction, transfer, or agent issuance involving an expiry-tracked product, the system shall automatically select the batch with the earliest expiry date at the source location. The selection logic shall be: order batches by expiry date ascending, and allocate from the first batch until exhausted before moving to the next. The allocated batch number shall be recorded against every stock movement and invoice line item. Manual batch selection that would violate FEFO order shall be rejected at the API layer.</w:t>
      </w:r>
    </w:p>
    <w:p>
      <w:pPr>
        <w:pStyle w:val="BodyText"/>
      </w:pPr>
      <w:r>
        <w:rPr>
          <w:i/>
          <w:iCs/>
        </w:rPr>
        <w:t xml:space="preserve">Traceability: BR-007.</w:t>
      </w:r>
    </w:p>
    <w:p>
      <w:r>
        <w:pict>
          <v:rect style="width:0;height:1.5pt" o:hralign="center" o:hrstd="t" o:hr="t"/>
        </w:pict>
      </w:r>
    </w:p>
    <w:p>
      <w:pPr>
        <w:pStyle w:val="FirstParagraph"/>
      </w:pPr>
      <w:r>
        <w:rPr>
          <w:b/>
          <w:bCs/>
        </w:rPr>
        <w:t xml:space="preserve">FR-INV-007</w:t>
      </w:r>
      <w:r>
        <w:t xml:space="preserve"> </w:t>
      </w:r>
      <w:r>
        <w:t xml:space="preserve">— Expiry Date Alert: 30/60/90-Day Thresholds</w:t>
      </w:r>
    </w:p>
    <w:p>
      <w:pPr>
        <w:pStyle w:val="BodyText"/>
      </w:pPr>
      <w:r>
        <w:t xml:space="preserve">When the system's daily batch job runs (scheduled at 06:00 EAT each day), the system shall identify all batches whose expiry date is within the configured alert thresholds (default: 30, 60, and 90 days), generate a dashboard widget on the Store Manager and Sales Manager's home screen listing all near-expiry batches with quantities and locations, and send an email notification to the Store Manager and Sales Manager listing the same batches. Alert thresholds shall be configurable per product category (DC-002).</w:t>
      </w:r>
    </w:p>
    <w:p>
      <w:pPr>
        <w:pStyle w:val="BodyText"/>
      </w:pPr>
      <w:r>
        <w:rPr>
          <w:i/>
          <w:iCs/>
        </w:rPr>
        <w:t xml:space="preserve">Traceability: BR-007, DC-002, DC-003.</w:t>
      </w:r>
    </w:p>
    <w:p>
      <w:r>
        <w:pict>
          <v:rect style="width:0;height:1.5pt" o:hralign="center" o:hrstd="t" o:hr="t"/>
        </w:pict>
      </w:r>
    </w:p>
    <w:p>
      <w:pPr>
        <w:pStyle w:val="FirstParagraph"/>
      </w:pPr>
      <w:r>
        <w:rPr>
          <w:b/>
          <w:bCs/>
        </w:rPr>
        <w:t xml:space="preserve">FR-INV-008</w:t>
      </w:r>
      <w:r>
        <w:t xml:space="preserve"> </w:t>
      </w:r>
      <w:r>
        <w:t xml:space="preserve">— Expired Batch Blocking</w:t>
      </w:r>
    </w:p>
    <w:p>
      <w:pPr>
        <w:pStyle w:val="BodyText"/>
      </w:pPr>
      <w:r>
        <w:t xml:space="preserve">When the system's daily batch job identifies a batch whose expiry date has passed, the system shall set the batch status to</w:t>
      </w:r>
      <w:r>
        <w:t xml:space="preserve"> </w:t>
      </w:r>
      <w:r>
        <w:rPr>
          <w:rStyle w:val="VerbatimChar"/>
        </w:rPr>
        <w:t xml:space="preserve">expired</w:t>
      </w:r>
      <w:r>
        <w:t xml:space="preserve">, prevent that batch from being allocated to any sale, POS transaction, or transfer, and generate an alert to the Store Manager for stock write-off action. Expired stock shall be moved to the</w:t>
      </w:r>
      <w:r>
        <w:t xml:space="preserve"> </w:t>
      </w:r>
      <w:r>
        <w:rPr>
          <w:rStyle w:val="VerbatimChar"/>
        </w:rPr>
        <w:t xml:space="preserve">returns bay</w:t>
      </w:r>
      <w:r>
        <w:t xml:space="preserve"> </w:t>
      </w:r>
      <w:r>
        <w:t xml:space="preserve">location by the Store Manager and written off via a stock adjustment (FR-INV-020) with GL posting.</w:t>
      </w:r>
    </w:p>
    <w:p>
      <w:pPr>
        <w:pStyle w:val="BodyText"/>
      </w:pPr>
      <w:r>
        <w:rPr>
          <w:i/>
          <w:iCs/>
        </w:rPr>
        <w:t xml:space="preserve">Traceability: BR-007, DC-003.</w:t>
      </w:r>
    </w:p>
    <w:p>
      <w:r>
        <w:pict>
          <v:rect style="width:0;height:1.5pt" o:hralign="center" o:hrstd="t" o:hr="t"/>
        </w:pict>
      </w:r>
    </w:p>
    <w:p>
      <w:pPr>
        <w:pStyle w:val="FirstParagraph"/>
      </w:pPr>
      <w:r>
        <w:rPr>
          <w:b/>
          <w:bCs/>
        </w:rPr>
        <w:t xml:space="preserve">FR-INV-009</w:t>
      </w:r>
      <w:r>
        <w:t xml:space="preserve"> </w:t>
      </w:r>
      <w:r>
        <w:t xml:space="preserve">— Stock Receipt into Warehouse</w:t>
      </w:r>
    </w:p>
    <w:p>
      <w:pPr>
        <w:pStyle w:val="BodyText"/>
      </w:pPr>
      <w:r>
        <w:t xml:space="preserve">When a Store Manager records a stock receipt (goods arriving from production or external supplier), the system shall require: source reference (Production Order number or GRN number), receiving location, item, batch details (FR-INV-005), quantity in base UOM, and cost per unit. The system shall update</w:t>
      </w:r>
      <w:r>
        <w:t xml:space="preserve"> </w:t>
      </w:r>
      <w:r>
        <w:rPr>
          <w:rStyle w:val="VerbatimChar"/>
        </w:rPr>
        <w:t xml:space="preserve">tbl_stock_balance</w:t>
      </w:r>
      <w:r>
        <w:t xml:space="preserve"> </w:t>
      </w:r>
      <w:r>
        <w:t xml:space="preserve">for the receiving location and post a GL entry (DR Inventory / CR Work-in-Progress or CR Accounts Payable as appropriate).</w:t>
      </w:r>
    </w:p>
    <w:p>
      <w:pPr>
        <w:pStyle w:val="BodyText"/>
      </w:pPr>
      <w:r>
        <w:rPr>
          <w:i/>
          <w:iCs/>
        </w:rPr>
        <w:t xml:space="preserve">Traceability: BG-001, DC-003.</w:t>
      </w:r>
    </w:p>
    <w:p>
      <w:r>
        <w:pict>
          <v:rect style="width:0;height:1.5pt" o:hralign="center" o:hrstd="t" o:hr="t"/>
        </w:pict>
      </w:r>
    </w:p>
    <w:p>
      <w:pPr>
        <w:pStyle w:val="FirstParagraph"/>
      </w:pPr>
      <w:r>
        <w:rPr>
          <w:b/>
          <w:bCs/>
        </w:rPr>
        <w:t xml:space="preserve">FR-INV-010</w:t>
      </w:r>
      <w:r>
        <w:t xml:space="preserve"> </w:t>
      </w:r>
      <w:r>
        <w:t xml:space="preserve">— Stock Transfer Between Warehouse Locations</w:t>
      </w:r>
    </w:p>
    <w:p>
      <w:pPr>
        <w:pStyle w:val="BodyText"/>
      </w:pPr>
      <w:r>
        <w:t xml:space="preserve">When a Store Manager initiates a stock transfer from one warehouse location to another, the system shall: validate sufficient stock at the source location for the specified batch; set the transferred quantity to</w:t>
      </w:r>
      <w:r>
        <w:t xml:space="preserve"> </w:t>
      </w:r>
      <w:r>
        <w:rPr>
          <w:rStyle w:val="VerbatimChar"/>
        </w:rPr>
        <w:t xml:space="preserve">in transit</w:t>
      </w:r>
      <w:r>
        <w:t xml:space="preserve"> </w:t>
      </w:r>
      <w:r>
        <w:t xml:space="preserve">status (deducted from source, not yet credited to destination); record the transfer reference, initiating user, and timestamp; and require the destination Store to confirm receipt (FR-INV-011) before crediting the destination location.</w:t>
      </w:r>
    </w:p>
    <w:p>
      <w:pPr>
        <w:pStyle w:val="BodyText"/>
      </w:pPr>
      <w:r>
        <w:rPr>
          <w:i/>
          <w:iCs/>
        </w:rPr>
        <w:t xml:space="preserve">Traceability: BR-001, DC-003.</w:t>
      </w:r>
    </w:p>
    <w:p>
      <w:r>
        <w:pict>
          <v:rect style="width:0;height:1.5pt" o:hralign="center" o:hrstd="t" o:hr="t"/>
        </w:pict>
      </w:r>
    </w:p>
    <w:p>
      <w:pPr>
        <w:pStyle w:val="FirstParagraph"/>
      </w:pPr>
      <w:r>
        <w:rPr>
          <w:b/>
          <w:bCs/>
        </w:rPr>
        <w:t xml:space="preserve">FR-INV-011</w:t>
      </w:r>
      <w:r>
        <w:t xml:space="preserve"> </w:t>
      </w:r>
      <w:r>
        <w:t xml:space="preserve">— Stock Transfer Receipt Confirmation</w:t>
      </w:r>
    </w:p>
    <w:p>
      <w:pPr>
        <w:pStyle w:val="BodyText"/>
      </w:pPr>
      <w:r>
        <w:t xml:space="preserve">When the receiving store confirms a stock transfer, the system shall: credit the destination location's stock balance with the received quantity and batch details; clear the</w:t>
      </w:r>
      <w:r>
        <w:t xml:space="preserve"> </w:t>
      </w:r>
      <w:r>
        <w:rPr>
          <w:rStyle w:val="VerbatimChar"/>
        </w:rPr>
        <w:t xml:space="preserve">in transit</w:t>
      </w:r>
      <w:r>
        <w:t xml:space="preserve"> </w:t>
      </w:r>
      <w:r>
        <w:t xml:space="preserve">status; record the receiving user's identity and confirmation timestamp; and generate a completed transfer record linking the dispatch and receipt events.</w:t>
      </w:r>
    </w:p>
    <w:p>
      <w:pPr>
        <w:pStyle w:val="BodyText"/>
      </w:pPr>
      <w:r>
        <w:rPr>
          <w:i/>
          <w:iCs/>
        </w:rPr>
        <w:t xml:space="preserve">Traceability: DC-003.</w:t>
      </w:r>
    </w:p>
    <w:p>
      <w:r>
        <w:pict>
          <v:rect style="width:0;height:1.5pt" o:hralign="center" o:hrstd="t" o:hr="t"/>
        </w:pict>
      </w:r>
    </w:p>
    <w:p>
      <w:pPr>
        <w:pStyle w:val="FirstParagraph"/>
      </w:pPr>
      <w:r>
        <w:rPr>
          <w:b/>
          <w:bCs/>
        </w:rPr>
        <w:t xml:space="preserve">FR-INV-012</w:t>
      </w:r>
      <w:r>
        <w:t xml:space="preserve"> </w:t>
      </w:r>
      <w:r>
        <w:t xml:space="preserve">— In-Transit Stock Visibility</w:t>
      </w:r>
    </w:p>
    <w:p>
      <w:pPr>
        <w:pStyle w:val="BodyText"/>
      </w:pPr>
      <w:r>
        <w:t xml:space="preserve">When a Store Manager or Finance Director views the stock summary, the system shall display a separate</w:t>
      </w:r>
      <w:r>
        <w:t xml:space="preserve"> </w:t>
      </w:r>
      <w:r>
        <w:rPr>
          <w:rStyle w:val="VerbatimChar"/>
        </w:rPr>
        <w:t xml:space="preserve">in transit</w:t>
      </w:r>
      <w:r>
        <w:t xml:space="preserve"> </w:t>
      </w:r>
      <w:r>
        <w:t xml:space="preserve">column showing quantities in transit (dispatched but not yet confirmed at destination) for each product and batch. In-transit quantities shall not be included in either the source location balance or the destination location balance.</w:t>
      </w:r>
    </w:p>
    <w:p>
      <w:pPr>
        <w:pStyle w:val="BodyText"/>
      </w:pPr>
      <w:r>
        <w:rPr>
          <w:i/>
          <w:iCs/>
        </w:rPr>
        <w:t xml:space="preserve">Traceability: BG-001, DC-003.</w:t>
      </w:r>
    </w:p>
    <w:p>
      <w:r>
        <w:pict>
          <v:rect style="width:0;height:1.5pt" o:hralign="center" o:hrstd="t" o:hr="t"/>
        </w:pict>
      </w:r>
    </w:p>
    <w:p>
      <w:pPr>
        <w:pStyle w:val="FirstParagraph"/>
      </w:pPr>
      <w:r>
        <w:rPr>
          <w:b/>
          <w:bCs/>
        </w:rPr>
        <w:t xml:space="preserve">FR-INV-013</w:t>
      </w:r>
      <w:r>
        <w:t xml:space="preserve"> </w:t>
      </w:r>
      <w:r>
        <w:t xml:space="preserve">— Agent Stock Issuance from Warehouse</w:t>
      </w:r>
    </w:p>
    <w:p>
      <w:pPr>
        <w:pStyle w:val="BodyText"/>
      </w:pPr>
      <w:r>
        <w:t xml:space="preserve">When a Store Manager issues stock to a field sales agent, the system shall: verify the agent's current stock balance value in</w:t>
      </w:r>
      <w:r>
        <w:t xml:space="preserve"> </w:t>
      </w:r>
      <w:r>
        <w:rPr>
          <w:rStyle w:val="VerbatimChar"/>
        </w:rPr>
        <w:t xml:space="preserve">tbl_agent_stock_balance</w:t>
      </w:r>
      <w:r>
        <w:t xml:space="preserve">; calculate whether adding the new issuance value would exceed the agent's configured float limit (BR-006); if the float limit would be exceeded, block the issuance and display the current balance, float limit, and excess amount; if the float limit is not exceeded, deduct the quantity and value from the source warehouse location and credit</w:t>
      </w:r>
      <w:r>
        <w:t xml:space="preserve"> </w:t>
      </w:r>
      <w:r>
        <w:rPr>
          <w:rStyle w:val="VerbatimChar"/>
        </w:rPr>
        <w:t xml:space="preserve">tbl_agent_stock_balance</w:t>
      </w:r>
      <w:r>
        <w:t xml:space="preserve"> </w:t>
      </w:r>
      <w:r>
        <w:t xml:space="preserve">for the receiving agent with batch information preserved.</w:t>
      </w:r>
    </w:p>
    <w:p>
      <w:pPr>
        <w:pStyle w:val="BodyText"/>
      </w:pPr>
      <w:r>
        <w:rPr>
          <w:i/>
          <w:iCs/>
        </w:rPr>
        <w:t xml:space="preserve">Traceability: BR-001, BR-006.</w:t>
      </w:r>
    </w:p>
    <w:p>
      <w:r>
        <w:pict>
          <v:rect style="width:0;height:1.5pt" o:hralign="center" o:hrstd="t" o:hr="t"/>
        </w:pict>
      </w:r>
    </w:p>
    <w:p>
      <w:pPr>
        <w:pStyle w:val="FirstParagraph"/>
      </w:pPr>
      <w:r>
        <w:rPr>
          <w:b/>
          <w:bCs/>
        </w:rPr>
        <w:t xml:space="preserve">FR-INV-014</w:t>
      </w:r>
      <w:r>
        <w:t xml:space="preserve"> </w:t>
      </w:r>
      <w:r>
        <w:t xml:space="preserve">— Agent Stock Return to Warehouse</w:t>
      </w:r>
    </w:p>
    <w:p>
      <w:pPr>
        <w:pStyle w:val="BodyText"/>
      </w:pPr>
      <w:r>
        <w:t xml:space="preserve">When an agent returns unsold stock to the warehouse, the system shall: require the Store Manager to record the returned items, quantities, and the agent's identity; verify the quantities against the agent's stock balance; deduct the returned quantity and value from</w:t>
      </w:r>
      <w:r>
        <w:t xml:space="preserve"> </w:t>
      </w:r>
      <w:r>
        <w:rPr>
          <w:rStyle w:val="VerbatimChar"/>
        </w:rPr>
        <w:t xml:space="preserve">tbl_agent_stock_balance</w:t>
      </w:r>
      <w:r>
        <w:t xml:space="preserve">; and credit the receiving warehouse location with the original batch information, placing the returned items in the</w:t>
      </w:r>
      <w:r>
        <w:t xml:space="preserve"> </w:t>
      </w:r>
      <w:r>
        <w:rPr>
          <w:rStyle w:val="VerbatimChar"/>
        </w:rPr>
        <w:t xml:space="preserve">returns bay</w:t>
      </w:r>
      <w:r>
        <w:t xml:space="preserve"> </w:t>
      </w:r>
      <w:r>
        <w:t xml:space="preserve">location for quality inspection before re-integration.</w:t>
      </w:r>
    </w:p>
    <w:p>
      <w:pPr>
        <w:pStyle w:val="BodyText"/>
      </w:pPr>
      <w:r>
        <w:rPr>
          <w:i/>
          <w:iCs/>
        </w:rPr>
        <w:t xml:space="preserve">Traceability: BR-001, DC-003.</w:t>
      </w:r>
    </w:p>
    <w:p>
      <w:r>
        <w:pict>
          <v:rect style="width:0;height:1.5pt" o:hralign="center" o:hrstd="t" o:hr="t"/>
        </w:pict>
      </w:r>
    </w:p>
    <w:p>
      <w:pPr>
        <w:pStyle w:val="FirstParagraph"/>
      </w:pPr>
      <w:r>
        <w:rPr>
          <w:b/>
          <w:bCs/>
        </w:rPr>
        <w:t xml:space="preserve">FR-INV-015</w:t>
      </w:r>
      <w:r>
        <w:t xml:space="preserve"> </w:t>
      </w:r>
      <w:r>
        <w:t xml:space="preserve">— Physical Stock Count Workflow: Freeze</w:t>
      </w:r>
    </w:p>
    <w:p>
      <w:pPr>
        <w:pStyle w:val="BodyText"/>
      </w:pPr>
      <w:r>
        <w:t xml:space="preserve">When a Store Manager initiates a physical stock count for a selected location, the system shall set the location status to</w:t>
      </w:r>
      <w:r>
        <w:t xml:space="preserve"> </w:t>
      </w:r>
      <w:r>
        <w:rPr>
          <w:rStyle w:val="VerbatimChar"/>
        </w:rPr>
        <w:t xml:space="preserve">frozen</w:t>
      </w:r>
      <w:r>
        <w:t xml:space="preserve">, prevent all stock movements into or out of that location until the count is completed and approved, display a prominent</w:t>
      </w:r>
      <w:r>
        <w:t xml:space="preserve"> </w:t>
      </w:r>
      <w:r>
        <w:rPr>
          <w:rStyle w:val="VerbatimChar"/>
        </w:rPr>
        <w:t xml:space="preserve">LOCATION FROZEN - COUNT IN PROGRESS</w:t>
      </w:r>
      <w:r>
        <w:t xml:space="preserve"> </w:t>
      </w:r>
      <w:r>
        <w:t xml:space="preserve">banner on the location's stock view, and record the freeze initiation timestamp and initiating user.</w:t>
      </w:r>
    </w:p>
    <w:p>
      <w:pPr>
        <w:pStyle w:val="BodyText"/>
      </w:pPr>
      <w:r>
        <w:rPr>
          <w:i/>
          <w:iCs/>
        </w:rPr>
        <w:t xml:space="preserve">Traceability: DC-003.</w:t>
      </w:r>
    </w:p>
    <w:p>
      <w:r>
        <w:pict>
          <v:rect style="width:0;height:1.5pt" o:hralign="center" o:hrstd="t" o:hr="t"/>
        </w:pict>
      </w:r>
    </w:p>
    <w:p>
      <w:pPr>
        <w:pStyle w:val="FirstParagraph"/>
      </w:pPr>
      <w:r>
        <w:rPr>
          <w:b/>
          <w:bCs/>
        </w:rPr>
        <w:t xml:space="preserve">FR-INV-016</w:t>
      </w:r>
      <w:r>
        <w:t xml:space="preserve"> </w:t>
      </w:r>
      <w:r>
        <w:t xml:space="preserve">— Physical Stock Count Workflow: Count Entry</w:t>
      </w:r>
    </w:p>
    <w:p>
      <w:pPr>
        <w:pStyle w:val="BodyText"/>
      </w:pPr>
      <w:r>
        <w:t xml:space="preserve">When a warehouse staff member enters count results for a frozen location, the system shall display each item and batch in the location with the system's recorded quantity and a field for the counted quantity. The staff member shall enter the physically counted quantity per item per batch. The system shall record counted quantities without displaying variances until count entry is complete, to prevent biased re-counting.</w:t>
      </w:r>
    </w:p>
    <w:p>
      <w:pPr>
        <w:pStyle w:val="BodyText"/>
      </w:pPr>
      <w:r>
        <w:rPr>
          <w:i/>
          <w:iCs/>
        </w:rPr>
        <w:t xml:space="preserve">Traceability: DC-003.</w:t>
      </w:r>
    </w:p>
    <w:p>
      <w:r>
        <w:pict>
          <v:rect style="width:0;height:1.5pt" o:hralign="center" o:hrstd="t" o:hr="t"/>
        </w:pict>
      </w:r>
    </w:p>
    <w:p>
      <w:pPr>
        <w:pStyle w:val="FirstParagraph"/>
      </w:pPr>
      <w:r>
        <w:rPr>
          <w:b/>
          <w:bCs/>
        </w:rPr>
        <w:t xml:space="preserve">FR-INV-017</w:t>
      </w:r>
      <w:r>
        <w:t xml:space="preserve"> </w:t>
      </w:r>
      <w:r>
        <w:t xml:space="preserve">— Physical Stock Count Workflow: Variance Review</w:t>
      </w:r>
    </w:p>
    <w:p>
      <w:pPr>
        <w:pStyle w:val="BodyText"/>
      </w:pPr>
      <w:r>
        <w:t xml:space="preserve">When all items in a frozen location have been counted, the system shall calculate the variance (counted minus system balance) for each item/batch line, display a variance report to the Store Manager showing positive and negative variances, flag all variances exceeding a configurable threshold (default: 2% of system balance) for mandatory review, and require the Store Manager to acknowledge each flagged variance before proceeding to approval.</w:t>
      </w:r>
    </w:p>
    <w:p>
      <w:pPr>
        <w:pStyle w:val="BodyText"/>
      </w:pPr>
      <w:r>
        <w:rPr>
          <w:i/>
          <w:iCs/>
        </w:rPr>
        <w:t xml:space="preserve">Traceability: DC-003.</w:t>
      </w:r>
    </w:p>
    <w:p>
      <w:r>
        <w:pict>
          <v:rect style="width:0;height:1.5pt" o:hralign="center" o:hrstd="t" o:hr="t"/>
        </w:pict>
      </w:r>
    </w:p>
    <w:p>
      <w:pPr>
        <w:pStyle w:val="FirstParagraph"/>
      </w:pPr>
      <w:r>
        <w:rPr>
          <w:b/>
          <w:bCs/>
        </w:rPr>
        <w:t xml:space="preserve">FR-INV-018</w:t>
      </w:r>
      <w:r>
        <w:t xml:space="preserve"> </w:t>
      </w:r>
      <w:r>
        <w:t xml:space="preserve">— Physical Stock Count Workflow: Approval and Adjustment</w:t>
      </w:r>
    </w:p>
    <w:p>
      <w:pPr>
        <w:pStyle w:val="BodyText"/>
      </w:pPr>
      <w:r>
        <w:t xml:space="preserve">When the Store Manager submits the physical count for approval, the system shall route the count to the Finance Director for approval (BR-003 — Store Manager cannot approve own count). Upon Finance Director approval, the system shall update</w:t>
      </w:r>
      <w:r>
        <w:t xml:space="preserve"> </w:t>
      </w:r>
      <w:r>
        <w:rPr>
          <w:rStyle w:val="VerbatimChar"/>
        </w:rPr>
        <w:t xml:space="preserve">tbl_stock_balance</w:t>
      </w:r>
      <w:r>
        <w:t xml:space="preserve"> </w:t>
      </w:r>
      <w:r>
        <w:t xml:space="preserve">to match the counted quantities, post GL entries for all positive and negative variances (DR/CR Inventory Adjustment / CR/DR Stock Variance Expense), and release the location from</w:t>
      </w:r>
      <w:r>
        <w:t xml:space="preserve"> </w:t>
      </w:r>
      <w:r>
        <w:rPr>
          <w:rStyle w:val="VerbatimChar"/>
        </w:rPr>
        <w:t xml:space="preserve">frozen</w:t>
      </w:r>
      <w:r>
        <w:t xml:space="preserve"> </w:t>
      </w:r>
      <w:r>
        <w:t xml:space="preserve">status.</w:t>
      </w:r>
    </w:p>
    <w:p>
      <w:pPr>
        <w:pStyle w:val="BodyText"/>
      </w:pPr>
      <w:r>
        <w:rPr>
          <w:i/>
          <w:iCs/>
        </w:rPr>
        <w:t xml:space="preserve">Traceability: BR-003, DC-003.</w:t>
      </w:r>
    </w:p>
    <w:p>
      <w:r>
        <w:pict>
          <v:rect style="width:0;height:1.5pt" o:hralign="center" o:hrstd="t" o:hr="t"/>
        </w:pict>
      </w:r>
    </w:p>
    <w:p>
      <w:pPr>
        <w:pStyle w:val="FirstParagraph"/>
      </w:pPr>
      <w:r>
        <w:rPr>
          <w:b/>
          <w:bCs/>
        </w:rPr>
        <w:t xml:space="preserve">FR-INV-019</w:t>
      </w:r>
      <w:r>
        <w:t xml:space="preserve"> </w:t>
      </w:r>
      <w:r>
        <w:t xml:space="preserve">— Stock Adjustment with Reason Code</w:t>
      </w:r>
    </w:p>
    <w:p>
      <w:pPr>
        <w:pStyle w:val="BodyText"/>
      </w:pPr>
      <w:r>
        <w:t xml:space="preserve">When a Store Manager initiates a manual stock adjustment (outside of physical count), the system shall require: reason code (configurable list, minimum: damage, theft, expiry write-off, data correction, production wastage), quantity adjustment (positive or negative), batch reference, and a text note. Adjustments of absolute value exceeding a configurable monetary threshold (default: UGX 500,000) shall require Finance Director approval before the system posts the adjustment and the associated GL entry.</w:t>
      </w:r>
    </w:p>
    <w:p>
      <w:pPr>
        <w:pStyle w:val="BodyText"/>
      </w:pPr>
      <w:r>
        <w:rPr>
          <w:i/>
          <w:iCs/>
        </w:rPr>
        <w:t xml:space="preserve">Traceability: BR-003, DC-002, DC-003.</w:t>
      </w:r>
    </w:p>
    <w:p>
      <w:r>
        <w:pict>
          <v:rect style="width:0;height:1.5pt" o:hralign="center" o:hrstd="t" o:hr="t"/>
        </w:pict>
      </w:r>
    </w:p>
    <w:p>
      <w:pPr>
        <w:pStyle w:val="FirstParagraph"/>
      </w:pPr>
      <w:r>
        <w:rPr>
          <w:b/>
          <w:bCs/>
        </w:rPr>
        <w:t xml:space="preserve">FR-INV-020</w:t>
      </w:r>
      <w:r>
        <w:t xml:space="preserve"> </w:t>
      </w:r>
      <w:r>
        <w:t xml:space="preserve">— Stock Adjustment GL Auto-Posting</w:t>
      </w:r>
    </w:p>
    <w:p>
      <w:pPr>
        <w:pStyle w:val="BodyText"/>
      </w:pPr>
      <w:r>
        <w:t xml:space="preserve">When a stock adjustment is approved and applied (FR-INV-019 or FR-INV-018), the system shall automatically post a GL journal entry: for a negative adjustment, DR Stock Adjustment Expense / CR Inventory; for a positive adjustment, DR Inventory / CR Stock Adjustment Income (or the applicable account per the chart of accounts). The adjustment reference number, reason code, and approver identity shall be recorded in the journal entry source reference.</w:t>
      </w:r>
    </w:p>
    <w:p>
      <w:pPr>
        <w:pStyle w:val="BodyText"/>
      </w:pPr>
      <w:r>
        <w:rPr>
          <w:i/>
          <w:iCs/>
        </w:rPr>
        <w:t xml:space="preserve">Traceability: BG-001, DC-003, BR-013.</w:t>
      </w:r>
    </w:p>
    <w:p>
      <w:r>
        <w:pict>
          <v:rect style="width:0;height:1.5pt" o:hralign="center" o:hrstd="t" o:hr="t"/>
        </w:pict>
      </w:r>
    </w:p>
    <w:p>
      <w:pPr>
        <w:pStyle w:val="FirstParagraph"/>
      </w:pPr>
      <w:r>
        <w:rPr>
          <w:b/>
          <w:bCs/>
        </w:rPr>
        <w:t xml:space="preserve">FR-INV-021</w:t>
      </w:r>
      <w:r>
        <w:t xml:space="preserve"> </w:t>
      </w:r>
      <w:r>
        <w:t xml:space="preserve">— Reorder Level Alert</w:t>
      </w:r>
    </w:p>
    <w:p>
      <w:pPr>
        <w:pStyle w:val="BodyText"/>
      </w:pPr>
      <w:r>
        <w:t xml:space="preserve">When the system's daily batch job runs and detects that a product's current total warehouse stock balance (across all warehouse locations, excluding agent stock per BR-001) falls at or below the product's configured reorder level, the system shall: display a reorder alert widget on the Store Manager's dashboard listing all below-reorder-level items with current stock, reorder level, and reorder quantity; and send an email notification to the Store Manager and Procurement Manager.</w:t>
      </w:r>
    </w:p>
    <w:p>
      <w:pPr>
        <w:pStyle w:val="BodyText"/>
      </w:pPr>
      <w:r>
        <w:rPr>
          <w:i/>
          <w:iCs/>
        </w:rPr>
        <w:t xml:space="preserve">Traceability: BR-001, DC-002.</w:t>
      </w:r>
    </w:p>
    <w:p>
      <w:r>
        <w:pict>
          <v:rect style="width:0;height:1.5pt" o:hralign="center" o:hrstd="t" o:hr="t"/>
        </w:pict>
      </w:r>
    </w:p>
    <w:p>
      <w:pPr>
        <w:pStyle w:val="FirstParagraph"/>
      </w:pPr>
      <w:r>
        <w:rPr>
          <w:b/>
          <w:bCs/>
        </w:rPr>
        <w:t xml:space="preserve">FR-INV-022</w:t>
      </w:r>
      <w:r>
        <w:t xml:space="preserve"> </w:t>
      </w:r>
      <w:r>
        <w:t xml:space="preserve">— Stock Valuation: FIFO Method</w:t>
      </w:r>
    </w:p>
    <w:p>
      <w:pPr>
        <w:pStyle w:val="BodyText"/>
      </w:pPr>
      <w:r>
        <w:t xml:space="preserve">When the stock valuation method for a product is set to FIFO, the system shall maintain a cost layer for each batch received, in order of receipt date. When stock is consumed (sold, transferred, or adjusted), the system shall deduct from the earliest-received cost layer first. The FIFO cost of each unit consumed shall be used for COGS calculation (FR-SAL-014 and FR-POS-018) and for the balance sheet inventory value.</w:t>
      </w:r>
    </w:p>
    <w:p>
      <w:pPr>
        <w:pStyle w:val="BodyText"/>
      </w:pPr>
      <w:r>
        <w:rPr>
          <w:i/>
          <w:iCs/>
        </w:rPr>
        <w:t xml:space="preserve">Traceability: BG-002, DC-002.</w:t>
      </w:r>
    </w:p>
    <w:p>
      <w:r>
        <w:pict>
          <v:rect style="width:0;height:1.5pt" o:hralign="center" o:hrstd="t" o:hr="t"/>
        </w:pict>
      </w:r>
    </w:p>
    <w:p>
      <w:pPr>
        <w:pStyle w:val="FirstParagraph"/>
      </w:pPr>
      <w:r>
        <w:rPr>
          <w:b/>
          <w:bCs/>
        </w:rPr>
        <w:t xml:space="preserve">FR-INV-023</w:t>
      </w:r>
      <w:r>
        <w:t xml:space="preserve"> </w:t>
      </w:r>
      <w:r>
        <w:t xml:space="preserve">— Stock Valuation: Moving Average Method</w:t>
      </w:r>
    </w:p>
    <w:p>
      <w:pPr>
        <w:pStyle w:val="BodyText"/>
      </w:pPr>
      <w:r>
        <w:t xml:space="preserve">When the stock valuation method for a product is set to Moving Average, the system shall recalculate the weighted average cost per unit after each stock receipt using the formula:</w:t>
      </w:r>
      <w:r>
        <w:t xml:space="preserve"> </w:t>
      </w:r>
      <m:oMath>
        <m:r>
          <m:rPr>
            <m:nor/>
            <m:sty m:val="p"/>
          </m:rPr>
          <m:t>New Average Cost</m:t>
        </m:r>
        <m:r>
          <m:rPr>
            <m:sty m:val="p"/>
          </m:rPr>
          <m:t>=</m:t>
        </m:r>
        <m:f>
          <m:fPr>
            <m:type m:val="bar"/>
          </m:fPr>
          <m:num>
            <m:r>
              <m:rPr>
                <m:sty m:val="p"/>
              </m:rPr>
              <m:t>(</m:t>
            </m:r>
            <m:r>
              <m:rPr>
                <m:nor/>
                <m:sty m:val="p"/>
              </m:rPr>
              <m:t>Existing Quantity</m:t>
            </m:r>
            <m:r>
              <m:rPr>
                <m:sty m:val="p"/>
              </m:rPr>
              <m:t>×</m:t>
            </m:r>
            <m:r>
              <m:rPr>
                <m:nor/>
                <m:sty m:val="p"/>
              </m:rPr>
              <m:t>Existing Average Cost</m:t>
            </m:r>
            <m:r>
              <m:rPr>
                <m:sty m:val="p"/>
              </m:rPr>
              <m:t>)</m:t>
            </m:r>
            <m:r>
              <m:rPr>
                <m:sty m:val="p"/>
              </m:rPr>
              <m:t>+</m:t>
            </m:r>
            <m:r>
              <m:rPr>
                <m:sty m:val="p"/>
              </m:rPr>
              <m:t>(</m:t>
            </m:r>
            <m:r>
              <m:rPr>
                <m:nor/>
                <m:sty m:val="p"/>
              </m:rPr>
              <m:t>Received Quantity</m:t>
            </m:r>
            <m:r>
              <m:rPr>
                <m:sty m:val="p"/>
              </m:rPr>
              <m:t>×</m:t>
            </m:r>
            <m:r>
              <m:rPr>
                <m:nor/>
                <m:sty m:val="p"/>
              </m:rPr>
              <m:t>Receipt Cost</m:t>
            </m:r>
            <m:r>
              <m:rPr>
                <m:sty m:val="p"/>
              </m:rPr>
              <m:t>)</m:t>
            </m:r>
          </m:num>
          <m:den>
            <m:r>
              <m:rPr>
                <m:nor/>
                <m:sty m:val="p"/>
              </m:rPr>
              <m:t>Existing Quantity</m:t>
            </m:r>
            <m:r>
              <m:rPr>
                <m:sty m:val="p"/>
              </m:rPr>
              <m:t>+</m:t>
            </m:r>
            <m:r>
              <m:rPr>
                <m:nor/>
                <m:sty m:val="p"/>
              </m:rPr>
              <m:t>Received Quantity</m:t>
            </m:r>
          </m:den>
        </m:f>
      </m:oMath>
      <w:r>
        <w:t xml:space="preserve">. This average cost shall be used for COGS calculation on all subsequent sales and adjustments.</w:t>
      </w:r>
    </w:p>
    <w:p>
      <w:pPr>
        <w:pStyle w:val="BodyText"/>
      </w:pPr>
      <w:r>
        <w:rPr>
          <w:i/>
          <w:iCs/>
        </w:rPr>
        <w:t xml:space="preserve">Traceability: BG-002, DC-002.</w:t>
      </w:r>
    </w:p>
    <w:p>
      <w:r>
        <w:pict>
          <v:rect style="width:0;height:1.5pt" o:hralign="center" o:hrstd="t" o:hr="t"/>
        </w:pict>
      </w:r>
    </w:p>
    <w:p>
      <w:pPr>
        <w:pStyle w:val="FirstParagraph"/>
      </w:pPr>
      <w:r>
        <w:rPr>
          <w:b/>
          <w:bCs/>
        </w:rPr>
        <w:t xml:space="preserve">FR-INV-024</w:t>
      </w:r>
      <w:r>
        <w:t xml:space="preserve"> </w:t>
      </w:r>
      <w:r>
        <w:t xml:space="preserve">— Balance Sheet Stock Valuation Report</w:t>
      </w:r>
    </w:p>
    <w:p>
      <w:pPr>
        <w:pStyle w:val="BodyText"/>
      </w:pPr>
      <w:r>
        <w:t xml:space="preserve">When a Finance Director requests a stock valuation report as of a specified date, the system shall calculate the total inventory value at that date using the configured valuation method per product, broken down by product, location (warehouse only, per BR-001), and batch. The report shall be exportable to PDF and Excel and shall tie to the GL inventory account balance at the same date.</w:t>
      </w:r>
    </w:p>
    <w:p>
      <w:pPr>
        <w:pStyle w:val="BodyText"/>
      </w:pPr>
      <w:r>
        <w:rPr>
          <w:i/>
          <w:iCs/>
        </w:rPr>
        <w:t xml:space="preserve">Traceability: BG-002, STK-002.</w:t>
      </w:r>
    </w:p>
    <w:p>
      <w:r>
        <w:pict>
          <v:rect style="width:0;height:1.5pt" o:hralign="center" o:hrstd="t" o:hr="t"/>
        </w:pict>
      </w:r>
    </w:p>
    <w:p>
      <w:pPr>
        <w:pStyle w:val="FirstParagraph"/>
      </w:pPr>
      <w:r>
        <w:rPr>
          <w:b/>
          <w:bCs/>
        </w:rPr>
        <w:t xml:space="preserve">FR-INV-025</w:t>
      </w:r>
      <w:r>
        <w:t xml:space="preserve"> </w:t>
      </w:r>
      <w:r>
        <w:t xml:space="preserve">— Warehouse App Integration (Android)</w:t>
      </w:r>
    </w:p>
    <w:p>
      <w:pPr>
        <w:pStyle w:val="BodyText"/>
      </w:pPr>
      <w:r>
        <w:t xml:space="preserve">When a warehouse staff member uses the Warehouse Android App to scan a product barcode during stock receipt, transfer confirmation, or physical count, the system shall process the barcode scan via ML Kit, query the local cached product catalogue, and update the relevant transaction record. All Warehouse App transactions shall sync to the server via the REST API using JWT Bearer authentication. Offline operation shall follow the same queue-and-sync pattern as the POS offline mode (DC-005).</w:t>
      </w:r>
    </w:p>
    <w:p>
      <w:pPr>
        <w:pStyle w:val="BodyText"/>
      </w:pPr>
      <w:r>
        <w:rPr>
          <w:i/>
          <w:iCs/>
        </w:rPr>
        <w:t xml:space="preserve">Traceability: DC-005, STK-017.</w:t>
      </w:r>
    </w:p>
    <w:p>
      <w:r>
        <w:pict>
          <v:rect style="width:0;height:1.5pt" o:hralign="center" o:hrstd="t" o:hr="t"/>
        </w:pict>
      </w:r>
    </w:p>
    <w:p>
      <w:pPr>
        <w:pStyle w:val="FirstParagraph"/>
      </w:pPr>
      <w:r>
        <w:rPr>
          <w:b/>
          <w:bCs/>
        </w:rPr>
        <w:t xml:space="preserve">FR-INV-026</w:t>
      </w:r>
      <w:r>
        <w:t xml:space="preserve"> </w:t>
      </w:r>
      <w:r>
        <w:t xml:space="preserve">— Stock Movement Ledger (Full Audit Trail)</w:t>
      </w:r>
    </w:p>
    <w:p>
      <w:pPr>
        <w:pStyle w:val="BodyText"/>
      </w:pPr>
      <w:r>
        <w:t xml:space="preserve">The system shall maintain a stock movement ledger (</w:t>
      </w:r>
      <w:r>
        <w:rPr>
          <w:rStyle w:val="VerbatimChar"/>
        </w:rPr>
        <w:t xml:space="preserve">tbl_stock_movements</w:t>
      </w:r>
      <w:r>
        <w:t xml:space="preserve">) recording every change to</w:t>
      </w:r>
      <w:r>
        <w:t xml:space="preserve"> </w:t>
      </w:r>
      <w:r>
        <w:rPr>
          <w:rStyle w:val="VerbatimChar"/>
        </w:rPr>
        <w:t xml:space="preserve">tbl_stock_balance</w:t>
      </w:r>
      <w:r>
        <w:t xml:space="preserve"> </w:t>
      </w:r>
      <w:r>
        <w:t xml:space="preserve">or</w:t>
      </w:r>
      <w:r>
        <w:t xml:space="preserve"> </w:t>
      </w:r>
      <w:r>
        <w:rPr>
          <w:rStyle w:val="VerbatimChar"/>
        </w:rPr>
        <w:t xml:space="preserve">tbl_agent_stock_balance</w:t>
      </w:r>
      <w:r>
        <w:t xml:space="preserve">. Each ledger record shall contain: movement type (receipt, sale, transfer-out, transfer-in, adjustment, POS sale, agent issuance, agent return), source document reference, item, batch, location or agent, quantity (positive for in, negative for out), unit cost, movement timestamp, and user identity. This ledger is immutable — records are never updated or deleted.</w:t>
      </w:r>
    </w:p>
    <w:p>
      <w:pPr>
        <w:pStyle w:val="BodyText"/>
      </w:pPr>
      <w:r>
        <w:rPr>
          <w:i/>
          <w:iCs/>
        </w:rPr>
        <w:t xml:space="preserve">Traceability: DC-003, BR-013.</w:t>
      </w:r>
    </w:p>
    <w:p>
      <w:r>
        <w:pict>
          <v:rect style="width:0;height:1.5pt" o:hralign="center" o:hrstd="t" o:hr="t"/>
        </w:pict>
      </w:r>
    </w:p>
    <w:p>
      <w:pPr>
        <w:pStyle w:val="FirstParagraph"/>
      </w:pPr>
      <w:r>
        <w:rPr>
          <w:b/>
          <w:bCs/>
        </w:rPr>
        <w:t xml:space="preserve">FR-INV-027</w:t>
      </w:r>
      <w:r>
        <w:t xml:space="preserve"> </w:t>
      </w:r>
      <w:r>
        <w:t xml:space="preserve">— Total Company Stock Consolidated Report</w:t>
      </w:r>
    </w:p>
    <w:p>
      <w:pPr>
        <w:pStyle w:val="BodyText"/>
      </w:pPr>
      <w:r>
        <w:t xml:space="preserve">When a user with the</w:t>
      </w:r>
      <w:r>
        <w:t xml:space="preserve"> </w:t>
      </w:r>
      <w:r>
        <w:rPr>
          <w:rStyle w:val="VerbatimChar"/>
        </w:rPr>
        <w:t xml:space="preserve">management</w:t>
      </w:r>
      <w:r>
        <w:t xml:space="preserve"> </w:t>
      </w:r>
      <w:r>
        <w:t xml:space="preserve">role requests a consolidated stock report, the system shall produce a report showing warehouse stock (from</w:t>
      </w:r>
      <w:r>
        <w:t xml:space="preserve"> </w:t>
      </w:r>
      <w:r>
        <w:rPr>
          <w:rStyle w:val="VerbatimChar"/>
        </w:rPr>
        <w:t xml:space="preserve">tbl_stock_balance</w:t>
      </w:r>
      <w:r>
        <w:t xml:space="preserve">, aggregated across all locations) and agent stock (from</w:t>
      </w:r>
      <w:r>
        <w:t xml:space="preserve"> </w:t>
      </w:r>
      <w:r>
        <w:rPr>
          <w:rStyle w:val="VerbatimChar"/>
        </w:rPr>
        <w:t xml:space="preserve">tbl_agent_stock_balance</w:t>
      </w:r>
      <w:r>
        <w:t xml:space="preserve">, aggregated across all agents) in separate, clearly labelled sections. A grand total row shall sum both. The report shall never present a single undifferentiated total that merges warehouse and agent stock without labelling (BR-001 compliance).</w:t>
      </w:r>
    </w:p>
    <w:p>
      <w:pPr>
        <w:pStyle w:val="BodyText"/>
      </w:pPr>
      <w:r>
        <w:rPr>
          <w:i/>
          <w:iCs/>
        </w:rPr>
        <w:t xml:space="preserve">Traceability: BR-001, STK-008.</w:t>
      </w:r>
    </w:p>
    <w:p>
      <w:r>
        <w:pict>
          <v:rect style="width:0;height:1.5pt" o:hralign="center" o:hrstd="t" o:hr="t"/>
        </w:pict>
      </w:r>
    </w:p>
    <w:p>
      <w:pPr>
        <w:pStyle w:val="FirstParagraph"/>
      </w:pPr>
      <w:r>
        <w:rPr>
          <w:b/>
          <w:bCs/>
        </w:rPr>
        <w:t xml:space="preserve">FR-INV-028</w:t>
      </w:r>
      <w:r>
        <w:t xml:space="preserve"> </w:t>
      </w:r>
      <w:r>
        <w:t xml:space="preserve">— Product Category Management</w:t>
      </w:r>
    </w:p>
    <w:p>
      <w:pPr>
        <w:pStyle w:val="BodyText"/>
      </w:pPr>
      <w:r>
        <w:t xml:space="preserve">When a Finance Director or Store Manager creates or edits a product category, the system shall capture: category code, category name, GL revenue account (mapped to the revenue account for CR on sales), GL COGS account (mapped for DR COGS on sales), GL inventory account (mapped for the balance sheet), and whether the category requires batch tracking. Category GL account mappings drive automated GL posting for all sales and stock movements in that category.</w:t>
      </w:r>
    </w:p>
    <w:p>
      <w:pPr>
        <w:pStyle w:val="BodyText"/>
      </w:pPr>
      <w:r>
        <w:rPr>
          <w:i/>
          <w:iCs/>
        </w:rPr>
        <w:t xml:space="preserve">Traceability: BG-001, DC-002.</w:t>
      </w:r>
    </w:p>
    <w:p>
      <w:r>
        <w:pict>
          <v:rect style="width:0;height:1.5pt" o:hralign="center" o:hrstd="t" o:hr="t"/>
        </w:pict>
      </w:r>
    </w:p>
    <w:p>
      <w:pPr>
        <w:pStyle w:val="FirstParagraph"/>
      </w:pPr>
      <w:r>
        <w:rPr>
          <w:b/>
          <w:bCs/>
        </w:rPr>
        <w:t xml:space="preserve">FR-INV-029</w:t>
      </w:r>
      <w:r>
        <w:t xml:space="preserve"> </w:t>
      </w:r>
      <w:r>
        <w:t xml:space="preserve">— Cold Store Temperature Log (Configurable Attribute)</w:t>
      </w:r>
    </w:p>
    <w:p>
      <w:pPr>
        <w:pStyle w:val="BodyText"/>
      </w:pPr>
      <w:r>
        <w:t xml:space="preserve">When a product is flagged as</w:t>
      </w:r>
      <w:r>
        <w:t xml:space="preserve"> </w:t>
      </w:r>
      <w:r>
        <w:rPr>
          <w:rStyle w:val="VerbatimChar"/>
        </w:rPr>
        <w:t xml:space="preserve">cold store required</w:t>
      </w:r>
      <w:r>
        <w:t xml:space="preserve">, the system shall associate the product with a cold store location and allow warehouse staff to record temperature readings against the location at configurable intervals.</w:t>
      </w:r>
      <w:r>
        <w:t xml:space="preserve"> </w:t>
      </w:r>
      <w:r>
        <w:rPr>
          <w:rStyle w:val="VerbatimChar"/>
        </w:rPr>
        <w:t xml:space="preserve">[CONTEXT-GAP: GAP-013]</w:t>
      </w:r>
      <w:r>
        <w:t xml:space="preserve"> </w:t>
      </w:r>
      <w:r>
        <w:t xml:space="preserve">— confirm whether BIRDC's cold store has automated temperature sensors or requires manual entry.</w:t>
      </w:r>
    </w:p>
    <w:p>
      <w:pPr>
        <w:pStyle w:val="BodyText"/>
      </w:pPr>
      <w:r>
        <w:rPr>
          <w:i/>
          <w:iCs/>
        </w:rPr>
        <w:t xml:space="preserve">Traceability: BG-002, DC-002.</w:t>
      </w:r>
    </w:p>
    <w:p>
      <w:r>
        <w:pict>
          <v:rect style="width:0;height:1.5pt" o:hralign="center" o:hrstd="t" o:hr="t"/>
        </w:pict>
      </w:r>
    </w:p>
    <w:p>
      <w:pPr>
        <w:pStyle w:val="FirstParagraph"/>
      </w:pPr>
      <w:r>
        <w:rPr>
          <w:b/>
          <w:bCs/>
        </w:rPr>
        <w:t xml:space="preserve">FR-INV-030</w:t>
      </w:r>
      <w:r>
        <w:t xml:space="preserve"> </w:t>
      </w:r>
      <w:r>
        <w:t xml:space="preserve">— Packaging Store Management</w:t>
      </w:r>
    </w:p>
    <w:p>
      <w:pPr>
        <w:pStyle w:val="BodyText"/>
      </w:pPr>
      <w:r>
        <w:t xml:space="preserve">When packaging materials (bags, boxes, labels) are received into the packaging store location, the system shall track them as stock items with their own item codes, quantities, and reorder levels. When a production order requisitions packaging materials, the system shall deduct from packaging store stock and post GL entries (DR WIP or Production Cost / CR Packaging Inventory).</w:t>
      </w:r>
      <w:r>
        <w:t xml:space="preserve"> </w:t>
      </w:r>
      <w:r>
        <w:rPr>
          <w:rStyle w:val="VerbatimChar"/>
        </w:rPr>
        <w:t xml:space="preserve">[CONTEXT-GAP: GAP-014]</w:t>
      </w:r>
      <w:r>
        <w:t xml:space="preserve"> </w:t>
      </w:r>
      <w:r>
        <w:t xml:space="preserve">— packaging material item codes and supplier relationships to be provided by BIRDC Procurement.</w:t>
      </w:r>
    </w:p>
    <w:p>
      <w:pPr>
        <w:pStyle w:val="BodyText"/>
      </w:pPr>
      <w:r>
        <w:rPr>
          <w:i/>
          <w:iCs/>
        </w:rPr>
        <w:t xml:space="preserve">Traceability: BG-004, BG-001.</w:t>
      </w:r>
    </w:p>
    <w:p>
      <w:r>
        <w:pict>
          <v:rect style="width:0;height:1.5pt" o:hralign="center" o:hrstd="t" o:hr="t"/>
        </w:pict>
      </w:r>
    </w:p>
    <w:p>
      <w:pPr>
        <w:pStyle w:val="FirstParagraph"/>
      </w:pPr>
      <w:r>
        <w:rPr>
          <w:b/>
          <w:bCs/>
        </w:rPr>
        <w:t xml:space="preserve">FR-INV-031</w:t>
      </w:r>
      <w:r>
        <w:t xml:space="preserve"> </w:t>
      </w:r>
      <w:r>
        <w:t xml:space="preserve">— Distribution Staging Location Management</w:t>
      </w:r>
    </w:p>
    <w:p>
      <w:pPr>
        <w:pStyle w:val="BodyText"/>
      </w:pPr>
      <w:r>
        <w:t xml:space="preserve">When goods are prepared for agent or distributor dispatch from the distribution staging location, the system shall track the stock as held in staging (not yet transferred to the agent's virtual store). Staging stock counts in the warehouse total until the agent issuance is confirmed. The staging location shall support batch picking: grouping multiple agent orders for simultaneous preparation before individual agent issuances are processed.</w:t>
      </w:r>
    </w:p>
    <w:p>
      <w:pPr>
        <w:pStyle w:val="BodyText"/>
      </w:pPr>
      <w:r>
        <w:rPr>
          <w:i/>
          <w:iCs/>
        </w:rPr>
        <w:t xml:space="preserve">Traceability: BR-001.</w:t>
      </w:r>
    </w:p>
    <w:p>
      <w:r>
        <w:pict>
          <v:rect style="width:0;height:1.5pt" o:hralign="center" o:hrstd="t" o:hr="t"/>
        </w:pict>
      </w:r>
    </w:p>
    <w:p>
      <w:pPr>
        <w:pStyle w:val="FirstParagraph"/>
      </w:pPr>
      <w:r>
        <w:rPr>
          <w:b/>
          <w:bCs/>
        </w:rPr>
        <w:t xml:space="preserve">FR-INV-032</w:t>
      </w:r>
      <w:r>
        <w:t xml:space="preserve"> </w:t>
      </w:r>
      <w:r>
        <w:t xml:space="preserve">— Returns Bay Workflow</w:t>
      </w:r>
    </w:p>
    <w:p>
      <w:pPr>
        <w:pStyle w:val="BodyText"/>
      </w:pPr>
      <w:r>
        <w:t xml:space="preserve">When returned goods (from agents or POS refunds) are placed in the returns bay location, the system shall hold them with status</w:t>
      </w:r>
      <w:r>
        <w:t xml:space="preserve"> </w:t>
      </w:r>
      <w:r>
        <w:rPr>
          <w:rStyle w:val="VerbatimChar"/>
        </w:rPr>
        <w:t xml:space="preserve">pending inspection</w:t>
      </w:r>
      <w:r>
        <w:t xml:space="preserve">. A QC-authorised user shall either: approve the return (move goods to a saleable location with the original batch), or reject the return (create a stock adjustment write-off). Approved returns shall not re-enter saleable stock without QC sign-off.</w:t>
      </w:r>
    </w:p>
    <w:p>
      <w:pPr>
        <w:pStyle w:val="BodyText"/>
      </w:pPr>
      <w:r>
        <w:rPr>
          <w:i/>
          <w:iCs/>
        </w:rPr>
        <w:t xml:space="preserve">Traceability: BR-004, DC-003.</w:t>
      </w:r>
    </w:p>
    <w:p>
      <w:r>
        <w:pict>
          <v:rect style="width:0;height:1.5pt" o:hralign="center" o:hrstd="t" o:hr="t"/>
        </w:pict>
      </w:r>
    </w:p>
    <w:p>
      <w:pPr>
        <w:pStyle w:val="FirstParagraph"/>
      </w:pPr>
      <w:r>
        <w:rPr>
          <w:b/>
          <w:bCs/>
        </w:rPr>
        <w:t xml:space="preserve">FR-INV-033</w:t>
      </w:r>
      <w:r>
        <w:t xml:space="preserve"> </w:t>
      </w:r>
      <w:r>
        <w:t xml:space="preserve">— Stock Movement Search and Filter</w:t>
      </w:r>
    </w:p>
    <w:p>
      <w:pPr>
        <w:pStyle w:val="BodyText"/>
      </w:pPr>
      <w:r>
        <w:t xml:space="preserve">When a Store Manager or Finance Director searches the stock movement ledger, the system shall support filtering by: date range, movement type, item, location, batch number, and source document reference. Results shall be paginated and exportable to Excel. Response time shall not exceed 2 seconds for queries spanning up to 12 months of data.</w:t>
      </w:r>
    </w:p>
    <w:p>
      <w:pPr>
        <w:pStyle w:val="BodyText"/>
      </w:pPr>
      <w:r>
        <w:rPr>
          <w:i/>
          <w:iCs/>
        </w:rPr>
        <w:t xml:space="preserve">Traceability: DC-001, DC-003.</w:t>
      </w:r>
    </w:p>
    <w:p>
      <w:r>
        <w:pict>
          <v:rect style="width:0;height:1.5pt" o:hralign="center" o:hrstd="t" o:hr="t"/>
        </w:pict>
      </w:r>
    </w:p>
    <w:p>
      <w:pPr>
        <w:pStyle w:val="FirstParagraph"/>
      </w:pPr>
      <w:r>
        <w:rPr>
          <w:b/>
          <w:bCs/>
        </w:rPr>
        <w:t xml:space="preserve">FR-INV-034</w:t>
      </w:r>
      <w:r>
        <w:t xml:space="preserve"> </w:t>
      </w:r>
      <w:r>
        <w:t xml:space="preserve">— Low Stock Alert Dashboard Widget</w:t>
      </w:r>
    </w:p>
    <w:p>
      <w:pPr>
        <w:pStyle w:val="BodyText"/>
      </w:pPr>
      <w:r>
        <w:t xml:space="preserve">When any product's warehouse stock balance falls at or below its reorder level, the system shall display a persistent low stock alert widget on the Store Manager's and Procurement Manager's dashboards. The widget shall list all below-reorder-level items, sorted by the severity of the shortfall (percentage below reorder level, descending). The widget shall clear for a product when its stock balance is restored above the reorder level.</w:t>
      </w:r>
    </w:p>
    <w:p>
      <w:pPr>
        <w:pStyle w:val="BodyText"/>
      </w:pPr>
      <w:r>
        <w:rPr>
          <w:i/>
          <w:iCs/>
        </w:rPr>
        <w:t xml:space="preserve">Traceability: DC-001, DC-002.</w:t>
      </w:r>
    </w:p>
    <w:p>
      <w:r>
        <w:pict>
          <v:rect style="width:0;height:1.5pt" o:hralign="center" o:hrstd="t" o:hr="t"/>
        </w:pict>
      </w:r>
    </w:p>
    <w:p>
      <w:pPr>
        <w:pStyle w:val="FirstParagraph"/>
      </w:pPr>
      <w:r>
        <w:rPr>
          <w:b/>
          <w:bCs/>
        </w:rPr>
        <w:t xml:space="preserve">FR-INV-035</w:t>
      </w:r>
      <w:r>
        <w:t xml:space="preserve"> </w:t>
      </w:r>
      <w:r>
        <w:t xml:space="preserve">— Bulk Stock Item Import via Excel</w:t>
      </w:r>
    </w:p>
    <w:p>
      <w:pPr>
        <w:pStyle w:val="BodyText"/>
      </w:pPr>
      <w:r>
        <w:t xml:space="preserve">When a Store Manager or IT Administrator uploads a PhpSpreadsheet-compatible Excel file for bulk stock item creation, the system shall validate each row against required fields (item code uniqueness, UOM validity, category existence), display a preview of valid and invalid rows before committing, import all valid rows, and generate an import result report showing: total rows processed, rows imported successfully, and rows rejected with reason. No partial-row imports shall occur — each row is either fully imported or fully rejected.</w:t>
      </w:r>
    </w:p>
    <w:p>
      <w:pPr>
        <w:pStyle w:val="BodyText"/>
      </w:pPr>
      <w:r>
        <w:rPr>
          <w:i/>
          <w:iCs/>
        </w:rPr>
        <w:t xml:space="preserve">Traceability: DC-002, STK-017.</w:t>
      </w:r>
    </w:p>
    <w:p>
      <w:r>
        <w:pict>
          <v:rect style="width:0;height:1.5pt" o:hralign="center" o:hrstd="t" o:hr="t"/>
        </w:pict>
      </w:r>
    </w:p>
    <w:p>
      <w:pPr>
        <w:pStyle w:val="FirstParagraph"/>
      </w:pPr>
      <w:r>
        <w:rPr>
          <w:b/>
          <w:bCs/>
        </w:rPr>
        <w:t xml:space="preserve">FR-INV-036</w:t>
      </w:r>
      <w:r>
        <w:t xml:space="preserve"> </w:t>
      </w:r>
      <w:r>
        <w:t xml:space="preserve">— Stock Enquiry for Sales Agent (Read-Only)</w:t>
      </w:r>
    </w:p>
    <w:p>
      <w:pPr>
        <w:pStyle w:val="BodyText"/>
      </w:pPr>
      <w:r>
        <w:t xml:space="preserve">When a field sales agent accesses the stock enquiry function in the Sales Agent App, the system shall display the agent's own virtual stock balance (from</w:t>
      </w:r>
      <w:r>
        <w:t xml:space="preserve"> </w:t>
      </w:r>
      <w:r>
        <w:rPr>
          <w:rStyle w:val="VerbatimChar"/>
        </w:rPr>
        <w:t xml:space="preserve">tbl_agent_stock_balance</w:t>
      </w:r>
      <w:r>
        <w:t xml:space="preserve">) per product with quantities and expiry dates. The agent shall have no visibility into warehouse stock balances of other locations (access control per 8-layer RBAC).</w:t>
      </w:r>
    </w:p>
    <w:p>
      <w:pPr>
        <w:pStyle w:val="BodyText"/>
      </w:pPr>
      <w:r>
        <w:rPr>
          <w:i/>
          <w:iCs/>
        </w:rPr>
        <w:t xml:space="preserve">Traceability: BR-001, STK-015.</w:t>
      </w:r>
    </w:p>
    <w:p>
      <w:r>
        <w:pict>
          <v:rect style="width:0;height:1.5pt" o:hralign="center" o:hrstd="t" o:hr="t"/>
        </w:pict>
      </w:r>
    </w:p>
    <w:p>
      <w:pPr>
        <w:pStyle w:val="FirstParagraph"/>
      </w:pPr>
      <w:r>
        <w:rPr>
          <w:b/>
          <w:bCs/>
        </w:rPr>
        <w:t xml:space="preserve">FR-INV-037</w:t>
      </w:r>
      <w:r>
        <w:t xml:space="preserve"> </w:t>
      </w:r>
      <w:r>
        <w:t xml:space="preserve">— Goods Return from Customer (Sales Return)</w:t>
      </w:r>
    </w:p>
    <w:p>
      <w:pPr>
        <w:pStyle w:val="BodyText"/>
      </w:pPr>
      <w:r>
        <w:t xml:space="preserve">When a customer returns goods against a sales invoice, the system shall record the return via the credit note workflow (FR-SAL-019) and, upon credit note approval, instruct the warehouse to receive the returned goods into the returns bay location (FR-INV-032) with the original invoice batch reference. The system shall post a GL reversal for the COGS and revenue lines of the returned items.</w:t>
      </w:r>
    </w:p>
    <w:p>
      <w:pPr>
        <w:pStyle w:val="BodyText"/>
      </w:pPr>
      <w:r>
        <w:rPr>
          <w:i/>
          <w:iCs/>
        </w:rPr>
        <w:t xml:space="preserve">Traceability: DC-003, BG-001.</w:t>
      </w:r>
    </w:p>
    <w:bookmarkEnd w:id="47"/>
    <w:bookmarkEnd w:id="48"/>
    <w:bookmarkStart w:id="51" w:name="Xb4d4a04f059637cc279555c08a3a3409e1451a1"/>
    <w:p>
      <w:pPr>
        <w:pStyle w:val="Heading2"/>
      </w:pPr>
      <w:r>
        <w:t xml:space="preserve">3.4 Module F-004: Agent Distribution Management</w:t>
      </w:r>
    </w:p>
    <w:bookmarkStart w:id="49" w:name="X85f28feccfbb3abf99ffdf20d9002f7a55b43e6"/>
    <w:p>
      <w:pPr>
        <w:pStyle w:val="Heading3"/>
      </w:pPr>
      <w:r>
        <w:t xml:space="preserve">3.4.1 Overview</w:t>
      </w:r>
    </w:p>
    <w:p>
      <w:pPr>
        <w:pStyle w:val="FirstParagraph"/>
      </w:pPr>
      <w:r>
        <w:t xml:space="preserve">Module F-004 manages BIRDC's 1,071-agent field sales network. Each agent operates an independent virtual inventory store, maintains a real-time cash balance (a liability to BIRDC), submits cash remittances that are allocated by FIFO to outstanding invoices, and earns commission on verified sales. This module eliminates the cash accountability gap that currently exists in BIRDC's field agent operations.</w:t>
      </w:r>
    </w:p>
    <w:bookmarkEnd w:id="49"/>
    <w:bookmarkStart w:id="50" w:name="Xe2baf24560dfdd3314bb54105a414cbc151f947"/>
    <w:p>
      <w:pPr>
        <w:pStyle w:val="Heading3"/>
      </w:pPr>
      <w:r>
        <w:t xml:space="preserve">3.4.2 Functional Requirements — Agent Distribution Management</w:t>
      </w:r>
    </w:p>
    <w:p>
      <w:r>
        <w:pict>
          <v:rect style="width:0;height:1.5pt" o:hralign="center" o:hrstd="t" o:hr="t"/>
        </w:pict>
      </w:r>
    </w:p>
    <w:p>
      <w:pPr>
        <w:pStyle w:val="FirstParagraph"/>
      </w:pPr>
      <w:r>
        <w:rPr>
          <w:b/>
          <w:bCs/>
        </w:rPr>
        <w:t xml:space="preserve">FR-AGT-001</w:t>
      </w:r>
      <w:r>
        <w:t xml:space="preserve"> </w:t>
      </w:r>
      <w:r>
        <w:t xml:space="preserve">— Agent Registration</w:t>
      </w:r>
    </w:p>
    <w:p>
      <w:pPr>
        <w:pStyle w:val="BodyText"/>
      </w:pPr>
      <w:r>
        <w:t xml:space="preserve">When a Sales Manager creates a new agent record, the system shall capture: first name, last name, National Identification Number (NIN), date of birth, gender, photo (uploaded file), contact phone number (MTN/Airtel), mobile money number and provider, physical address, district, territory assignment, sales point name, agent type (employed, contracted, or independent), commission rate (%), stock float limit (UGX), and agent status (active by default). All required fields shall be validated before the record is saved. NIN shall be unique across all agent records.</w:t>
      </w:r>
    </w:p>
    <w:p>
      <w:pPr>
        <w:pStyle w:val="BodyText"/>
      </w:pPr>
      <w:r>
        <w:rPr>
          <w:i/>
          <w:iCs/>
        </w:rPr>
        <w:t xml:space="preserve">Traceability: BG-003, DC-002, DC-003.</w:t>
      </w:r>
    </w:p>
    <w:p>
      <w:r>
        <w:pict>
          <v:rect style="width:0;height:1.5pt" o:hralign="center" o:hrstd="t" o:hr="t"/>
        </w:pict>
      </w:r>
    </w:p>
    <w:p>
      <w:pPr>
        <w:pStyle w:val="FirstParagraph"/>
      </w:pPr>
      <w:r>
        <w:rPr>
          <w:b/>
          <w:bCs/>
        </w:rPr>
        <w:t xml:space="preserve">FR-AGT-002</w:t>
      </w:r>
      <w:r>
        <w:t xml:space="preserve"> </w:t>
      </w:r>
      <w:r>
        <w:t xml:space="preserve">— Agent Virtual Store Creation on Registration</w:t>
      </w:r>
    </w:p>
    <w:p>
      <w:pPr>
        <w:pStyle w:val="BodyText"/>
      </w:pPr>
      <w:r>
        <w:t xml:space="preserve">When a new agent record is created and saved (FR-AGT-001), the system shall automatically create a corresponding virtual store entry for the agent in</w:t>
      </w:r>
      <w:r>
        <w:t xml:space="preserve"> </w:t>
      </w:r>
      <w:r>
        <w:rPr>
          <w:rStyle w:val="VerbatimChar"/>
        </w:rPr>
        <w:t xml:space="preserve">tbl_agent_stock_balance</w:t>
      </w:r>
      <w:r>
        <w:t xml:space="preserve"> </w:t>
      </w:r>
      <w:r>
        <w:t xml:space="preserve">with all balances initialised to zero. No manual step shall be required to activate the agent's virtual store. The virtual store shall be permanently separate from all physical warehouse locations (BR-001).</w:t>
      </w:r>
    </w:p>
    <w:p>
      <w:pPr>
        <w:pStyle w:val="BodyText"/>
      </w:pPr>
      <w:r>
        <w:rPr>
          <w:i/>
          <w:iCs/>
        </w:rPr>
        <w:t xml:space="preserve">Traceability: BR-001, BR-006.</w:t>
      </w:r>
    </w:p>
    <w:p>
      <w:r>
        <w:pict>
          <v:rect style="width:0;height:1.5pt" o:hralign="center" o:hrstd="t" o:hr="t"/>
        </w:pict>
      </w:r>
    </w:p>
    <w:p>
      <w:pPr>
        <w:pStyle w:val="FirstParagraph"/>
      </w:pPr>
      <w:r>
        <w:rPr>
          <w:b/>
          <w:bCs/>
        </w:rPr>
        <w:t xml:space="preserve">FR-AGT-003</w:t>
      </w:r>
      <w:r>
        <w:t xml:space="preserve"> </w:t>
      </w:r>
      <w:r>
        <w:t xml:space="preserve">— Agent Profile Edit and Audit</w:t>
      </w:r>
    </w:p>
    <w:p>
      <w:pPr>
        <w:pStyle w:val="BodyText"/>
      </w:pPr>
      <w:r>
        <w:t xml:space="preserve">When a Sales Manager edits an agent's profile (any field), the system shall log the change in the audit trail recording: the field changed, old value, new value, editing user identity, and timestamp. Changes to the commission rate or stock float limit shall require Finance Manager approval (BR-003 — Sales Manager creates, Finance Manager approves).</w:t>
      </w:r>
    </w:p>
    <w:p>
      <w:pPr>
        <w:pStyle w:val="BodyText"/>
      </w:pPr>
      <w:r>
        <w:rPr>
          <w:i/>
          <w:iCs/>
        </w:rPr>
        <w:t xml:space="preserve">Traceability: BR-003, DC-003.</w:t>
      </w:r>
    </w:p>
    <w:p>
      <w:r>
        <w:pict>
          <v:rect style="width:0;height:1.5pt" o:hralign="center" o:hrstd="t" o:hr="t"/>
        </w:pict>
      </w:r>
    </w:p>
    <w:p>
      <w:pPr>
        <w:pStyle w:val="FirstParagraph"/>
      </w:pPr>
      <w:r>
        <w:rPr>
          <w:b/>
          <w:bCs/>
        </w:rPr>
        <w:t xml:space="preserve">FR-AGT-004</w:t>
      </w:r>
      <w:r>
        <w:t xml:space="preserve"> </w:t>
      </w:r>
      <w:r>
        <w:t xml:space="preserve">— Agent Territory Assignment</w:t>
      </w:r>
    </w:p>
    <w:p>
      <w:pPr>
        <w:pStyle w:val="BodyText"/>
      </w:pPr>
      <w:r>
        <w:t xml:space="preserve">When a territory is assigned to an agent, the system shall associate all invoices created by that agent or via the agent's customer portfolio with the assigned territory. An agent may be reassigned to a different territory; historical transactions shall retain the territory that was current at the time of the transaction. Territory definitions (name, geographic boundaries) shall be configurable by the Sales Manager (DC-002).</w:t>
      </w:r>
    </w:p>
    <w:p>
      <w:pPr>
        <w:pStyle w:val="BodyText"/>
      </w:pPr>
      <w:r>
        <w:rPr>
          <w:i/>
          <w:iCs/>
        </w:rPr>
        <w:t xml:space="preserve">Traceability: BG-003, DC-002.</w:t>
      </w:r>
    </w:p>
    <w:p>
      <w:r>
        <w:pict>
          <v:rect style="width:0;height:1.5pt" o:hralign="center" o:hrstd="t" o:hr="t"/>
        </w:pict>
      </w:r>
    </w:p>
    <w:p>
      <w:pPr>
        <w:pStyle w:val="FirstParagraph"/>
      </w:pPr>
      <w:r>
        <w:rPr>
          <w:b/>
          <w:bCs/>
        </w:rPr>
        <w:t xml:space="preserve">FR-AGT-005</w:t>
      </w:r>
      <w:r>
        <w:t xml:space="preserve"> </w:t>
      </w:r>
      <w:r>
        <w:t xml:space="preserve">— Agent Cash Balance Calculation (Real-Time Liability)</w:t>
      </w:r>
    </w:p>
    <w:p>
      <w:pPr>
        <w:pStyle w:val="BodyText"/>
      </w:pPr>
      <w:r>
        <w:t xml:space="preserve">The system shall calculate each agent's cash balance as:</w:t>
      </w:r>
      <w:r>
        <w:t xml:space="preserve"> </w:t>
      </w:r>
      <m:oMath>
        <m:r>
          <m:rPr>
            <m:nor/>
            <m:sty m:val="p"/>
          </m:rPr>
          <m:t>Agent Cash Balance</m:t>
        </m:r>
        <m:r>
          <m:rPr>
            <m:sty m:val="p"/>
          </m:rPr>
          <m:t>=</m:t>
        </m:r>
        <m:r>
          <m:rPr>
            <m:sty m:val="p"/>
          </m:rPr>
          <m:t>∑</m:t>
        </m:r>
        <m:r>
          <m:rPr>
            <m:nor/>
            <m:sty m:val="p"/>
          </m:rPr>
          <m:t>Verified Sales Value</m:t>
        </m:r>
        <m:r>
          <m:rPr>
            <m:sty m:val="p"/>
          </m:rPr>
          <m:t>−</m:t>
        </m:r>
        <m:r>
          <m:rPr>
            <m:sty m:val="p"/>
          </m:rPr>
          <m:t>∑</m:t>
        </m:r>
        <m:r>
          <m:rPr>
            <m:nor/>
            <m:sty m:val="p"/>
          </m:rPr>
          <m:t>Verified Remittances</m:t>
        </m:r>
      </m:oMath>
      <w:r>
        <w:t xml:space="preserve">. This calculation shall be derived in real time from</w:t>
      </w:r>
      <w:r>
        <w:t xml:space="preserve"> </w:t>
      </w:r>
      <w:r>
        <w:rPr>
          <w:rStyle w:val="VerbatimChar"/>
        </w:rPr>
        <w:t xml:space="preserve">tbl_invoices</w:t>
      </w:r>
      <w:r>
        <w:t xml:space="preserve"> </w:t>
      </w:r>
      <w:r>
        <w:t xml:space="preserve">and</w:t>
      </w:r>
      <w:r>
        <w:t xml:space="preserve"> </w:t>
      </w:r>
      <w:r>
        <w:rPr>
          <w:rStyle w:val="VerbatimChar"/>
        </w:rPr>
        <w:t xml:space="preserve">tbl_remittances</w:t>
      </w:r>
      <w:r>
        <w:t xml:space="preserve"> </w:t>
      </w:r>
      <w:r>
        <w:t xml:space="preserve">tables, never from a stored static field. The balance shall be visible to the agent in the Sales Agent App and to the Sales Manager and Finance Director in the ERP.</w:t>
      </w:r>
    </w:p>
    <w:p>
      <w:pPr>
        <w:pStyle w:val="BodyText"/>
      </w:pPr>
      <w:r>
        <w:rPr>
          <w:i/>
          <w:iCs/>
        </w:rPr>
        <w:t xml:space="preserve">Traceability: BG-003, DC-003.</w:t>
      </w:r>
    </w:p>
    <w:p>
      <w:r>
        <w:pict>
          <v:rect style="width:0;height:1.5pt" o:hralign="center" o:hrstd="t" o:hr="t"/>
        </w:pict>
      </w:r>
    </w:p>
    <w:p>
      <w:pPr>
        <w:pStyle w:val="FirstParagraph"/>
      </w:pPr>
      <w:r>
        <w:rPr>
          <w:b/>
          <w:bCs/>
        </w:rPr>
        <w:t xml:space="preserve">FR-AGT-006</w:t>
      </w:r>
      <w:r>
        <w:t xml:space="preserve"> </w:t>
      </w:r>
      <w:r>
        <w:t xml:space="preserve">— Agent Cash Balance Display</w:t>
      </w:r>
    </w:p>
    <w:p>
      <w:pPr>
        <w:pStyle w:val="BodyText"/>
      </w:pPr>
      <w:r>
        <w:t xml:space="preserve">When an agent views their account summary in the Sales Agent App, the system shall display: current outstanding cash balance (owed to BIRDC), total sales for the current period, total remittances submitted for the current period, total verified remittances for the current period, commission accrued for the current period, and a transaction-level list of invoices and remittances in reverse chronological order.</w:t>
      </w:r>
    </w:p>
    <w:p>
      <w:pPr>
        <w:pStyle w:val="BodyText"/>
      </w:pPr>
      <w:r>
        <w:rPr>
          <w:i/>
          <w:iCs/>
        </w:rPr>
        <w:t xml:space="preserve">Traceability: BG-003, DC-001 (Samuel persona — accurate balance visibility).</w:t>
      </w:r>
    </w:p>
    <w:p>
      <w:r>
        <w:pict>
          <v:rect style="width:0;height:1.5pt" o:hralign="center" o:hrstd="t" o:hr="t"/>
        </w:pict>
      </w:r>
    </w:p>
    <w:p>
      <w:pPr>
        <w:pStyle w:val="FirstParagraph"/>
      </w:pPr>
      <w:r>
        <w:rPr>
          <w:b/>
          <w:bCs/>
        </w:rPr>
        <w:t xml:space="preserve">FR-AGT-007</w:t>
      </w:r>
      <w:r>
        <w:t xml:space="preserve"> </w:t>
      </w:r>
      <w:r>
        <w:t xml:space="preserve">— Agent Stock Float Limit Enforcement on Issuance</w:t>
      </w:r>
    </w:p>
    <w:p>
      <w:pPr>
        <w:pStyle w:val="BodyText"/>
      </w:pPr>
      <w:r>
        <w:t xml:space="preserve">When the warehouse initiates a stock issuance to an agent (FR-INV-013), the system shall query the agent's current stock balance value in</w:t>
      </w:r>
      <w:r>
        <w:t xml:space="preserve"> </w:t>
      </w:r>
      <w:r>
        <w:rPr>
          <w:rStyle w:val="VerbatimChar"/>
        </w:rPr>
        <w:t xml:space="preserve">tbl_agent_stock_balance</w:t>
      </w:r>
      <w:r>
        <w:t xml:space="preserve"> </w:t>
      </w:r>
      <w:r>
        <w:t xml:space="preserve">(quantity multiplied by cost price per batch), add the value of the proposed issuance, and compare the sum to the agent's configured float limit. When the sum would exceed the float limit, the system shall block the issuance at the API layer and display the current balance, float limit, and proposed issuance value. The block cannot be overridden at the warehouse level — only a Sales Manager increasing the float limit unblocks issuance.</w:t>
      </w:r>
    </w:p>
    <w:p>
      <w:pPr>
        <w:pStyle w:val="BodyText"/>
      </w:pPr>
      <w:r>
        <w:rPr>
          <w:i/>
          <w:iCs/>
        </w:rPr>
        <w:t xml:space="preserve">Traceability: BR-006, BR-003.</w:t>
      </w:r>
    </w:p>
    <w:p>
      <w:r>
        <w:pict>
          <v:rect style="width:0;height:1.5pt" o:hralign="center" o:hrstd="t" o:hr="t"/>
        </w:pict>
      </w:r>
    </w:p>
    <w:p>
      <w:pPr>
        <w:pStyle w:val="FirstParagraph"/>
      </w:pPr>
      <w:r>
        <w:rPr>
          <w:b/>
          <w:bCs/>
        </w:rPr>
        <w:t xml:space="preserve">FR-AGT-008</w:t>
      </w:r>
      <w:r>
        <w:t xml:space="preserve"> </w:t>
      </w:r>
      <w:r>
        <w:t xml:space="preserve">— Remittance Submission by Agent</w:t>
      </w:r>
    </w:p>
    <w:p>
      <w:pPr>
        <w:pStyle w:val="BodyText"/>
      </w:pPr>
      <w:r>
        <w:t xml:space="preserve">When an agent submits a remittance via the Sales Agent App, the system shall record: agent identity, submission date and time, submitted amount (UGX), payment method (MTN MoMo, Airtel Money, bank deposit, or cash), payment reference number, and optional note. The remittance shall be recorded with status</w:t>
      </w:r>
      <w:r>
        <w:t xml:space="preserve"> </w:t>
      </w:r>
      <w:r>
        <w:rPr>
          <w:rStyle w:val="VerbatimChar"/>
        </w:rPr>
        <w:t xml:space="preserve">submitted</w:t>
      </w:r>
      <w:r>
        <w:t xml:space="preserve"> </w:t>
      </w:r>
      <w:r>
        <w:t xml:space="preserve">(unverified). GL posting shall not occur until verification (FR-AGT-010).</w:t>
      </w:r>
    </w:p>
    <w:p>
      <w:pPr>
        <w:pStyle w:val="BodyText"/>
      </w:pPr>
      <w:r>
        <w:rPr>
          <w:i/>
          <w:iCs/>
        </w:rPr>
        <w:t xml:space="preserve">Traceability: BR-002, BR-003, DC-005 (offline submission queued).</w:t>
      </w:r>
    </w:p>
    <w:p>
      <w:r>
        <w:pict>
          <v:rect style="width:0;height:1.5pt" o:hralign="center" o:hrstd="t" o:hr="t"/>
        </w:pict>
      </w:r>
    </w:p>
    <w:p>
      <w:pPr>
        <w:pStyle w:val="FirstParagraph"/>
      </w:pPr>
      <w:r>
        <w:rPr>
          <w:b/>
          <w:bCs/>
        </w:rPr>
        <w:t xml:space="preserve">FR-AGT-009</w:t>
      </w:r>
      <w:r>
        <w:t xml:space="preserve"> </w:t>
      </w:r>
      <w:r>
        <w:t xml:space="preserve">— Remittance Verification — Segregation of Duties</w:t>
      </w:r>
    </w:p>
    <w:p>
      <w:pPr>
        <w:pStyle w:val="BodyText"/>
      </w:pPr>
      <w:r>
        <w:t xml:space="preserve">When a Finance Officer or Accounts Assistant reviews a submitted remittance, the system shall display the submission details and require verification (matching against bank or MoMo records). The system shall prevent the agent themselves and the agent's direct supervisor who submitted the record from verifying the same remittance (BR-003). The Finance Officer shall record the verified amount (which may differ from the submitted amount if there is a shortfall) and confirm verification.</w:t>
      </w:r>
    </w:p>
    <w:p>
      <w:pPr>
        <w:pStyle w:val="BodyText"/>
      </w:pPr>
      <w:r>
        <w:rPr>
          <w:i/>
          <w:iCs/>
        </w:rPr>
        <w:t xml:space="preserve">Traceability: BR-003, DC-003.</w:t>
      </w:r>
    </w:p>
    <w:p>
      <w:r>
        <w:pict>
          <v:rect style="width:0;height:1.5pt" o:hralign="center" o:hrstd="t" o:hr="t"/>
        </w:pict>
      </w:r>
    </w:p>
    <w:p>
      <w:pPr>
        <w:pStyle w:val="FirstParagraph"/>
      </w:pPr>
      <w:r>
        <w:rPr>
          <w:b/>
          <w:bCs/>
        </w:rPr>
        <w:t xml:space="preserve">FR-AGT-010</w:t>
      </w:r>
      <w:r>
        <w:t xml:space="preserve"> </w:t>
      </w:r>
      <w:r>
        <w:t xml:space="preserve">— GL Auto-Posting on Remittance Verification</w:t>
      </w:r>
    </w:p>
    <w:p>
      <w:pPr>
        <w:pStyle w:val="BodyText"/>
      </w:pPr>
      <w:r>
        <w:t xml:space="preserve">When a remittance is verified by the Finance Officer (FR-AGT-009), the system shall automatically post a GL journal entry: DR Cash / Bank (by payment method account) / CR Agent Receivable (agent's AR control account). The posting shall use the verified amount, the verification date, and the remittance reference number. The journal entry shall be linked to the remittance record by foreign key.</w:t>
      </w:r>
    </w:p>
    <w:p>
      <w:pPr>
        <w:pStyle w:val="BodyText"/>
      </w:pPr>
      <w:r>
        <w:rPr>
          <w:i/>
          <w:iCs/>
        </w:rPr>
        <w:t xml:space="preserve">Traceability: BG-001, DC-003, BR-013.</w:t>
      </w:r>
    </w:p>
    <w:p>
      <w:r>
        <w:pict>
          <v:rect style="width:0;height:1.5pt" o:hralign="center" o:hrstd="t" o:hr="t"/>
        </w:pict>
      </w:r>
    </w:p>
    <w:p>
      <w:pPr>
        <w:pStyle w:val="FirstParagraph"/>
      </w:pPr>
      <w:r>
        <w:rPr>
          <w:b/>
          <w:bCs/>
        </w:rPr>
        <w:t xml:space="preserve">FR-AGT-011</w:t>
      </w:r>
      <w:r>
        <w:t xml:space="preserve"> </w:t>
      </w:r>
      <w:r>
        <w:t xml:space="preserve">— FIFO Remittance Allocation via Stored Procedure</w:t>
      </w:r>
    </w:p>
    <w:p>
      <w:pPr>
        <w:pStyle w:val="BodyText"/>
      </w:pPr>
      <w:r>
        <w:t xml:space="preserve">When a remittance is verified (FR-AGT-010), the system shall call the database stored procedure</w:t>
      </w:r>
      <w:r>
        <w:t xml:space="preserve"> </w:t>
      </w:r>
      <w:r>
        <w:rPr>
          <w:rStyle w:val="VerbatimChar"/>
        </w:rPr>
        <w:t xml:space="preserve">sp_apply_remittance_to_invoices</w:t>
      </w:r>
      <w:r>
        <w:t xml:space="preserve"> </w:t>
      </w:r>
      <w:r>
        <w:t xml:space="preserve">to allocate the verified remittance amount to the agent's outstanding invoices in FIFO order (oldest invoice first). The stored procedure shall: identify the oldest unpaid or partially paid invoice for the agent; apply the remittance amount to clear or partially clear that invoice; continue to the next oldest invoice with any remaining balance; and repeat until the remittance amount is fully allocated or all outstanding invoices are cleared. No manual selection of which invoice to clear is permitted.</w:t>
      </w:r>
    </w:p>
    <w:p>
      <w:pPr>
        <w:pStyle w:val="BodyText"/>
      </w:pPr>
      <w:r>
        <w:rPr>
          <w:i/>
          <w:iCs/>
        </w:rPr>
        <w:t xml:space="preserve">Traceability: BR-002, DC-003.</w:t>
      </w:r>
    </w:p>
    <w:p>
      <w:r>
        <w:pict>
          <v:rect style="width:0;height:1.5pt" o:hralign="center" o:hrstd="t" o:hr="t"/>
        </w:pict>
      </w:r>
    </w:p>
    <w:p>
      <w:pPr>
        <w:pStyle w:val="FirstParagraph"/>
      </w:pPr>
      <w:r>
        <w:rPr>
          <w:b/>
          <w:bCs/>
        </w:rPr>
        <w:t xml:space="preserve">FR-AGT-012</w:t>
      </w:r>
      <w:r>
        <w:t xml:space="preserve"> </w:t>
      </w:r>
      <w:r>
        <w:t xml:space="preserve">— Partial Remittance Allocation</w:t>
      </w:r>
    </w:p>
    <w:p>
      <w:pPr>
        <w:pStyle w:val="BodyText"/>
      </w:pPr>
      <w:r>
        <w:t xml:space="preserve">When a verified remittance amount is less than the oldest outstanding invoice balance, the stored procedure</w:t>
      </w:r>
      <w:r>
        <w:t xml:space="preserve"> </w:t>
      </w:r>
      <w:r>
        <w:rPr>
          <w:rStyle w:val="VerbatimChar"/>
        </w:rPr>
        <w:t xml:space="preserve">sp_apply_remittance_to_invoices</w:t>
      </w:r>
      <w:r>
        <w:t xml:space="preserve"> </w:t>
      </w:r>
      <w:r>
        <w:t xml:space="preserve">shall apply the full remittance amount to the oldest invoice, reducing it to a partial balance, and record the partial allocation against that invoice. The invoice status shall transition from</w:t>
      </w:r>
      <w:r>
        <w:t xml:space="preserve"> </w:t>
      </w:r>
      <w:r>
        <w:rPr>
          <w:rStyle w:val="VerbatimChar"/>
        </w:rPr>
        <w:t xml:space="preserve">issued</w:t>
      </w:r>
      <w:r>
        <w:t xml:space="preserve"> </w:t>
      </w:r>
      <w:r>
        <w:t xml:space="preserve">to</w:t>
      </w:r>
      <w:r>
        <w:t xml:space="preserve"> </w:t>
      </w:r>
      <w:r>
        <w:rPr>
          <w:rStyle w:val="VerbatimChar"/>
        </w:rPr>
        <w:t xml:space="preserve">partially paid</w:t>
      </w:r>
      <w:r>
        <w:t xml:space="preserve">.</w:t>
      </w:r>
    </w:p>
    <w:p>
      <w:pPr>
        <w:pStyle w:val="BodyText"/>
      </w:pPr>
      <w:r>
        <w:rPr>
          <w:i/>
          <w:iCs/>
        </w:rPr>
        <w:t xml:space="preserve">Traceability: BR-002, DC-003.</w:t>
      </w:r>
    </w:p>
    <w:p>
      <w:r>
        <w:pict>
          <v:rect style="width:0;height:1.5pt" o:hralign="center" o:hrstd="t" o:hr="t"/>
        </w:pict>
      </w:r>
    </w:p>
    <w:p>
      <w:pPr>
        <w:pStyle w:val="FirstParagraph"/>
      </w:pPr>
      <w:r>
        <w:rPr>
          <w:b/>
          <w:bCs/>
        </w:rPr>
        <w:t xml:space="preserve">FR-AGT-013</w:t>
      </w:r>
      <w:r>
        <w:t xml:space="preserve"> </w:t>
      </w:r>
      <w:r>
        <w:t xml:space="preserve">— Commission Accrual on Verified Remittance</w:t>
      </w:r>
    </w:p>
    <w:p>
      <w:pPr>
        <w:pStyle w:val="BodyText"/>
      </w:pPr>
      <w:r>
        <w:t xml:space="preserve">When a remittance is verified and allocated by</w:t>
      </w:r>
      <w:r>
        <w:t xml:space="preserve"> </w:t>
      </w:r>
      <w:r>
        <w:rPr>
          <w:rStyle w:val="VerbatimChar"/>
        </w:rPr>
        <w:t xml:space="preserve">sp_apply_remittance_to_invoices</w:t>
      </w:r>
      <w:r>
        <w:t xml:space="preserve"> </w:t>
      </w:r>
      <w:r>
        <w:t xml:space="preserve">(FR-AGT-011), the system shall accrue commission for the agent on the value of invoices cleared by this remittance, calculated as:</w:t>
      </w:r>
      <w:r>
        <w:t xml:space="preserve"> </w:t>
      </w:r>
      <m:oMath>
        <m:r>
          <m:rPr>
            <m:nor/>
            <m:sty m:val="p"/>
          </m:rPr>
          <m:t>Commission Accrued</m:t>
        </m:r>
        <m:r>
          <m:rPr>
            <m:sty m:val="p"/>
          </m:rPr>
          <m:t>=</m:t>
        </m:r>
        <m:r>
          <m:rPr>
            <m:nor/>
            <m:sty m:val="p"/>
          </m:rPr>
          <m:t>Cleared Invoice Value</m:t>
        </m:r>
        <m:r>
          <m:rPr>
            <m:sty m:val="p"/>
          </m:rPr>
          <m:t>×</m:t>
        </m:r>
        <m:r>
          <m:rPr>
            <m:nor/>
            <m:sty m:val="p"/>
          </m:rPr>
          <m:t>Agent Commission Rate</m:t>
        </m:r>
      </m:oMath>
      <w:r>
        <w:t xml:space="preserve">. Commission accrues only on invoice values cleared by a verified remittance. Commission does not accrue on submitted-but-unverified remittances, nor at the time of invoice issuance (BR-015).</w:t>
      </w:r>
    </w:p>
    <w:p>
      <w:pPr>
        <w:pStyle w:val="BodyText"/>
      </w:pPr>
      <w:r>
        <w:rPr>
          <w:i/>
          <w:iCs/>
        </w:rPr>
        <w:t xml:space="preserve">Traceability: BR-015, DC-003.</w:t>
      </w:r>
    </w:p>
    <w:p>
      <w:r>
        <w:pict>
          <v:rect style="width:0;height:1.5pt" o:hralign="center" o:hrstd="t" o:hr="t"/>
        </w:pict>
      </w:r>
    </w:p>
    <w:p>
      <w:pPr>
        <w:pStyle w:val="FirstParagraph"/>
      </w:pPr>
      <w:r>
        <w:rPr>
          <w:b/>
          <w:bCs/>
        </w:rPr>
        <w:t xml:space="preserve">FR-AGT-014</w:t>
      </w:r>
      <w:r>
        <w:t xml:space="preserve"> </w:t>
      </w:r>
      <w:r>
        <w:t xml:space="preserve">— Commission Period Run and Finance Manager Approval</w:t>
      </w:r>
    </w:p>
    <w:p>
      <w:pPr>
        <w:pStyle w:val="BodyText"/>
      </w:pPr>
      <w:r>
        <w:t xml:space="preserve">When the Finance Manager initiates a commission period run, the system shall: aggregate all accrued commission for all agents for the selected period; display a commission run preview showing each agent's name, total sales cleared, commission rate, and commission amount; require Finance Manager approval before any GL posting occurs; and upon approval, post the GL entries (DR Commission Expense / CR Commission Payable per agent) and lock the commission run against further modification.</w:t>
      </w:r>
    </w:p>
    <w:p>
      <w:pPr>
        <w:pStyle w:val="BodyText"/>
      </w:pPr>
      <w:r>
        <w:rPr>
          <w:i/>
          <w:iCs/>
        </w:rPr>
        <w:t xml:space="preserve">Traceability: BR-003, BR-015, DC-003.</w:t>
      </w:r>
    </w:p>
    <w:p>
      <w:r>
        <w:pict>
          <v:rect style="width:0;height:1.5pt" o:hralign="center" o:hrstd="t" o:hr="t"/>
        </w:pict>
      </w:r>
    </w:p>
    <w:p>
      <w:pPr>
        <w:pStyle w:val="FirstParagraph"/>
      </w:pPr>
      <w:r>
        <w:rPr>
          <w:b/>
          <w:bCs/>
        </w:rPr>
        <w:t xml:space="preserve">FR-AGT-015</w:t>
      </w:r>
      <w:r>
        <w:t xml:space="preserve"> </w:t>
      </w:r>
      <w:r>
        <w:t xml:space="preserve">— Commission Statement for Agent</w:t>
      </w:r>
    </w:p>
    <w:p>
      <w:pPr>
        <w:pStyle w:val="BodyText"/>
      </w:pPr>
      <w:r>
        <w:t xml:space="preserve">When an agent requests a commission statement via the Sales Agent App, the system shall display: all commission-eligible periods, the invoices cleared per period (with dates and amounts), the commission rate applied, the commission amount per period, and the cumulative commission earned year-to-date. The statement shall be exportable as a PDF.</w:t>
      </w:r>
    </w:p>
    <w:p>
      <w:pPr>
        <w:pStyle w:val="BodyText"/>
      </w:pPr>
      <w:r>
        <w:rPr>
          <w:i/>
          <w:iCs/>
        </w:rPr>
        <w:t xml:space="preserve">Traceability: BR-015, STK-015.</w:t>
      </w:r>
    </w:p>
    <w:p>
      <w:r>
        <w:pict>
          <v:rect style="width:0;height:1.5pt" o:hralign="center" o:hrstd="t" o:hr="t"/>
        </w:pict>
      </w:r>
    </w:p>
    <w:p>
      <w:pPr>
        <w:pStyle w:val="FirstParagraph"/>
      </w:pPr>
      <w:r>
        <w:rPr>
          <w:b/>
          <w:bCs/>
        </w:rPr>
        <w:t xml:space="preserve">FR-AGT-016</w:t>
      </w:r>
      <w:r>
        <w:t xml:space="preserve"> </w:t>
      </w:r>
      <w:r>
        <w:t xml:space="preserve">— Agent Suspension Workflow</w:t>
      </w:r>
    </w:p>
    <w:p>
      <w:pPr>
        <w:pStyle w:val="BodyText"/>
      </w:pPr>
      <w:r>
        <w:t xml:space="preserve">When an agent's outstanding cash balance exceeds a configurable automatic suspension threshold (default: UGX 2,000,000 or as configured by Sales Manager), the system shall: change the agent's status to</w:t>
      </w:r>
      <w:r>
        <w:t xml:space="preserve"> </w:t>
      </w:r>
      <w:r>
        <w:rPr>
          <w:rStyle w:val="VerbatimChar"/>
        </w:rPr>
        <w:t xml:space="preserve">suspended</w:t>
      </w:r>
      <w:r>
        <w:t xml:space="preserve">; send an automatic in-app and SMS notification to the agent stating their outstanding balance and the suspension reason; notify the Sales Manager by in-app alert; and block all further stock issuances to the suspended agent (FR-AGT-007 reinforcement).</w:t>
      </w:r>
    </w:p>
    <w:p>
      <w:pPr>
        <w:pStyle w:val="BodyText"/>
      </w:pPr>
      <w:r>
        <w:rPr>
          <w:i/>
          <w:iCs/>
        </w:rPr>
        <w:t xml:space="preserve">Traceability: BG-003, DC-002.</w:t>
      </w:r>
    </w:p>
    <w:p>
      <w:r>
        <w:pict>
          <v:rect style="width:0;height:1.5pt" o:hralign="center" o:hrstd="t" o:hr="t"/>
        </w:pict>
      </w:r>
    </w:p>
    <w:p>
      <w:pPr>
        <w:pStyle w:val="FirstParagraph"/>
      </w:pPr>
      <w:r>
        <w:rPr>
          <w:b/>
          <w:bCs/>
        </w:rPr>
        <w:t xml:space="preserve">FR-AGT-017</w:t>
      </w:r>
      <w:r>
        <w:t xml:space="preserve"> </w:t>
      </w:r>
      <w:r>
        <w:t xml:space="preserve">— Agent Suspension Manual Override</w:t>
      </w:r>
    </w:p>
    <w:p>
      <w:pPr>
        <w:pStyle w:val="BodyText"/>
      </w:pPr>
      <w:r>
        <w:t xml:space="preserve">When a Sales Manager manually suspends or reinstates an agent, the system shall require a reason code, record the action in the audit trail with the Sales Manager's identity and timestamp, and notify the agent by in-app and SMS message. A suspended agent's Sales Agent App shall display a suspension notice on login and block POS sale operations until the agent's status is restored to</w:t>
      </w:r>
      <w:r>
        <w:t xml:space="preserve"> </w:t>
      </w:r>
      <w:r>
        <w:rPr>
          <w:rStyle w:val="VerbatimChar"/>
        </w:rPr>
        <w:t xml:space="preserve">active</w:t>
      </w:r>
      <w:r>
        <w:t xml:space="preserve">.</w:t>
      </w:r>
    </w:p>
    <w:p>
      <w:pPr>
        <w:pStyle w:val="BodyText"/>
      </w:pPr>
      <w:r>
        <w:rPr>
          <w:i/>
          <w:iCs/>
        </w:rPr>
        <w:t xml:space="preserve">Traceability: BR-003, DC-003.</w:t>
      </w:r>
    </w:p>
    <w:p>
      <w:r>
        <w:pict>
          <v:rect style="width:0;height:1.5pt" o:hralign="center" o:hrstd="t" o:hr="t"/>
        </w:pict>
      </w:r>
    </w:p>
    <w:p>
      <w:pPr>
        <w:pStyle w:val="FirstParagraph"/>
      </w:pPr>
      <w:r>
        <w:rPr>
          <w:b/>
          <w:bCs/>
        </w:rPr>
        <w:t xml:space="preserve">FR-AGT-018</w:t>
      </w:r>
      <w:r>
        <w:t xml:space="preserve"> </w:t>
      </w:r>
      <w:r>
        <w:t xml:space="preserve">— Agent Termination and Final Settlement</w:t>
      </w:r>
    </w:p>
    <w:p>
      <w:pPr>
        <w:pStyle w:val="BodyText"/>
      </w:pPr>
      <w:r>
        <w:t xml:space="preserve">When a Sales Manager initiates agent termination, the system shall trigger a final settlement workflow: calculate the agent's final outstanding cash balance, calculate any unsettled commission balance, generate a final account statement, require the Finance Manager to approve the final settlement amounts, and block the agent's access to the Sales Agent App. After settlement, the agent record status shall be set to</w:t>
      </w:r>
      <w:r>
        <w:t xml:space="preserve"> </w:t>
      </w:r>
      <w:r>
        <w:rPr>
          <w:rStyle w:val="VerbatimChar"/>
        </w:rPr>
        <w:t xml:space="preserve">terminated</w:t>
      </w:r>
      <w:r>
        <w:t xml:space="preserve"> </w:t>
      </w:r>
      <w:r>
        <w:t xml:space="preserve">— the record is retained permanently and not deleted.</w:t>
      </w:r>
    </w:p>
    <w:p>
      <w:pPr>
        <w:pStyle w:val="BodyText"/>
      </w:pPr>
      <w:r>
        <w:rPr>
          <w:i/>
          <w:iCs/>
        </w:rPr>
        <w:t xml:space="preserve">Traceability: BR-003, DC-003.</w:t>
      </w:r>
    </w:p>
    <w:p>
      <w:r>
        <w:pict>
          <v:rect style="width:0;height:1.5pt" o:hralign="center" o:hrstd="t" o:hr="t"/>
        </w:pict>
      </w:r>
    </w:p>
    <w:p>
      <w:pPr>
        <w:pStyle w:val="FirstParagraph"/>
      </w:pPr>
      <w:r>
        <w:rPr>
          <w:b/>
          <w:bCs/>
        </w:rPr>
        <w:t xml:space="preserve">FR-AGT-019</w:t>
      </w:r>
      <w:r>
        <w:t xml:space="preserve"> </w:t>
      </w:r>
      <w:r>
        <w:t xml:space="preserve">— Agent Outstanding Balance Dashboard</w:t>
      </w:r>
    </w:p>
    <w:p>
      <w:pPr>
        <w:pStyle w:val="BodyText"/>
      </w:pPr>
      <w:r>
        <w:t xml:space="preserve">When a Sales Manager or Finance Director views the agent performance dashboard, the system shall display a real-time table of all active agents showing: agent name, territory, current outstanding cash balance, balance as a percentage of their float limit, number of days the oldest unpaid invoice has been outstanding, and agent status. The table shall support sorting by any column and filtering by territory.</w:t>
      </w:r>
    </w:p>
    <w:p>
      <w:pPr>
        <w:pStyle w:val="BodyText"/>
      </w:pPr>
      <w:r>
        <w:rPr>
          <w:i/>
          <w:iCs/>
        </w:rPr>
        <w:t xml:space="preserve">Traceability: BG-003, STK-006, STK-002.</w:t>
      </w:r>
    </w:p>
    <w:p>
      <w:r>
        <w:pict>
          <v:rect style="width:0;height:1.5pt" o:hralign="center" o:hrstd="t" o:hr="t"/>
        </w:pict>
      </w:r>
    </w:p>
    <w:p>
      <w:pPr>
        <w:pStyle w:val="FirstParagraph"/>
      </w:pPr>
      <w:r>
        <w:rPr>
          <w:b/>
          <w:bCs/>
        </w:rPr>
        <w:t xml:space="preserve">FR-AGT-020</w:t>
      </w:r>
      <w:r>
        <w:t xml:space="preserve"> </w:t>
      </w:r>
      <w:r>
        <w:t xml:space="preserve">— Territory Ranking Report</w:t>
      </w:r>
    </w:p>
    <w:p>
      <w:pPr>
        <w:pStyle w:val="BodyText"/>
      </w:pPr>
      <w:r>
        <w:t xml:space="preserve">When a Sales Manager requests a territory ranking report for a specified period, the system shall rank all territories by: total verified sales (primary sort), total remittances received, total outstanding balance, and number of active agents. The report shall be downloadable as PDF and Excel.</w:t>
      </w:r>
    </w:p>
    <w:p>
      <w:pPr>
        <w:pStyle w:val="BodyText"/>
      </w:pPr>
      <w:r>
        <w:rPr>
          <w:i/>
          <w:iCs/>
        </w:rPr>
        <w:t xml:space="preserve">Traceability: BG-003, STK-006.</w:t>
      </w:r>
    </w:p>
    <w:p>
      <w:r>
        <w:pict>
          <v:rect style="width:0;height:1.5pt" o:hralign="center" o:hrstd="t" o:hr="t"/>
        </w:pict>
      </w:r>
    </w:p>
    <w:p>
      <w:pPr>
        <w:pStyle w:val="FirstParagraph"/>
      </w:pPr>
      <w:r>
        <w:rPr>
          <w:b/>
          <w:bCs/>
        </w:rPr>
        <w:t xml:space="preserve">FR-AGT-021</w:t>
      </w:r>
      <w:r>
        <w:t xml:space="preserve"> </w:t>
      </w:r>
      <w:r>
        <w:t xml:space="preserve">— Agent Ranking Report</w:t>
      </w:r>
    </w:p>
    <w:p>
      <w:pPr>
        <w:pStyle w:val="BodyText"/>
      </w:pPr>
      <w:r>
        <w:t xml:space="preserve">When a Sales Manager requests an agent ranking report for a specified period, the system shall rank all agents within a territory (or across all territories) by: total verified sales, total remittances, outstanding balance, number of invoices cleared, and commission earned. The report shall be filterable by territory and agent type.</w:t>
      </w:r>
    </w:p>
    <w:p>
      <w:pPr>
        <w:pStyle w:val="BodyText"/>
      </w:pPr>
      <w:r>
        <w:rPr>
          <w:i/>
          <w:iCs/>
        </w:rPr>
        <w:t xml:space="preserve">Traceability: BG-003, STK-006.</w:t>
      </w:r>
    </w:p>
    <w:p>
      <w:r>
        <w:pict>
          <v:rect style="width:0;height:1.5pt" o:hralign="center" o:hrstd="t" o:hr="t"/>
        </w:pict>
      </w:r>
    </w:p>
    <w:p>
      <w:pPr>
        <w:pStyle w:val="FirstParagraph"/>
      </w:pPr>
      <w:r>
        <w:rPr>
          <w:b/>
          <w:bCs/>
        </w:rPr>
        <w:t xml:space="preserve">FR-AGT-022</w:t>
      </w:r>
      <w:r>
        <w:t xml:space="preserve"> </w:t>
      </w:r>
      <w:r>
        <w:t xml:space="preserve">— Agent Stock Balance Report</w:t>
      </w:r>
    </w:p>
    <w:p>
      <w:pPr>
        <w:pStyle w:val="BodyText"/>
      </w:pPr>
      <w:r>
        <w:t xml:space="preserve">When a Store Manager or Sales Manager views an agent's stock account, the system shall display: all items currently held in the agent's virtual store (from</w:t>
      </w:r>
      <w:r>
        <w:t xml:space="preserve"> </w:t>
      </w:r>
      <w:r>
        <w:rPr>
          <w:rStyle w:val="VerbatimChar"/>
        </w:rPr>
        <w:t xml:space="preserve">tbl_agent_stock_balance</w:t>
      </w:r>
      <w:r>
        <w:t xml:space="preserve">), quantities per item per batch, expiry dates, cost value per batch, and total stock value. The total stock value shall be compared against the agent's float limit, and the remaining headroom shall be displayed.</w:t>
      </w:r>
    </w:p>
    <w:p>
      <w:pPr>
        <w:pStyle w:val="BodyText"/>
      </w:pPr>
      <w:r>
        <w:rPr>
          <w:i/>
          <w:iCs/>
        </w:rPr>
        <w:t xml:space="preserve">Traceability: BR-001, BR-006.</w:t>
      </w:r>
    </w:p>
    <w:p>
      <w:r>
        <w:pict>
          <v:rect style="width:0;height:1.5pt" o:hralign="center" o:hrstd="t" o:hr="t"/>
        </w:pict>
      </w:r>
    </w:p>
    <w:p>
      <w:pPr>
        <w:pStyle w:val="FirstParagraph"/>
      </w:pPr>
      <w:r>
        <w:rPr>
          <w:b/>
          <w:bCs/>
        </w:rPr>
        <w:t xml:space="preserve">FR-AGT-023</w:t>
      </w:r>
      <w:r>
        <w:t xml:space="preserve"> </w:t>
      </w:r>
      <w:r>
        <w:t xml:space="preserve">— Agent Sales History Report</w:t>
      </w:r>
    </w:p>
    <w:p>
      <w:pPr>
        <w:pStyle w:val="BodyText"/>
      </w:pPr>
      <w:r>
        <w:t xml:space="preserve">When a Sales Manager or Finance Director requests an agent's sales history for a date range, the system shall display all invoices created by or attributed to that agent, with: invoice number, customer name, date, total value, payments received against the invoice, outstanding balance, EFRIS FDN, and current status.</w:t>
      </w:r>
    </w:p>
    <w:p>
      <w:pPr>
        <w:pStyle w:val="BodyText"/>
      </w:pPr>
      <w:r>
        <w:rPr>
          <w:i/>
          <w:iCs/>
        </w:rPr>
        <w:t xml:space="preserve">Traceability: BG-003, DC-003.</w:t>
      </w:r>
    </w:p>
    <w:p>
      <w:r>
        <w:pict>
          <v:rect style="width:0;height:1.5pt" o:hralign="center" o:hrstd="t" o:hr="t"/>
        </w:pict>
      </w:r>
    </w:p>
    <w:p>
      <w:pPr>
        <w:pStyle w:val="FirstParagraph"/>
      </w:pPr>
      <w:r>
        <w:rPr>
          <w:b/>
          <w:bCs/>
        </w:rPr>
        <w:t xml:space="preserve">FR-AGT-024</w:t>
      </w:r>
      <w:r>
        <w:t xml:space="preserve"> </w:t>
      </w:r>
      <w:r>
        <w:t xml:space="preserve">— Agent Remittance History</w:t>
      </w:r>
    </w:p>
    <w:p>
      <w:pPr>
        <w:pStyle w:val="BodyText"/>
      </w:pPr>
      <w:r>
        <w:t xml:space="preserve">When a Finance Officer or Sales Manager views an agent's remittance history, the system shall display all remittances (submitted and verified) for the selected agent and date range: remittance reference, submission date, submitted amount, verified amount (if verified), verification date, verifier identity, and the invoices allocated by the remittance (links to FR-AGT-011 allocation records).</w:t>
      </w:r>
    </w:p>
    <w:p>
      <w:pPr>
        <w:pStyle w:val="BodyText"/>
      </w:pPr>
      <w:r>
        <w:rPr>
          <w:i/>
          <w:iCs/>
        </w:rPr>
        <w:t xml:space="preserve">Traceability: BR-002, DC-003.</w:t>
      </w:r>
    </w:p>
    <w:p>
      <w:r>
        <w:pict>
          <v:rect style="width:0;height:1.5pt" o:hralign="center" o:hrstd="t" o:hr="t"/>
        </w:pict>
      </w:r>
    </w:p>
    <w:p>
      <w:pPr>
        <w:pStyle w:val="FirstParagraph"/>
      </w:pPr>
      <w:r>
        <w:rPr>
          <w:b/>
          <w:bCs/>
        </w:rPr>
        <w:t xml:space="preserve">FR-AGT-025</w:t>
      </w:r>
      <w:r>
        <w:t xml:space="preserve"> </w:t>
      </w:r>
      <w:r>
        <w:t xml:space="preserve">— Automatic Balance Threshold Alert to Sales Manager</w:t>
      </w:r>
    </w:p>
    <w:p>
      <w:pPr>
        <w:pStyle w:val="BodyText"/>
      </w:pPr>
      <w:r>
        <w:t xml:space="preserve">When any agent's outstanding cash balance increases (triggered on each invoice confirmation or remittance adjustment) and the new balance crosses a configurable warning threshold (default: 80% of float limit), the system shall send an in-app notification to the Sales Manager listing the agent name, territory, current balance, and float limit.</w:t>
      </w:r>
    </w:p>
    <w:p>
      <w:pPr>
        <w:pStyle w:val="BodyText"/>
      </w:pPr>
      <w:r>
        <w:rPr>
          <w:i/>
          <w:iCs/>
        </w:rPr>
        <w:t xml:space="preserve">Traceability: BG-003, DC-002.</w:t>
      </w:r>
    </w:p>
    <w:p>
      <w:r>
        <w:pict>
          <v:rect style="width:0;height:1.5pt" o:hralign="center" o:hrstd="t" o:hr="t"/>
        </w:pict>
      </w:r>
    </w:p>
    <w:p>
      <w:pPr>
        <w:pStyle w:val="FirstParagraph"/>
      </w:pPr>
      <w:r>
        <w:rPr>
          <w:b/>
          <w:bCs/>
        </w:rPr>
        <w:t xml:space="preserve">FR-AGT-026</w:t>
      </w:r>
      <w:r>
        <w:t xml:space="preserve"> </w:t>
      </w:r>
      <w:r>
        <w:t xml:space="preserve">— Agent Portal Access Control</w:t>
      </w:r>
    </w:p>
    <w:p>
      <w:pPr>
        <w:pStyle w:val="BodyText"/>
      </w:pPr>
      <w:r>
        <w:t xml:space="preserve">When a field sales agent logs into the Sales Agent Portal (</w:t>
      </w:r>
      <w:r>
        <w:rPr>
          <w:rStyle w:val="VerbatimChar"/>
        </w:rPr>
        <w:t xml:space="preserve">/public/sales-agents/</w:t>
      </w:r>
      <w:r>
        <w:t xml:space="preserve">), the system shall present only the modules relevant to the agent role: POS, stock enquiry, remittance submission, commission statements, and account summary. The agent shall have no access to any other agent's records, to warehouse stock balances, to invoice management for non-agent sales, or to any ERP management function. Access control is enforced at the API layer per the 8-layer RBAC model.</w:t>
      </w:r>
    </w:p>
    <w:p>
      <w:pPr>
        <w:pStyle w:val="BodyText"/>
      </w:pPr>
      <w:r>
        <w:rPr>
          <w:i/>
          <w:iCs/>
        </w:rPr>
        <w:t xml:space="preserve">Traceability: BR-001, DC-003.</w:t>
      </w:r>
    </w:p>
    <w:p>
      <w:r>
        <w:pict>
          <v:rect style="width:0;height:1.5pt" o:hralign="center" o:hrstd="t" o:hr="t"/>
        </w:pict>
      </w:r>
    </w:p>
    <w:p>
      <w:pPr>
        <w:pStyle w:val="FirstParagraph"/>
      </w:pPr>
      <w:r>
        <w:rPr>
          <w:b/>
          <w:bCs/>
        </w:rPr>
        <w:t xml:space="preserve">FR-AGT-027</w:t>
      </w:r>
      <w:r>
        <w:t xml:space="preserve"> </w:t>
      </w:r>
      <w:r>
        <w:t xml:space="preserve">— Remittance Shortfall Recording</w:t>
      </w:r>
    </w:p>
    <w:p>
      <w:pPr>
        <w:pStyle w:val="BodyText"/>
      </w:pPr>
      <w:r>
        <w:t xml:space="preserve">When a remittance is verified and the verified amount is less than the submitted amount, the system shall: record the shortfall as a separate line on the remittance record; send a notification to the agent showing the verified amount, submitted amount, and shortfall; allocate only the verified amount via FIFO (FR-AGT-011); and flag the shortfall for Finance Manager review.</w:t>
      </w:r>
    </w:p>
    <w:p>
      <w:pPr>
        <w:pStyle w:val="BodyText"/>
      </w:pPr>
      <w:r>
        <w:rPr>
          <w:i/>
          <w:iCs/>
        </w:rPr>
        <w:t xml:space="preserve">Traceability: BR-002, DC-003.</w:t>
      </w:r>
    </w:p>
    <w:p>
      <w:r>
        <w:pict>
          <v:rect style="width:0;height:1.5pt" o:hralign="center" o:hrstd="t" o:hr="t"/>
        </w:pict>
      </w:r>
    </w:p>
    <w:p>
      <w:pPr>
        <w:pStyle w:val="FirstParagraph"/>
      </w:pPr>
      <w:r>
        <w:rPr>
          <w:b/>
          <w:bCs/>
        </w:rPr>
        <w:t xml:space="preserve">FR-AGT-028</w:t>
      </w:r>
      <w:r>
        <w:t xml:space="preserve"> </w:t>
      </w:r>
      <w:r>
        <w:t xml:space="preserve">— Mobile Money Remittance: MTN MoMo Integration</w:t>
      </w:r>
    </w:p>
    <w:p>
      <w:pPr>
        <w:pStyle w:val="BodyText"/>
      </w:pPr>
      <w:r>
        <w:t xml:space="preserve">When an agent selects MTN MoMo as their remittance payment method in the Sales Agent App, the system shall: display the BIRDC MTN MoMo business number and the exact amount due; allow the agent to initiate the payment from their MTN MoMo wallet; record the MoMo transaction reference entered by the agent; and route the remittance to the Finance Officer for verification against MoMo transaction records.</w:t>
      </w:r>
      <w:r>
        <w:t xml:space="preserve"> </w:t>
      </w:r>
      <w:r>
        <w:rPr>
          <w:rStyle w:val="VerbatimChar"/>
        </w:rPr>
        <w:t xml:space="preserve">[CONTEXT-GAP: GAP-002]</w:t>
      </w:r>
    </w:p>
    <w:p>
      <w:pPr>
        <w:pStyle w:val="BodyText"/>
      </w:pPr>
      <w:r>
        <w:rPr>
          <w:i/>
          <w:iCs/>
        </w:rPr>
        <w:t xml:space="preserve">Traceability: BG-003, DC-005.</w:t>
      </w:r>
    </w:p>
    <w:p>
      <w:r>
        <w:pict>
          <v:rect style="width:0;height:1.5pt" o:hralign="center" o:hrstd="t" o:hr="t"/>
        </w:pict>
      </w:r>
    </w:p>
    <w:p>
      <w:pPr>
        <w:pStyle w:val="FirstParagraph"/>
      </w:pPr>
      <w:r>
        <w:rPr>
          <w:b/>
          <w:bCs/>
        </w:rPr>
        <w:t xml:space="preserve">FR-AGT-029</w:t>
      </w:r>
      <w:r>
        <w:t xml:space="preserve"> </w:t>
      </w:r>
      <w:r>
        <w:t xml:space="preserve">— Agent Type Configuration</w:t>
      </w:r>
    </w:p>
    <w:p>
      <w:pPr>
        <w:pStyle w:val="BodyText"/>
      </w:pPr>
      <w:r>
        <w:t xml:space="preserve">When a Sales Manager configures agent types, the system shall allow creation of named agent types (minimum: employed, contracted, independent) with type-specific default commission rates and float limits. On agent registration (FR-AGT-001), selecting an agent type shall pre-populate the commission rate and float limit fields with the type defaults, which the Sales Manager may override per individual agent.</w:t>
      </w:r>
    </w:p>
    <w:p>
      <w:pPr>
        <w:pStyle w:val="BodyText"/>
      </w:pPr>
      <w:r>
        <w:rPr>
          <w:i/>
          <w:iCs/>
        </w:rPr>
        <w:t xml:space="preserve">Traceability: DC-002.</w:t>
      </w:r>
    </w:p>
    <w:p>
      <w:r>
        <w:pict>
          <v:rect style="width:0;height:1.5pt" o:hralign="center" o:hrstd="t" o:hr="t"/>
        </w:pict>
      </w:r>
    </w:p>
    <w:p>
      <w:pPr>
        <w:pStyle w:val="FirstParagraph"/>
      </w:pPr>
      <w:r>
        <w:rPr>
          <w:b/>
          <w:bCs/>
        </w:rPr>
        <w:t xml:space="preserve">FR-AGT-030</w:t>
      </w:r>
      <w:r>
        <w:t xml:space="preserve"> </w:t>
      </w:r>
      <w:r>
        <w:t xml:space="preserve">— Agent NIN Duplicate Check</w:t>
      </w:r>
    </w:p>
    <w:p>
      <w:pPr>
        <w:pStyle w:val="BodyText"/>
      </w:pPr>
      <w:r>
        <w:t xml:space="preserve">When a new agent is being registered (FR-AGT-001), the system shall validate the NIN field against all existing agent records and all employee records. When a duplicate NIN is detected, the system shall block the registration and display the existing record (name and status) that holds the duplicate NIN. This prevents double registration and duplicate commission/payroll payments.</w:t>
      </w:r>
    </w:p>
    <w:p>
      <w:pPr>
        <w:pStyle w:val="BodyText"/>
      </w:pPr>
      <w:r>
        <w:rPr>
          <w:i/>
          <w:iCs/>
        </w:rPr>
        <w:t xml:space="preserve">Traceability: DC-003, BG-003.</w:t>
      </w:r>
    </w:p>
    <w:p>
      <w:r>
        <w:pict>
          <v:rect style="width:0;height:1.5pt" o:hralign="center" o:hrstd="t" o:hr="t"/>
        </w:pict>
      </w:r>
    </w:p>
    <w:p>
      <w:pPr>
        <w:pStyle w:val="FirstParagraph"/>
      </w:pPr>
      <w:r>
        <w:rPr>
          <w:b/>
          <w:bCs/>
        </w:rPr>
        <w:t xml:space="preserve">FR-AGT-031</w:t>
      </w:r>
      <w:r>
        <w:t xml:space="preserve"> </w:t>
      </w:r>
      <w:r>
        <w:t xml:space="preserve">— Commission Rate Change Approval Workflow</w:t>
      </w:r>
    </w:p>
    <w:p>
      <w:pPr>
        <w:pStyle w:val="BodyText"/>
      </w:pPr>
      <w:r>
        <w:t xml:space="preserve">When a Sales Manager proposes a change to an agent's commission rate, the system shall record the proposed new rate with a</w:t>
      </w:r>
      <w:r>
        <w:t xml:space="preserve"> </w:t>
      </w:r>
      <w:r>
        <w:rPr>
          <w:rStyle w:val="VerbatimChar"/>
        </w:rPr>
        <w:t xml:space="preserve">pending approval</w:t>
      </w:r>
      <w:r>
        <w:t xml:space="preserve"> </w:t>
      </w:r>
      <w:r>
        <w:t xml:space="preserve">status, notify the Finance Manager for review, and apply the new rate only upon Finance Manager approval. The change effective date shall be the Finance Manager's approval date. Historical commission calculations shall use the rate that was current at the time of each verified remittance.</w:t>
      </w:r>
    </w:p>
    <w:p>
      <w:pPr>
        <w:pStyle w:val="BodyText"/>
      </w:pPr>
      <w:r>
        <w:rPr>
          <w:i/>
          <w:iCs/>
        </w:rPr>
        <w:t xml:space="preserve">Traceability: BR-003, DC-003.</w:t>
      </w:r>
    </w:p>
    <w:p>
      <w:r>
        <w:pict>
          <v:rect style="width:0;height:1.5pt" o:hralign="center" o:hrstd="t" o:hr="t"/>
        </w:pict>
      </w:r>
    </w:p>
    <w:p>
      <w:pPr>
        <w:pStyle w:val="FirstParagraph"/>
      </w:pPr>
      <w:r>
        <w:rPr>
          <w:b/>
          <w:bCs/>
        </w:rPr>
        <w:t xml:space="preserve">FR-AGT-032</w:t>
      </w:r>
      <w:r>
        <w:t xml:space="preserve"> </w:t>
      </w:r>
      <w:r>
        <w:t xml:space="preserve">— Agent Performance Target Configuration</w:t>
      </w:r>
    </w:p>
    <w:p>
      <w:pPr>
        <w:pStyle w:val="BodyText"/>
      </w:pPr>
      <w:r>
        <w:t xml:space="preserve">When a Sales Manager configures agent performance targets, the system shall allow entry of monthly and quarterly sales targets per agent (in UGX), separate from territory targets. Agent-level targets shall feed the performance dashboard (FR-AGT-019) with percentage achievement tracking.</w:t>
      </w:r>
    </w:p>
    <w:p>
      <w:pPr>
        <w:pStyle w:val="BodyText"/>
      </w:pPr>
      <w:r>
        <w:rPr>
          <w:i/>
          <w:iCs/>
        </w:rPr>
        <w:t xml:space="preserve">Traceability: BG-003, DC-002.</w:t>
      </w:r>
    </w:p>
    <w:p>
      <w:r>
        <w:pict>
          <v:rect style="width:0;height:1.5pt" o:hralign="center" o:hrstd="t" o:hr="t"/>
        </w:pict>
      </w:r>
    </w:p>
    <w:p>
      <w:pPr>
        <w:pStyle w:val="FirstParagraph"/>
      </w:pPr>
      <w:r>
        <w:rPr>
          <w:b/>
          <w:bCs/>
        </w:rPr>
        <w:t xml:space="preserve">FR-AGT-033</w:t>
      </w:r>
      <w:r>
        <w:t xml:space="preserve"> </w:t>
      </w:r>
      <w:r>
        <w:t xml:space="preserve">— Agent Bulk Import via Excel</w:t>
      </w:r>
    </w:p>
    <w:p>
      <w:pPr>
        <w:pStyle w:val="BodyText"/>
      </w:pPr>
      <w:r>
        <w:t xml:space="preserve">When a Sales Manager uploads an Excel file for bulk agent registration, the system shall validate each row (NIN uniqueness, required field completeness, territory code validity), display a preview of valid and invalid rows before committing, import all valid rows creating both agent records and virtual stores (FR-AGT-002), and generate an import result report. This supports the initial onboarding of the existing 1,071-agent network.</w:t>
      </w:r>
    </w:p>
    <w:p>
      <w:pPr>
        <w:pStyle w:val="BodyText"/>
      </w:pPr>
      <w:r>
        <w:rPr>
          <w:i/>
          <w:iCs/>
        </w:rPr>
        <w:t xml:space="preserve">Traceability: DC-002, STK-006.</w:t>
      </w:r>
    </w:p>
    <w:p>
      <w:r>
        <w:pict>
          <v:rect style="width:0;height:1.5pt" o:hralign="center" o:hrstd="t" o:hr="t"/>
        </w:pict>
      </w:r>
    </w:p>
    <w:p>
      <w:pPr>
        <w:pStyle w:val="FirstParagraph"/>
      </w:pPr>
      <w:r>
        <w:rPr>
          <w:b/>
          <w:bCs/>
        </w:rPr>
        <w:t xml:space="preserve">FR-AGT-034</w:t>
      </w:r>
      <w:r>
        <w:t xml:space="preserve"> </w:t>
      </w:r>
      <w:r>
        <w:t xml:space="preserve">— Agent Receivable GL Account Mapping</w:t>
      </w:r>
    </w:p>
    <w:p>
      <w:pPr>
        <w:pStyle w:val="BodyText"/>
      </w:pPr>
      <w:r>
        <w:t xml:space="preserve">When an agent record is created, the system shall create or map a unique Agent Receivable sub-account in the General Ledger chart of accounts (under the Agent Receivable control account). All GL postings for that agent's sales and remittances shall use this agent-specific sub-account. This enables per-agent AR balance visibility at GL level without requiring manual journal entries.</w:t>
      </w:r>
    </w:p>
    <w:p>
      <w:pPr>
        <w:pStyle w:val="BodyText"/>
      </w:pPr>
      <w:r>
        <w:rPr>
          <w:i/>
          <w:iCs/>
        </w:rPr>
        <w:t xml:space="preserve">Traceability: BG-001, BG-003, DC-003.</w:t>
      </w:r>
    </w:p>
    <w:bookmarkEnd w:id="50"/>
    <w:bookmarkEnd w:id="51"/>
    <w:bookmarkEnd w:id="52"/>
    <w:bookmarkStart w:id="59" w:name="Xa059f3edd26bb652ad8373400c47e55bfc01b65"/>
    <w:p>
      <w:pPr>
        <w:pStyle w:val="Heading1"/>
      </w:pPr>
      <w:r>
        <w:t xml:space="preserve">4. Non-Functional Requirements</w:t>
      </w:r>
    </w:p>
    <w:bookmarkStart w:id="53" w:name="Xdb7339c14cccd82df0e312a74c6e479eb5fb7df"/>
    <w:p>
      <w:pPr>
        <w:pStyle w:val="Heading2"/>
      </w:pPr>
      <w:r>
        <w:t xml:space="preserve">4.1 Performance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Metric</w:t>
            </w:r>
          </w:p>
        </w:tc>
      </w:tr>
      <w:tr>
        <w:tc>
          <w:tcPr/>
          <w:p>
            <w:pPr>
              <w:pStyle w:val="Compact"/>
            </w:pPr>
            <w:r>
              <w:rPr>
                <w:b/>
                <w:bCs/>
              </w:rPr>
              <w:t xml:space="preserve">NFR-PERF-001</w:t>
            </w:r>
          </w:p>
        </w:tc>
        <w:tc>
          <w:tcPr/>
          <w:p>
            <w:pPr>
              <w:pStyle w:val="Compact"/>
            </w:pPr>
            <w:r>
              <w:t xml:space="preserve">Product search response time at POS (online)</w:t>
            </w:r>
          </w:p>
        </w:tc>
        <w:tc>
          <w:tcPr/>
          <w:p>
            <w:pPr>
              <w:pStyle w:val="Compact"/>
            </w:pPr>
            <w:r>
              <w:t xml:space="preserve">Response time ≤ 500 ms at P95 under normal operating load (defined as up to 50 concurrent POS sessions)</w:t>
            </w:r>
          </w:p>
        </w:tc>
      </w:tr>
      <w:tr>
        <w:tc>
          <w:tcPr/>
          <w:p>
            <w:pPr>
              <w:pStyle w:val="Compact"/>
            </w:pPr>
            <w:r>
              <w:rPr>
                <w:b/>
                <w:bCs/>
              </w:rPr>
              <w:t xml:space="preserve">NFR-PERF-002</w:t>
            </w:r>
          </w:p>
        </w:tc>
        <w:tc>
          <w:tcPr/>
          <w:p>
            <w:pPr>
              <w:pStyle w:val="Compact"/>
            </w:pPr>
            <w:r>
              <w:t xml:space="preserve">Invoice confirmation (including EFRIS submission trigger and GL posting queue)</w:t>
            </w:r>
          </w:p>
        </w:tc>
        <w:tc>
          <w:tcPr/>
          <w:p>
            <w:pPr>
              <w:pStyle w:val="Compact"/>
            </w:pPr>
            <w:r>
              <w:t xml:space="preserve">End-to-end confirmation completes in ≤ 3 seconds at P95</w:t>
            </w:r>
          </w:p>
        </w:tc>
      </w:tr>
      <w:tr>
        <w:tc>
          <w:tcPr/>
          <w:p>
            <w:pPr>
              <w:pStyle w:val="Compact"/>
            </w:pPr>
            <w:r>
              <w:rPr>
                <w:b/>
                <w:bCs/>
              </w:rPr>
              <w:t xml:space="preserve">NFR-PERF-003</w:t>
            </w:r>
          </w:p>
        </w:tc>
        <w:tc>
          <w:tcPr/>
          <w:p>
            <w:pPr>
              <w:pStyle w:val="Compact"/>
            </w:pPr>
            <w:r>
              <w:t xml:space="preserve">Agent cash balance calculation display</w:t>
            </w:r>
          </w:p>
        </w:tc>
        <w:tc>
          <w:tcPr/>
          <w:p>
            <w:pPr>
              <w:pStyle w:val="Compact"/>
            </w:pPr>
            <w:r>
              <w:t xml:space="preserve">Balance rendered in ≤ 2 seconds for any agent with up to 5,000 transactions</w:t>
            </w:r>
          </w:p>
        </w:tc>
      </w:tr>
      <w:tr>
        <w:tc>
          <w:tcPr/>
          <w:p>
            <w:pPr>
              <w:pStyle w:val="Compact"/>
            </w:pPr>
            <w:r>
              <w:rPr>
                <w:b/>
                <w:bCs/>
              </w:rPr>
              <w:t xml:space="preserve">NFR-PERF-004</w:t>
            </w:r>
          </w:p>
        </w:tc>
        <w:tc>
          <w:tcPr/>
          <w:p>
            <w:pPr>
              <w:pStyle w:val="Compact"/>
            </w:pPr>
            <w:r>
              <w:t xml:space="preserve">Stock movement ledger query (12-month range)</w:t>
            </w:r>
          </w:p>
        </w:tc>
        <w:tc>
          <w:tcPr/>
          <w:p>
            <w:pPr>
              <w:pStyle w:val="Compact"/>
            </w:pPr>
            <w:r>
              <w:t xml:space="preserve">Results returned in ≤ 2 seconds for queries spanning 12 months</w:t>
            </w:r>
          </w:p>
        </w:tc>
      </w:tr>
      <w:tr>
        <w:tc>
          <w:tcPr/>
          <w:p>
            <w:pPr>
              <w:pStyle w:val="Compact"/>
            </w:pPr>
            <w:r>
              <w:rPr>
                <w:b/>
                <w:bCs/>
              </w:rPr>
              <w:t xml:space="preserve">NFR-PERF-005</w:t>
            </w:r>
          </w:p>
        </w:tc>
        <w:tc>
          <w:tcPr/>
          <w:p>
            <w:pPr>
              <w:pStyle w:val="Compact"/>
            </w:pPr>
            <w:r>
              <w:t xml:space="preserve">POS offline sync on reconnect</w:t>
            </w:r>
          </w:p>
        </w:tc>
        <w:tc>
          <w:tcPr/>
          <w:p>
            <w:pPr>
              <w:pStyle w:val="Compact"/>
            </w:pPr>
            <w:r>
              <w:t xml:space="preserve">All queued transactions synced to server within 60 seconds of connectivity restoration, for a queue of up to 200 transactions</w:t>
            </w:r>
          </w:p>
        </w:tc>
      </w:tr>
      <w:tr>
        <w:tc>
          <w:tcPr/>
          <w:p>
            <w:pPr>
              <w:pStyle w:val="Compact"/>
            </w:pPr>
            <w:r>
              <w:rPr>
                <w:b/>
                <w:bCs/>
              </w:rPr>
              <w:t xml:space="preserve">NFR-PERF-006</w:t>
            </w:r>
          </w:p>
        </w:tc>
        <w:tc>
          <w:tcPr/>
          <w:p>
            <w:pPr>
              <w:pStyle w:val="Compact"/>
            </w:pPr>
            <w:r>
              <w:t xml:space="preserve">Daily sales summary notification dispatch</w:t>
            </w:r>
          </w:p>
        </w:tc>
        <w:tc>
          <w:tcPr/>
          <w:p>
            <w:pPr>
              <w:pStyle w:val="Compact"/>
            </w:pPr>
            <w:r>
              <w:t xml:space="preserve">Delivered to Director and Sales Manager inbox by 18:05 EAT at latest</w:t>
            </w:r>
          </w:p>
        </w:tc>
      </w:tr>
      <w:tr>
        <w:tc>
          <w:tcPr/>
          <w:p>
            <w:pPr>
              <w:pStyle w:val="Compact"/>
            </w:pPr>
            <w:r>
              <w:rPr>
                <w:b/>
                <w:bCs/>
              </w:rPr>
              <w:t xml:space="preserve">NFR-PERF-007</w:t>
            </w:r>
          </w:p>
        </w:tc>
        <w:tc>
          <w:tcPr/>
          <w:p>
            <w:pPr>
              <w:pStyle w:val="Compact"/>
            </w:pPr>
            <w:r>
              <w:t xml:space="preserve">Expiry alert batch job</w:t>
            </w:r>
          </w:p>
        </w:tc>
        <w:tc>
          <w:tcPr/>
          <w:p>
            <w:pPr>
              <w:pStyle w:val="Compact"/>
            </w:pPr>
            <w:r>
              <w:t xml:space="preserve">Daily batch job completes within 10 minutes; no near-expiry batch is missed</w:t>
            </w:r>
          </w:p>
        </w:tc>
      </w:tr>
    </w:tbl>
    <w:bookmarkEnd w:id="53"/>
    <w:bookmarkStart w:id="54" w:name="Xe9f9a6a4a6c8a3a75c8f9502518bdcc28dbc3ef"/>
    <w:p>
      <w:pPr>
        <w:pStyle w:val="Heading2"/>
      </w:pPr>
      <w:r>
        <w:t xml:space="preserve">4.2 Security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rPr>
                <w:b/>
                <w:bCs/>
              </w:rPr>
              <w:t xml:space="preserve">NFR-SEC-001</w:t>
            </w:r>
          </w:p>
        </w:tc>
        <w:tc>
          <w:tcPr/>
          <w:p>
            <w:pPr>
              <w:pStyle w:val="Compact"/>
            </w:pPr>
            <w:r>
              <w:t xml:space="preserve">All web sessions use HttpOnly, SameSite cookies; sessions are regenerated on login</w:t>
            </w:r>
          </w:p>
        </w:tc>
      </w:tr>
      <w:tr>
        <w:tc>
          <w:tcPr/>
          <w:p>
            <w:pPr>
              <w:pStyle w:val="Compact"/>
            </w:pPr>
            <w:r>
              <w:rPr>
                <w:b/>
                <w:bCs/>
              </w:rPr>
              <w:t xml:space="preserve">NFR-SEC-002</w:t>
            </w:r>
          </w:p>
        </w:tc>
        <w:tc>
          <w:tcPr/>
          <w:p>
            <w:pPr>
              <w:pStyle w:val="Compact"/>
            </w:pPr>
            <w:r>
              <w:t xml:space="preserve">All mobile API calls use JWT Bearer tokens (HS256); access tokens expire in 15 minutes; refresh tokens in 30 days</w:t>
            </w:r>
          </w:p>
        </w:tc>
      </w:tr>
      <w:tr>
        <w:tc>
          <w:tcPr/>
          <w:p>
            <w:pPr>
              <w:pStyle w:val="Compact"/>
            </w:pPr>
            <w:r>
              <w:rPr>
                <w:b/>
                <w:bCs/>
              </w:rPr>
              <w:t xml:space="preserve">NFR-SEC-003</w:t>
            </w:r>
          </w:p>
        </w:tc>
        <w:tc>
          <w:tcPr/>
          <w:p>
            <w:pPr>
              <w:pStyle w:val="Compact"/>
            </w:pPr>
            <w:r>
              <w:t xml:space="preserve">Authorisation is enforced at the API endpoint layer for every request; UI-only enforcement is insufficient</w:t>
            </w:r>
          </w:p>
        </w:tc>
      </w:tr>
      <w:tr>
        <w:tc>
          <w:tcPr/>
          <w:p>
            <w:pPr>
              <w:pStyle w:val="Compact"/>
            </w:pPr>
            <w:r>
              <w:rPr>
                <w:b/>
                <w:bCs/>
              </w:rPr>
              <w:t xml:space="preserve">NFR-SEC-004</w:t>
            </w:r>
          </w:p>
        </w:tc>
        <w:tc>
          <w:tcPr/>
          <w:p>
            <w:pPr>
              <w:pStyle w:val="Compact"/>
            </w:pPr>
            <w:r>
              <w:t xml:space="preserve">All database queries use 100% PDO prepared statements; no string concatenation in query construction</w:t>
            </w:r>
          </w:p>
        </w:tc>
      </w:tr>
      <w:tr>
        <w:tc>
          <w:tcPr/>
          <w:p>
            <w:pPr>
              <w:pStyle w:val="Compact"/>
            </w:pPr>
            <w:r>
              <w:rPr>
                <w:b/>
                <w:bCs/>
              </w:rPr>
              <w:t xml:space="preserve">NFR-SEC-005</w:t>
            </w:r>
          </w:p>
        </w:tc>
        <w:tc>
          <w:tcPr/>
          <w:p>
            <w:pPr>
              <w:pStyle w:val="Compact"/>
            </w:pPr>
            <w:r>
              <w:t xml:space="preserve">All user output is escaped via</w:t>
            </w:r>
            <w:r>
              <w:t xml:space="preserve"> </w:t>
            </w:r>
            <w:r>
              <w:rPr>
                <w:rStyle w:val="VerbatimChar"/>
              </w:rPr>
              <w:t xml:space="preserve">htmlspecialchars()</w:t>
            </w:r>
            <w:r>
              <w:t xml:space="preserve">; no raw user input is rendered in HTML</w:t>
            </w:r>
          </w:p>
        </w:tc>
      </w:tr>
      <w:tr>
        <w:tc>
          <w:tcPr/>
          <w:p>
            <w:pPr>
              <w:pStyle w:val="Compact"/>
            </w:pPr>
            <w:r>
              <w:rPr>
                <w:b/>
                <w:bCs/>
              </w:rPr>
              <w:t xml:space="preserve">NFR-SEC-006</w:t>
            </w:r>
          </w:p>
        </w:tc>
        <w:tc>
          <w:tcPr/>
          <w:p>
            <w:pPr>
              <w:pStyle w:val="Compact"/>
            </w:pPr>
            <w:r>
              <w:t xml:space="preserve">CSRF tokens are required on all state-changing forms</w:t>
            </w:r>
          </w:p>
        </w:tc>
      </w:tr>
      <w:tr>
        <w:tc>
          <w:tcPr/>
          <w:p>
            <w:pPr>
              <w:pStyle w:val="Compact"/>
            </w:pPr>
            <w:r>
              <w:rPr>
                <w:b/>
                <w:bCs/>
              </w:rPr>
              <w:t xml:space="preserve">NFR-SEC-007</w:t>
            </w:r>
          </w:p>
        </w:tc>
        <w:tc>
          <w:tcPr/>
          <w:p>
            <w:pPr>
              <w:pStyle w:val="Compact"/>
            </w:pPr>
            <w:r>
              <w:t xml:space="preserve">Passwords are hashed with bcrypt or Argon2id</w:t>
            </w:r>
          </w:p>
        </w:tc>
      </w:tr>
      <w:tr>
        <w:tc>
          <w:tcPr/>
          <w:p>
            <w:pPr>
              <w:pStyle w:val="Compact"/>
            </w:pPr>
            <w:r>
              <w:rPr>
                <w:b/>
                <w:bCs/>
              </w:rPr>
              <w:t xml:space="preserve">NFR-SEC-008</w:t>
            </w:r>
          </w:p>
        </w:tc>
        <w:tc>
          <w:tcPr/>
          <w:p>
            <w:pPr>
              <w:pStyle w:val="Compact"/>
            </w:pPr>
            <w:r>
              <w:t xml:space="preserve">After 5 consecutive failed login attempts, the account is locked for a configurable duration</w:t>
            </w:r>
          </w:p>
        </w:tc>
      </w:tr>
      <w:tr>
        <w:tc>
          <w:tcPr/>
          <w:p>
            <w:pPr>
              <w:pStyle w:val="Compact"/>
            </w:pPr>
            <w:r>
              <w:rPr>
                <w:b/>
                <w:bCs/>
              </w:rPr>
              <w:t xml:space="preserve">NFR-SEC-009</w:t>
            </w:r>
          </w:p>
        </w:tc>
        <w:tc>
          <w:tcPr/>
          <w:p>
            <w:pPr>
              <w:pStyle w:val="Compact"/>
            </w:pPr>
            <w:r>
              <w:t xml:space="preserve">Director, Finance Director, and IT Administrator roles require TOTP 2FA (Google Authenticator compatible)</w:t>
            </w:r>
          </w:p>
        </w:tc>
      </w:tr>
      <w:tr>
        <w:tc>
          <w:tcPr/>
          <w:p>
            <w:pPr>
              <w:pStyle w:val="Compact"/>
            </w:pPr>
            <w:r>
              <w:rPr>
                <w:b/>
                <w:bCs/>
              </w:rPr>
              <w:t xml:space="preserve">NFR-SEC-010</w:t>
            </w:r>
          </w:p>
        </w:tc>
        <w:tc>
          <w:tcPr/>
          <w:p>
            <w:pPr>
              <w:pStyle w:val="Compact"/>
            </w:pPr>
            <w:r>
              <w:t xml:space="preserve">All data in transit uses TLS 1.3; sensitive fields (NIN, mobile money numbers) are encrypted at rest</w:t>
            </w:r>
          </w:p>
        </w:tc>
      </w:tr>
      <w:tr>
        <w:tc>
          <w:tcPr/>
          <w:p>
            <w:pPr>
              <w:pStyle w:val="Compact"/>
            </w:pPr>
            <w:r>
              <w:rPr>
                <w:b/>
                <w:bCs/>
              </w:rPr>
              <w:t xml:space="preserve">NFR-SEC-011</w:t>
            </w:r>
          </w:p>
        </w:tc>
        <w:tc>
          <w:tcPr/>
          <w:p>
            <w:pPr>
              <w:pStyle w:val="Compact"/>
            </w:pPr>
            <w:r>
              <w:t xml:space="preserve">The database application user has minimum permissions; root access is disabled from the application</w:t>
            </w:r>
          </w:p>
        </w:tc>
      </w:tr>
      <w:tr>
        <w:tc>
          <w:tcPr/>
          <w:p>
            <w:pPr>
              <w:pStyle w:val="Compact"/>
            </w:pPr>
            <w:r>
              <w:rPr>
                <w:b/>
                <w:bCs/>
              </w:rPr>
              <w:t xml:space="preserve">NFR-SEC-012</w:t>
            </w:r>
          </w:p>
        </w:tc>
        <w:tc>
          <w:tcPr/>
          <w:p>
            <w:pPr>
              <w:pStyle w:val="Compact"/>
            </w:pPr>
            <w:r>
              <w:t xml:space="preserve">Segregation of duties (BR-003) is enforced at the API layer; a crafted API request cannot bypass the segregation check</w:t>
            </w:r>
          </w:p>
        </w:tc>
      </w:tr>
    </w:tbl>
    <w:bookmarkEnd w:id="54"/>
    <w:bookmarkStart w:id="55" w:name="Xd8bc7babd828e83219e1166d71360c5124816ea"/>
    <w:p>
      <w:pPr>
        <w:pStyle w:val="Heading2"/>
      </w:pPr>
      <w:r>
        <w:t xml:space="preserve">4.3 Reliability and Availability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rPr>
                <w:b/>
                <w:bCs/>
              </w:rPr>
              <w:t xml:space="preserve">NFR-REL-001</w:t>
            </w:r>
          </w:p>
        </w:tc>
        <w:tc>
          <w:tcPr/>
          <w:p>
            <w:pPr>
              <w:pStyle w:val="Compact"/>
            </w:pPr>
            <w:r>
              <w:t xml:space="preserve">The system shall be available ≥ 99% of scheduled operating hours (06:00-22:00 EAT, Monday-Saturday)</w:t>
            </w:r>
          </w:p>
        </w:tc>
      </w:tr>
      <w:tr>
        <w:tc>
          <w:tcPr/>
          <w:p>
            <w:pPr>
              <w:pStyle w:val="Compact"/>
            </w:pPr>
            <w:r>
              <w:rPr>
                <w:b/>
                <w:bCs/>
              </w:rPr>
              <w:t xml:space="preserve">NFR-REL-002</w:t>
            </w:r>
          </w:p>
        </w:tc>
        <w:tc>
          <w:tcPr/>
          <w:p>
            <w:pPr>
              <w:pStyle w:val="Compact"/>
            </w:pPr>
            <w:r>
              <w:t xml:space="preserve">No POS transaction data shall be lost during offline operation; the offline queue is durable and survives device restart</w:t>
            </w:r>
          </w:p>
        </w:tc>
      </w:tr>
      <w:tr>
        <w:tc>
          <w:tcPr/>
          <w:p>
            <w:pPr>
              <w:pStyle w:val="Compact"/>
            </w:pPr>
            <w:r>
              <w:rPr>
                <w:b/>
                <w:bCs/>
              </w:rPr>
              <w:t xml:space="preserve">NFR-REL-003</w:t>
            </w:r>
          </w:p>
        </w:tc>
        <w:tc>
          <w:tcPr/>
          <w:p>
            <w:pPr>
              <w:pStyle w:val="Compact"/>
            </w:pPr>
            <w:r>
              <w:t xml:space="preserve">Automated daily database backups shall complete successfully; an email alert shall be sent to the IT Administrator if a backup fails</w:t>
            </w:r>
          </w:p>
        </w:tc>
      </w:tr>
      <w:tr>
        <w:tc>
          <w:tcPr/>
          <w:p>
            <w:pPr>
              <w:pStyle w:val="Compact"/>
            </w:pPr>
            <w:r>
              <w:rPr>
                <w:b/>
                <w:bCs/>
              </w:rPr>
              <w:t xml:space="preserve">NFR-REL-004</w:t>
            </w:r>
          </w:p>
        </w:tc>
        <w:tc>
          <w:tcPr/>
          <w:p>
            <w:pPr>
              <w:pStyle w:val="Compact"/>
            </w:pPr>
            <w:r>
              <w:t xml:space="preserve">The EFRIS submission retry queue shall survive a server restart; queued submissions shall be retried after restart</w:t>
            </w:r>
          </w:p>
        </w:tc>
      </w:tr>
    </w:tbl>
    <w:bookmarkEnd w:id="55"/>
    <w:bookmarkStart w:id="56" w:name="X0635eb2c9ec40c7dd005f28c716fbffc52d9eb7"/>
    <w:p>
      <w:pPr>
        <w:pStyle w:val="Heading2"/>
      </w:pPr>
      <w:r>
        <w:t xml:space="preserve">4.4 Maintainability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rPr>
                <w:b/>
                <w:bCs/>
              </w:rPr>
              <w:t xml:space="preserve">NFR-MNT-001</w:t>
            </w:r>
          </w:p>
        </w:tc>
        <w:tc>
          <w:tcPr/>
          <w:p>
            <w:pPr>
              <w:pStyle w:val="Compact"/>
            </w:pPr>
            <w:r>
              <w:t xml:space="preserve">PHPUnit test coverage shall be ≥ 80% for all financial services (GL posting, commission calculation, FIFO remittance allocation)</w:t>
            </w:r>
          </w:p>
        </w:tc>
      </w:tr>
      <w:tr>
        <w:tc>
          <w:tcPr/>
          <w:p>
            <w:pPr>
              <w:pStyle w:val="Compact"/>
            </w:pPr>
            <w:r>
              <w:rPr>
                <w:b/>
                <w:bCs/>
              </w:rPr>
              <w:t xml:space="preserve">NFR-MNT-002</w:t>
            </w:r>
          </w:p>
        </w:tc>
        <w:tc>
          <w:tcPr/>
          <w:p>
            <w:pPr>
              <w:pStyle w:val="Compact"/>
            </w:pPr>
            <w:r>
              <w:t xml:space="preserve">All business rule parameters (commission thresholds, float limits, expiry alert days, suspension thresholds) shall be configurable via the System Administration panel without code changes (DC-002)</w:t>
            </w:r>
          </w:p>
        </w:tc>
      </w:tr>
      <w:tr>
        <w:tc>
          <w:tcPr/>
          <w:p>
            <w:pPr>
              <w:pStyle w:val="Compact"/>
            </w:pPr>
            <w:r>
              <w:rPr>
                <w:b/>
                <w:bCs/>
              </w:rPr>
              <w:t xml:space="preserve">NFR-MNT-003</w:t>
            </w:r>
          </w:p>
        </w:tc>
        <w:tc>
          <w:tcPr/>
          <w:p>
            <w:pPr>
              <w:pStyle w:val="Compact"/>
            </w:pPr>
            <w:r>
              <w:t xml:space="preserve">The codebase shall follow PSR-4 autoloading and PSR-12 coding standards; CI linting shall fail on violations</w:t>
            </w:r>
          </w:p>
        </w:tc>
      </w:tr>
      <w:tr>
        <w:tc>
          <w:tcPr/>
          <w:p>
            <w:pPr>
              <w:pStyle w:val="Compact"/>
            </w:pPr>
            <w:r>
              <w:rPr>
                <w:b/>
                <w:bCs/>
              </w:rPr>
              <w:t xml:space="preserve">NFR-MNT-004</w:t>
            </w:r>
          </w:p>
        </w:tc>
        <w:tc>
          <w:tcPr/>
          <w:p>
            <w:pPr>
              <w:pStyle w:val="Compact"/>
            </w:pPr>
            <w:r>
              <w:t xml:space="preserve">All database schema changes shall be managed via versioned migration scripts</w:t>
            </w:r>
          </w:p>
        </w:tc>
      </w:tr>
    </w:tbl>
    <w:bookmarkEnd w:id="56"/>
    <w:bookmarkStart w:id="57" w:name="Xf1829237bb7a096d0681de678607edb7502b3ab"/>
    <w:p>
      <w:pPr>
        <w:pStyle w:val="Heading2"/>
      </w:pPr>
      <w:r>
        <w:t xml:space="preserve">4.5 Usability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rPr>
                <w:b/>
                <w:bCs/>
              </w:rPr>
              <w:t xml:space="preserve">NFR-UX-001</w:t>
            </w:r>
          </w:p>
        </w:tc>
        <w:tc>
          <w:tcPr/>
          <w:p>
            <w:pPr>
              <w:pStyle w:val="Compact"/>
            </w:pPr>
            <w:r>
              <w:t xml:space="preserve">A cashier with no prior training (Prossy persona) shall complete a cash POS sale from product search to printed receipt in ≤ 90 seconds on first attempt (DC-001 test criterion)</w:t>
            </w:r>
          </w:p>
        </w:tc>
      </w:tr>
      <w:tr>
        <w:tc>
          <w:tcPr/>
          <w:p>
            <w:pPr>
              <w:pStyle w:val="Compact"/>
            </w:pPr>
            <w:r>
              <w:rPr>
                <w:b/>
                <w:bCs/>
              </w:rPr>
              <w:t xml:space="preserve">NFR-UX-002</w:t>
            </w:r>
          </w:p>
        </w:tc>
        <w:tc>
          <w:tcPr/>
          <w:p>
            <w:pPr>
              <w:pStyle w:val="Compact"/>
            </w:pPr>
            <w:r>
              <w:t xml:space="preserve">Every daily-use screen shall be reachable in ≤ 3 navigation steps from the home page</w:t>
            </w:r>
          </w:p>
        </w:tc>
      </w:tr>
      <w:tr>
        <w:tc>
          <w:tcPr/>
          <w:p>
            <w:pPr>
              <w:pStyle w:val="Compact"/>
            </w:pPr>
            <w:r>
              <w:rPr>
                <w:b/>
                <w:bCs/>
              </w:rPr>
              <w:t xml:space="preserve">NFR-UX-003</w:t>
            </w:r>
          </w:p>
        </w:tc>
        <w:tc>
          <w:tcPr/>
          <w:p>
            <w:pPr>
              <w:pStyle w:val="Compact"/>
            </w:pPr>
            <w:r>
              <w:t xml:space="preserve">All data tables shall support column-level sorting and text search via DataTables</w:t>
            </w:r>
          </w:p>
        </w:tc>
      </w:tr>
      <w:tr>
        <w:tc>
          <w:tcPr/>
          <w:p>
            <w:pPr>
              <w:pStyle w:val="Compact"/>
            </w:pPr>
            <w:r>
              <w:rPr>
                <w:b/>
                <w:bCs/>
              </w:rPr>
              <w:t xml:space="preserve">NFR-UX-004</w:t>
            </w:r>
          </w:p>
        </w:tc>
        <w:tc>
          <w:tcPr/>
          <w:p>
            <w:pPr>
              <w:pStyle w:val="Compact"/>
            </w:pPr>
            <w:r>
              <w:t xml:space="preserve">All forms shall display inline field-level validation errors immediately on blur, without requiring a full page submit</w:t>
            </w:r>
          </w:p>
        </w:tc>
      </w:tr>
      <w:tr>
        <w:tc>
          <w:tcPr/>
          <w:p>
            <w:pPr>
              <w:pStyle w:val="Compact"/>
            </w:pPr>
            <w:r>
              <w:rPr>
                <w:b/>
                <w:bCs/>
              </w:rPr>
              <w:t xml:space="preserve">NFR-UX-005</w:t>
            </w:r>
          </w:p>
        </w:tc>
        <w:tc>
          <w:tcPr/>
          <w:p>
            <w:pPr>
              <w:pStyle w:val="Compact"/>
            </w:pPr>
            <w:r>
              <w:t xml:space="preserve">The system shall display a confirmation dialog (SweetAlert2) before every irreversible action (void, adjustment, termination)</w:t>
            </w:r>
          </w:p>
        </w:tc>
      </w:tr>
    </w:tbl>
    <w:bookmarkEnd w:id="57"/>
    <w:bookmarkStart w:id="58" w:name="X2ef89aa35573df556da7b5983743597c1564da8"/>
    <w:p>
      <w:pPr>
        <w:pStyle w:val="Heading2"/>
      </w:pPr>
      <w:r>
        <w:t xml:space="preserve">4.6 Audit and 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rPr>
                <w:b/>
                <w:bCs/>
              </w:rPr>
              <w:t xml:space="preserve">NFR-AUD-001</w:t>
            </w:r>
          </w:p>
        </w:tc>
        <w:tc>
          <w:tcPr/>
          <w:p>
            <w:pPr>
              <w:pStyle w:val="Compact"/>
            </w:pPr>
            <w:r>
              <w:t xml:space="preserve">Every financial transaction (invoice posting, stock adjustment, remittance, commission) shall generate an immutable audit record containing: actor identity, IP address, timestamp, table name, primary key, old values (JSON), and new values (JSON)</w:t>
            </w:r>
          </w:p>
        </w:tc>
      </w:tr>
      <w:tr>
        <w:tc>
          <w:tcPr/>
          <w:p>
            <w:pPr>
              <w:pStyle w:val="Compact"/>
            </w:pPr>
            <w:r>
              <w:rPr>
                <w:b/>
                <w:bCs/>
              </w:rPr>
              <w:t xml:space="preserve">NFR-AUD-002</w:t>
            </w:r>
          </w:p>
        </w:tc>
        <w:tc>
          <w:tcPr/>
          <w:p>
            <w:pPr>
              <w:pStyle w:val="Compact"/>
            </w:pPr>
            <w:r>
              <w:t xml:space="preserve">Audit records shall be retained for a minimum of 7 years in compliance with the Uganda Companies Act 2012 and Income Tax Act Cap 340</w:t>
            </w:r>
          </w:p>
        </w:tc>
      </w:tr>
      <w:tr>
        <w:tc>
          <w:tcPr/>
          <w:p>
            <w:pPr>
              <w:pStyle w:val="Compact"/>
            </w:pPr>
            <w:r>
              <w:rPr>
                <w:b/>
                <w:bCs/>
              </w:rPr>
              <w:t xml:space="preserve">NFR-AUD-003</w:t>
            </w:r>
          </w:p>
        </w:tc>
        <w:tc>
          <w:tcPr/>
          <w:p>
            <w:pPr>
              <w:pStyle w:val="Compact"/>
            </w:pPr>
            <w:r>
              <w:t xml:space="preserve">The GL hash chain (BR-013) shall pass integrity verification on demand; the Finance Director or IT Administrator may trigger a hash chain check from the System Administration panel</w:t>
            </w:r>
          </w:p>
        </w:tc>
      </w:tr>
      <w:tr>
        <w:tc>
          <w:tcPr/>
          <w:p>
            <w:pPr>
              <w:pStyle w:val="Compact"/>
            </w:pPr>
            <w:r>
              <w:rPr>
                <w:b/>
                <w:bCs/>
              </w:rPr>
              <w:t xml:space="preserve">NFR-AUD-004</w:t>
            </w:r>
          </w:p>
        </w:tc>
        <w:tc>
          <w:tcPr/>
          <w:p>
            <w:pPr>
              <w:pStyle w:val="Compact"/>
            </w:pPr>
            <w:r>
              <w:t xml:space="preserve">All EFRIS submissions and responses shall be logged verbatim (FR-SAL-033) and retained for 7 years</w:t>
            </w:r>
          </w:p>
        </w:tc>
      </w:tr>
      <w:tr>
        <w:tc>
          <w:tcPr/>
          <w:p>
            <w:pPr>
              <w:pStyle w:val="Compact"/>
            </w:pPr>
            <w:r>
              <w:rPr>
                <w:b/>
                <w:bCs/>
              </w:rPr>
              <w:t xml:space="preserve">NFR-AUD-005</w:t>
            </w:r>
          </w:p>
        </w:tc>
        <w:tc>
          <w:tcPr/>
          <w:p>
            <w:pPr>
              <w:pStyle w:val="Compact"/>
            </w:pPr>
            <w:r>
              <w:t xml:space="preserve">Sequential number gap detection (BR-009) shall run as a scheduled daily check and alert the Finance Manager immediately upon gap detection</w:t>
            </w:r>
          </w:p>
        </w:tc>
      </w:tr>
    </w:tbl>
    <w:bookmarkEnd w:id="58"/>
    <w:bookmarkEnd w:id="59"/>
    <w:bookmarkStart w:id="63" w:name="X356967b95439243d69b6447f9010ba51d664595"/>
    <w:p>
      <w:pPr>
        <w:pStyle w:val="Heading1"/>
      </w:pPr>
      <w:r>
        <w:t xml:space="preserve">5. Design Constraints and Standards Compliance</w:t>
      </w:r>
    </w:p>
    <w:bookmarkStart w:id="60" w:name="Xb215a5820e8894ace48b5ad1031768c19294e86"/>
    <w:p>
      <w:pPr>
        <w:pStyle w:val="Heading2"/>
      </w:pPr>
      <w:r>
        <w:t xml:space="preserve">5.1 Technology Constraints</w:t>
      </w:r>
    </w:p>
    <w:p>
      <w:pPr>
        <w:pStyle w:val="FirstParagraph"/>
      </w:pPr>
      <w:r>
        <w:t xml:space="preserve">The following technology decisions are fixed and apply to all Phase 1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Specification</w:t>
            </w:r>
          </w:p>
        </w:tc>
      </w:tr>
      <w:tr>
        <w:tc>
          <w:tcPr/>
          <w:p>
            <w:pPr>
              <w:pStyle w:val="Compact"/>
            </w:pPr>
            <w:r>
              <w:rPr>
                <w:b/>
                <w:bCs/>
              </w:rPr>
              <w:t xml:space="preserve">DC-T-001</w:t>
            </w:r>
          </w:p>
        </w:tc>
        <w:tc>
          <w:tcPr/>
          <w:p>
            <w:pPr>
              <w:pStyle w:val="Compact"/>
            </w:pPr>
            <w:r>
              <w:t xml:space="preserve">Backend language: PHP 8.3+ with</w:t>
            </w:r>
            <w:r>
              <w:t xml:space="preserve"> </w:t>
            </w:r>
            <w:r>
              <w:rPr>
                <w:rStyle w:val="VerbatimChar"/>
              </w:rPr>
              <w:t xml:space="preserve">declare(strict_types=1)</w:t>
            </w:r>
            <w:r>
              <w:t xml:space="preserve"> </w:t>
            </w:r>
            <w:r>
              <w:t xml:space="preserve">on every file</w:t>
            </w:r>
          </w:p>
        </w:tc>
      </w:tr>
      <w:tr>
        <w:tc>
          <w:tcPr/>
          <w:p>
            <w:pPr>
              <w:pStyle w:val="Compact"/>
            </w:pPr>
            <w:r>
              <w:rPr>
                <w:b/>
                <w:bCs/>
              </w:rPr>
              <w:t xml:space="preserve">DC-T-002</w:t>
            </w:r>
          </w:p>
        </w:tc>
        <w:tc>
          <w:tcPr/>
          <w:p>
            <w:pPr>
              <w:pStyle w:val="Compact"/>
            </w:pPr>
            <w:r>
              <w:t xml:space="preserve">Database: MySQL 9.1 InnoDB, utf8mb4 character set</w:t>
            </w:r>
          </w:p>
        </w:tc>
      </w:tr>
      <w:tr>
        <w:tc>
          <w:tcPr/>
          <w:p>
            <w:pPr>
              <w:pStyle w:val="Compact"/>
            </w:pPr>
            <w:r>
              <w:rPr>
                <w:b/>
                <w:bCs/>
              </w:rPr>
              <w:t xml:space="preserve">DC-T-003</w:t>
            </w:r>
          </w:p>
        </w:tc>
        <w:tc>
          <w:tcPr/>
          <w:p>
            <w:pPr>
              <w:pStyle w:val="Compact"/>
            </w:pPr>
            <w:r>
              <w:t xml:space="preserve">PDF generation: mPDF for all invoice, receipt, and statement PDFs</w:t>
            </w:r>
          </w:p>
        </w:tc>
      </w:tr>
      <w:tr>
        <w:tc>
          <w:tcPr/>
          <w:p>
            <w:pPr>
              <w:pStyle w:val="Compact"/>
            </w:pPr>
            <w:r>
              <w:rPr>
                <w:b/>
                <w:bCs/>
              </w:rPr>
              <w:t xml:space="preserve">DC-T-004</w:t>
            </w:r>
          </w:p>
        </w:tc>
        <w:tc>
          <w:tcPr/>
          <w:p>
            <w:pPr>
              <w:pStyle w:val="Compact"/>
            </w:pPr>
            <w:r>
              <w:t xml:space="preserve">Excel export: PhpSpreadsheet for all spreadsheet exports and imports</w:t>
            </w:r>
          </w:p>
        </w:tc>
      </w:tr>
      <w:tr>
        <w:tc>
          <w:tcPr/>
          <w:p>
            <w:pPr>
              <w:pStyle w:val="Compact"/>
            </w:pPr>
            <w:r>
              <w:rPr>
                <w:b/>
                <w:bCs/>
              </w:rPr>
              <w:t xml:space="preserve">DC-T-005</w:t>
            </w:r>
          </w:p>
        </w:tc>
        <w:tc>
          <w:tcPr/>
          <w:p>
            <w:pPr>
              <w:pStyle w:val="Compact"/>
            </w:pPr>
            <w:r>
              <w:t xml:space="preserve">Mobile: Android 8.0 (API 26) minimum; Kotlin, Jetpack Compose, Room, WorkManager</w:t>
            </w:r>
          </w:p>
        </w:tc>
      </w:tr>
      <w:tr>
        <w:tc>
          <w:tcPr/>
          <w:p>
            <w:pPr>
              <w:pStyle w:val="Compact"/>
            </w:pPr>
            <w:r>
              <w:rPr>
                <w:b/>
                <w:bCs/>
              </w:rPr>
              <w:t xml:space="preserve">DC-T-006</w:t>
            </w:r>
          </w:p>
        </w:tc>
        <w:tc>
          <w:tcPr/>
          <w:p>
            <w:pPr>
              <w:pStyle w:val="Compact"/>
            </w:pPr>
            <w:r>
              <w:t xml:space="preserve">Barcode scanning (mobile): Android ML Kit</w:t>
            </w:r>
          </w:p>
        </w:tc>
      </w:tr>
      <w:tr>
        <w:tc>
          <w:tcPr/>
          <w:p>
            <w:pPr>
              <w:pStyle w:val="Compact"/>
            </w:pPr>
            <w:r>
              <w:rPr>
                <w:b/>
                <w:bCs/>
              </w:rPr>
              <w:t xml:space="preserve">DC-T-007</w:t>
            </w:r>
          </w:p>
        </w:tc>
        <w:tc>
          <w:tcPr/>
          <w:p>
            <w:pPr>
              <w:pStyle w:val="Compact"/>
            </w:pPr>
            <w:r>
              <w:t xml:space="preserve">Thermal printing (mobile): Bluetooth ESC/POS</w:t>
            </w:r>
          </w:p>
        </w:tc>
      </w:tr>
      <w:tr>
        <w:tc>
          <w:tcPr/>
          <w:p>
            <w:pPr>
              <w:pStyle w:val="Compact"/>
            </w:pPr>
            <w:r>
              <w:rPr>
                <w:b/>
                <w:bCs/>
              </w:rPr>
              <w:t xml:space="preserve">DC-T-008</w:t>
            </w:r>
          </w:p>
        </w:tc>
        <w:tc>
          <w:tcPr/>
          <w:p>
            <w:pPr>
              <w:pStyle w:val="Compact"/>
            </w:pPr>
            <w:r>
              <w:t xml:space="preserve">EFRIS: URA EFRIS system-to-system REST API</w:t>
            </w:r>
          </w:p>
        </w:tc>
      </w:tr>
      <w:tr>
        <w:tc>
          <w:tcPr/>
          <w:p>
            <w:pPr>
              <w:pStyle w:val="Compact"/>
            </w:pPr>
            <w:r>
              <w:rPr>
                <w:b/>
                <w:bCs/>
              </w:rPr>
              <w:t xml:space="preserve">DC-T-009</w:t>
            </w:r>
          </w:p>
        </w:tc>
        <w:tc>
          <w:tcPr/>
          <w:p>
            <w:pPr>
              <w:pStyle w:val="Compact"/>
            </w:pPr>
            <w:r>
              <w:t xml:space="preserve">Mobile money: MTN MoMo Business API (primary), Airtel Money API (secondary)</w:t>
            </w:r>
          </w:p>
        </w:tc>
      </w:tr>
    </w:tbl>
    <w:bookmarkEnd w:id="60"/>
    <w:bookmarkStart w:id="61" w:name="X625736c9c8d15cde704d4726f947389a7a80291"/>
    <w:p>
      <w:pPr>
        <w:pStyle w:val="Heading2"/>
      </w:pPr>
      <w:r>
        <w:t xml:space="preserve">5.2 Regulatory Compliance Constraints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Regulation</w:t>
            </w:r>
          </w:p>
        </w:tc>
      </w:tr>
      <w:tr>
        <w:tc>
          <w:tcPr/>
          <w:p>
            <w:pPr>
              <w:pStyle w:val="Compact"/>
            </w:pPr>
            <w:r>
              <w:rPr>
                <w:b/>
                <w:bCs/>
              </w:rPr>
              <w:t xml:space="preserve">DC-R-001</w:t>
            </w:r>
          </w:p>
        </w:tc>
        <w:tc>
          <w:tcPr/>
          <w:p>
            <w:pPr>
              <w:pStyle w:val="Compact"/>
            </w:pPr>
            <w:r>
              <w:t xml:space="preserve">All commercial invoices and POS receipts must be submitted to URA EFRIS; FDN and QR code must appear on all printed documents</w:t>
            </w:r>
          </w:p>
        </w:tc>
      </w:tr>
      <w:tr>
        <w:tc>
          <w:tcPr/>
          <w:p>
            <w:pPr>
              <w:pStyle w:val="Compact"/>
            </w:pPr>
            <w:r>
              <w:rPr>
                <w:b/>
                <w:bCs/>
              </w:rPr>
              <w:t xml:space="preserve">DC-R-002</w:t>
            </w:r>
          </w:p>
        </w:tc>
        <w:tc>
          <w:tcPr/>
          <w:p>
            <w:pPr>
              <w:pStyle w:val="Compact"/>
            </w:pPr>
            <w:r>
              <w:t xml:space="preserve">All financial records must be retained for 7 years (Uganda Companies Act 2012, Income Tax Act Cap 340)</w:t>
            </w:r>
          </w:p>
        </w:tc>
      </w:tr>
      <w:tr>
        <w:tc>
          <w:tcPr/>
          <w:p>
            <w:pPr>
              <w:pStyle w:val="Compact"/>
            </w:pPr>
            <w:r>
              <w:rPr>
                <w:b/>
                <w:bCs/>
              </w:rPr>
              <w:t xml:space="preserve">DC-R-003</w:t>
            </w:r>
          </w:p>
        </w:tc>
        <w:tc>
          <w:tcPr/>
          <w:p>
            <w:pPr>
              <w:pStyle w:val="Compact"/>
            </w:pPr>
            <w:r>
              <w:t xml:space="preserve">Farmer data (NIN, GPS, photo, mobile money number) collection must comply with Uganda Data Protection and Privacy Act 2019</w:t>
            </w:r>
            <w:r>
              <w:t xml:space="preserve"> </w:t>
            </w:r>
            <w:r>
              <w:rPr>
                <w:rStyle w:val="VerbatimChar"/>
              </w:rPr>
              <w:t xml:space="preserve">[CONTEXT-GAP: GAP-004]</w:t>
            </w:r>
          </w:p>
        </w:tc>
      </w:tr>
      <w:tr>
        <w:tc>
          <w:tcPr/>
          <w:p>
            <w:pPr>
              <w:pStyle w:val="Compact"/>
            </w:pPr>
            <w:r>
              <w:rPr>
                <w:b/>
                <w:bCs/>
              </w:rPr>
              <w:t xml:space="preserve">DC-R-004</w:t>
            </w:r>
          </w:p>
        </w:tc>
        <w:tc>
          <w:tcPr/>
          <w:p>
            <w:pPr>
              <w:pStyle w:val="Compact"/>
            </w:pPr>
            <w:r>
              <w:t xml:space="preserve">The system is not subject to cloud data residency rules (DC-006: on-premise); all data remains within BIRDC's servers in Uganda</w:t>
            </w:r>
          </w:p>
        </w:tc>
      </w:tr>
    </w:tbl>
    <w:bookmarkEnd w:id="61"/>
    <w:bookmarkStart w:id="62" w:name="X95e58a48eb52768c7b29383324bc0b4b0939190"/>
    <w:p>
      <w:pPr>
        <w:pStyle w:val="Heading2"/>
      </w:pPr>
      <w:r>
        <w:t xml:space="preserve">5.3 Architectural Constraints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Description</w:t>
            </w:r>
          </w:p>
        </w:tc>
      </w:tr>
      <w:tr>
        <w:tc>
          <w:tcPr/>
          <w:p>
            <w:pPr>
              <w:pStyle w:val="Compact"/>
            </w:pPr>
            <w:r>
              <w:rPr>
                <w:b/>
                <w:bCs/>
              </w:rPr>
              <w:t xml:space="preserve">DC-A-001</w:t>
            </w:r>
          </w:p>
        </w:tc>
        <w:tc>
          <w:tcPr/>
          <w:p>
            <w:pPr>
              <w:pStyle w:val="Compact"/>
            </w:pPr>
            <w:r>
              <w:rPr>
                <w:rStyle w:val="VerbatimChar"/>
              </w:rPr>
              <w:t xml:space="preserve">tbl_stock_balance</w:t>
            </w:r>
            <w:r>
              <w:t xml:space="preserve"> </w:t>
            </w:r>
            <w:r>
              <w:t xml:space="preserve">and</w:t>
            </w:r>
            <w:r>
              <w:t xml:space="preserve"> </w:t>
            </w:r>
            <w:r>
              <w:rPr>
                <w:rStyle w:val="VerbatimChar"/>
              </w:rPr>
              <w:t xml:space="preserve">tbl_agent_stock_balance</w:t>
            </w:r>
            <w:r>
              <w:t xml:space="preserve"> </w:t>
            </w:r>
            <w:r>
              <w:t xml:space="preserve">are permanently separate; no application feature may merge them without explicit labelling (BR-001)</w:t>
            </w:r>
          </w:p>
        </w:tc>
      </w:tr>
      <w:tr>
        <w:tc>
          <w:tcPr/>
          <w:p>
            <w:pPr>
              <w:pStyle w:val="Compact"/>
            </w:pPr>
            <w:r>
              <w:rPr>
                <w:b/>
                <w:bCs/>
              </w:rPr>
              <w:t xml:space="preserve">DC-A-002</w:t>
            </w:r>
          </w:p>
        </w:tc>
        <w:tc>
          <w:tcPr/>
          <w:p>
            <w:pPr>
              <w:pStyle w:val="Compact"/>
            </w:pPr>
            <w:r>
              <w:t xml:space="preserve">The FIFO remittance allocation logic is implemented exclusively as the stored procedure</w:t>
            </w:r>
            <w:r>
              <w:t xml:space="preserve"> </w:t>
            </w:r>
            <w:r>
              <w:rPr>
                <w:rStyle w:val="VerbatimChar"/>
              </w:rPr>
              <w:t xml:space="preserve">sp_apply_remittance_to_invoices</w:t>
            </w:r>
            <w:r>
              <w:t xml:space="preserve">; no application-layer equivalent is permitted</w:t>
            </w:r>
          </w:p>
        </w:tc>
      </w:tr>
      <w:tr>
        <w:tc>
          <w:tcPr/>
          <w:p>
            <w:pPr>
              <w:pStyle w:val="Compact"/>
            </w:pPr>
            <w:r>
              <w:rPr>
                <w:b/>
                <w:bCs/>
              </w:rPr>
              <w:t xml:space="preserve">DC-A-003</w:t>
            </w:r>
          </w:p>
        </w:tc>
        <w:tc>
          <w:tcPr/>
          <w:p>
            <w:pPr>
              <w:pStyle w:val="Compact"/>
            </w:pPr>
            <w:r>
              <w:t xml:space="preserve">Segregation of duties is enforced at the API layer; no UI-only enforcement is acceptable</w:t>
            </w:r>
          </w:p>
        </w:tc>
      </w:tr>
      <w:tr>
        <w:tc>
          <w:tcPr/>
          <w:p>
            <w:pPr>
              <w:pStyle w:val="Compact"/>
            </w:pPr>
            <w:r>
              <w:rPr>
                <w:b/>
                <w:bCs/>
              </w:rPr>
              <w:t xml:space="preserve">DC-A-004</w:t>
            </w:r>
          </w:p>
        </w:tc>
        <w:tc>
          <w:tcPr/>
          <w:p>
            <w:pPr>
              <w:pStyle w:val="Compact"/>
            </w:pPr>
            <w:r>
              <w:t xml:space="preserve">All GL postings from Phase 1 modules write to the GL staging table; the Phase 2 GL module activates entries on deployment</w:t>
            </w:r>
          </w:p>
        </w:tc>
      </w:tr>
      <w:tr>
        <w:tc>
          <w:tcPr/>
          <w:p>
            <w:pPr>
              <w:pStyle w:val="Compact"/>
            </w:pPr>
            <w:r>
              <w:rPr>
                <w:b/>
                <w:bCs/>
              </w:rPr>
              <w:t xml:space="preserve">DC-A-005</w:t>
            </w:r>
          </w:p>
        </w:tc>
        <w:tc>
          <w:tcPr/>
          <w:p>
            <w:pPr>
              <w:pStyle w:val="Compact"/>
            </w:pPr>
            <w:r>
              <w:t xml:space="preserve">Hash chain integrity for GL entries (BR-013) is implemented in the database layer, not the application layer</w:t>
            </w:r>
          </w:p>
        </w:tc>
      </w:tr>
    </w:tbl>
    <w:bookmarkEnd w:id="62"/>
    <w:bookmarkEnd w:id="63"/>
    <w:bookmarkStart w:id="70" w:name="X069775c3ec098f2cb328e6b9dd8076acca930fc"/>
    <w:p>
      <w:pPr>
        <w:pStyle w:val="Heading1"/>
      </w:pPr>
      <w:r>
        <w:t xml:space="preserve">6. Requirements Traceability Matrix</w:t>
      </w:r>
    </w:p>
    <w:bookmarkStart w:id="64" w:name="X4fce1d71e80796045a04b66986ab8786367b271"/>
    <w:p>
      <w:pPr>
        <w:pStyle w:val="Heading2"/>
      </w:pPr>
      <w:r>
        <w:t xml:space="preserve">6.1 Business Goals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BG ID</w:t>
            </w:r>
          </w:p>
        </w:tc>
        <w:tc>
          <w:tcPr/>
          <w:p>
            <w:pPr>
              <w:pStyle w:val="Compact"/>
            </w:pPr>
            <w:r>
              <w:t xml:space="preserve">Business Goal</w:t>
            </w:r>
          </w:p>
        </w:tc>
      </w:tr>
      <w:tr>
        <w:tc>
          <w:tcPr/>
          <w:p>
            <w:pPr>
              <w:pStyle w:val="Compact"/>
            </w:pPr>
            <w:r>
              <w:t xml:space="preserve">BG-001</w:t>
            </w:r>
          </w:p>
        </w:tc>
        <w:tc>
          <w:tcPr/>
          <w:p>
            <w:pPr>
              <w:pStyle w:val="Compact"/>
            </w:pPr>
            <w:r>
              <w:t xml:space="preserve">Financial integrity: replace manual spreadsheets with immutable, auditable GL records</w:t>
            </w:r>
          </w:p>
        </w:tc>
      </w:tr>
      <w:tr>
        <w:tc>
          <w:tcPr/>
          <w:p>
            <w:pPr>
              <w:pStyle w:val="Compact"/>
            </w:pPr>
            <w:r>
              <w:t xml:space="preserve">BG-002</w:t>
            </w:r>
          </w:p>
        </w:tc>
        <w:tc>
          <w:tcPr/>
          <w:p>
            <w:pPr>
              <w:pStyle w:val="Compact"/>
            </w:pPr>
            <w:r>
              <w:t xml:space="preserve">Commercial compliance: EFRIS, IFRS, URA obligations met without manual rework</w:t>
            </w:r>
          </w:p>
        </w:tc>
      </w:tr>
      <w:tr>
        <w:tc>
          <w:tcPr/>
          <w:p>
            <w:pPr>
              <w:pStyle w:val="Compact"/>
            </w:pPr>
            <w:r>
              <w:t xml:space="preserve">BG-003</w:t>
            </w:r>
          </w:p>
        </w:tc>
        <w:tc>
          <w:tcPr/>
          <w:p>
            <w:pPr>
              <w:pStyle w:val="Compact"/>
            </w:pPr>
            <w:r>
              <w:t xml:space="preserve">Agent accountability: eliminate cash accountability gap across 1,071-agent network</w:t>
            </w:r>
          </w:p>
        </w:tc>
      </w:tr>
      <w:tr>
        <w:tc>
          <w:tcPr/>
          <w:p>
            <w:pPr>
              <w:pStyle w:val="Compact"/>
            </w:pPr>
            <w:r>
              <w:t xml:space="preserve">BG-004</w:t>
            </w:r>
          </w:p>
        </w:tc>
        <w:tc>
          <w:tcPr/>
          <w:p>
            <w:pPr>
              <w:pStyle w:val="Compact"/>
            </w:pPr>
            <w:r>
              <w:t xml:space="preserve">Circular economy visibility: every kilogramme tracked from farm to sale</w:t>
            </w:r>
          </w:p>
        </w:tc>
      </w:tr>
    </w:tbl>
    <w:bookmarkEnd w:id="64"/>
    <w:bookmarkStart w:id="65" w:name="X2473e9ce1721c01f5f3408047fed6b839ebbd10"/>
    <w:p>
      <w:pPr>
        <w:pStyle w:val="Heading2"/>
      </w:pPr>
      <w:r>
        <w:t xml:space="preserve">6.2 Module F-001: Sales and Distribution —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Business Goal</w:t>
            </w:r>
          </w:p>
        </w:tc>
        <w:tc>
          <w:tcPr/>
          <w:p>
            <w:pPr>
              <w:pStyle w:val="Compact"/>
            </w:pPr>
            <w:r>
              <w:t xml:space="preserve">Business Rule</w:t>
            </w:r>
          </w:p>
        </w:tc>
        <w:tc>
          <w:tcPr/>
          <w:p>
            <w:pPr>
              <w:pStyle w:val="Compact"/>
            </w:pPr>
            <w:r>
              <w:t xml:space="preserve">Design Covenant</w:t>
            </w:r>
          </w:p>
        </w:tc>
        <w:tc>
          <w:tcPr/>
          <w:p>
            <w:pPr>
              <w:pStyle w:val="Compact"/>
            </w:pPr>
            <w:r>
              <w:t xml:space="preserve">Stakeholder</w:t>
            </w:r>
          </w:p>
        </w:tc>
      </w:tr>
      <w:tr>
        <w:tc>
          <w:tcPr/>
          <w:p>
            <w:pPr>
              <w:pStyle w:val="Compact"/>
            </w:pPr>
            <w:r>
              <w:rPr>
                <w:b/>
                <w:bCs/>
              </w:rPr>
              <w:t xml:space="preserve">FR-SAL-001</w:t>
            </w:r>
          </w:p>
        </w:tc>
        <w:tc>
          <w:tcPr/>
          <w:p>
            <w:pPr>
              <w:pStyle w:val="Compact"/>
            </w:pPr>
            <w:r>
              <w:t xml:space="preserve">BG-001</w:t>
            </w:r>
          </w:p>
        </w:tc>
        <w:tc>
          <w:tcPr/>
          <w:p>
            <w:pPr>
              <w:pStyle w:val="Compact"/>
            </w:pPr>
            <w:r>
              <w:t xml:space="preserve">BR-009</w:t>
            </w:r>
          </w:p>
        </w:tc>
        <w:tc>
          <w:tcPr/>
          <w:p>
            <w:pPr>
              <w:pStyle w:val="Compact"/>
            </w:pPr>
            <w:r>
              <w:t xml:space="preserve">DC-003</w:t>
            </w:r>
          </w:p>
        </w:tc>
        <w:tc>
          <w:tcPr/>
          <w:p>
            <w:pPr>
              <w:pStyle w:val="Compact"/>
            </w:pPr>
            <w:r>
              <w:t xml:space="preserve">STK-002, STK-006</w:t>
            </w:r>
          </w:p>
        </w:tc>
      </w:tr>
      <w:tr>
        <w:tc>
          <w:tcPr/>
          <w:p>
            <w:pPr>
              <w:pStyle w:val="Compact"/>
            </w:pPr>
            <w:r>
              <w:rPr>
                <w:b/>
                <w:bCs/>
              </w:rPr>
              <w:t xml:space="preserve">FR-SAL-002</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STK-018, STK-019</w:t>
            </w:r>
          </w:p>
        </w:tc>
      </w:tr>
      <w:tr>
        <w:tc>
          <w:tcPr/>
          <w:p>
            <w:pPr>
              <w:pStyle w:val="Compact"/>
            </w:pPr>
            <w:r>
              <w:rPr>
                <w:b/>
                <w:bCs/>
              </w:rPr>
              <w:t xml:space="preserve">FR-SAL-003</w:t>
            </w:r>
          </w:p>
        </w:tc>
        <w:tc>
          <w:tcPr/>
          <w:p>
            <w:pPr>
              <w:pStyle w:val="Compact"/>
            </w:pPr>
            <w:r>
              <w:t xml:space="preserve">BG-001</w:t>
            </w:r>
          </w:p>
        </w:tc>
        <w:tc>
          <w:tcPr/>
          <w:p>
            <w:pPr>
              <w:pStyle w:val="Compact"/>
            </w:pPr>
            <w:r>
              <w:t xml:space="preserve">-</w:t>
            </w:r>
          </w:p>
        </w:tc>
        <w:tc>
          <w:tcPr/>
          <w:p>
            <w:pPr>
              <w:pStyle w:val="Compact"/>
            </w:pPr>
            <w:r>
              <w:t xml:space="preserve">DC-002, DC-003</w:t>
            </w:r>
          </w:p>
        </w:tc>
        <w:tc>
          <w:tcPr/>
          <w:p>
            <w:pPr>
              <w:pStyle w:val="Compact"/>
            </w:pPr>
            <w:r>
              <w:t xml:space="preserve">STK-006</w:t>
            </w:r>
          </w:p>
        </w:tc>
      </w:tr>
      <w:tr>
        <w:tc>
          <w:tcPr/>
          <w:p>
            <w:pPr>
              <w:pStyle w:val="Compact"/>
            </w:pPr>
            <w:r>
              <w:rPr>
                <w:b/>
                <w:bCs/>
              </w:rPr>
              <w:t xml:space="preserve">FR-SAL-004</w:t>
            </w:r>
          </w:p>
        </w:tc>
        <w:tc>
          <w:tcPr/>
          <w:p>
            <w:pPr>
              <w:pStyle w:val="Compact"/>
            </w:pPr>
            <w:r>
              <w:t xml:space="preserve">BG-002</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FR-SAL-005</w:t>
            </w:r>
          </w:p>
        </w:tc>
        <w:tc>
          <w:tcPr/>
          <w:p>
            <w:pPr>
              <w:pStyle w:val="Compact"/>
            </w:pPr>
            <w:r>
              <w:t xml:space="preserve">BG-002</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FR-SAL-006</w:t>
            </w:r>
          </w:p>
        </w:tc>
        <w:tc>
          <w:tcPr/>
          <w:p>
            <w:pPr>
              <w:pStyle w:val="Compact"/>
            </w:pPr>
            <w:r>
              <w:t xml:space="preserve">BG-002</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FR-SAL-007</w:t>
            </w:r>
          </w:p>
        </w:tc>
        <w:tc>
          <w:tcPr/>
          <w:p>
            <w:pPr>
              <w:pStyle w:val="Compact"/>
            </w:pPr>
            <w:r>
              <w:t xml:space="preserve">BG-003</w:t>
            </w:r>
          </w:p>
        </w:tc>
        <w:tc>
          <w:tcPr/>
          <w:p>
            <w:pPr>
              <w:pStyle w:val="Compact"/>
            </w:pPr>
            <w:r>
              <w:t xml:space="preserve">BR-003</w:t>
            </w:r>
          </w:p>
        </w:tc>
        <w:tc>
          <w:tcPr/>
          <w:p>
            <w:pPr>
              <w:pStyle w:val="Compact"/>
            </w:pPr>
            <w:r>
              <w:t xml:space="preserve">DC-003</w:t>
            </w:r>
          </w:p>
        </w:tc>
        <w:tc>
          <w:tcPr/>
          <w:p>
            <w:pPr>
              <w:pStyle w:val="Compact"/>
            </w:pPr>
            <w:r>
              <w:t xml:space="preserve">STK-006</w:t>
            </w:r>
          </w:p>
        </w:tc>
      </w:tr>
      <w:tr>
        <w:tc>
          <w:tcPr/>
          <w:p>
            <w:pPr>
              <w:pStyle w:val="Compact"/>
            </w:pPr>
            <w:r>
              <w:rPr>
                <w:b/>
                <w:bCs/>
              </w:rPr>
              <w:t xml:space="preserve">FR-SAL-008</w:t>
            </w:r>
          </w:p>
        </w:tc>
        <w:tc>
          <w:tcPr/>
          <w:p>
            <w:pPr>
              <w:pStyle w:val="Compact"/>
            </w:pPr>
            <w:r>
              <w:t xml:space="preserve">BG-003</w:t>
            </w:r>
          </w:p>
        </w:tc>
        <w:tc>
          <w:tcPr/>
          <w:p>
            <w:pPr>
              <w:pStyle w:val="Compact"/>
            </w:pPr>
            <w:r>
              <w:t xml:space="preserve">BR-003</w:t>
            </w:r>
          </w:p>
        </w:tc>
        <w:tc>
          <w:tcPr/>
          <w:p>
            <w:pPr>
              <w:pStyle w:val="Compact"/>
            </w:pPr>
            <w:r>
              <w:t xml:space="preserve">DC-003</w:t>
            </w:r>
          </w:p>
        </w:tc>
        <w:tc>
          <w:tcPr/>
          <w:p>
            <w:pPr>
              <w:pStyle w:val="Compact"/>
            </w:pPr>
            <w:r>
              <w:t xml:space="preserve">STK-006</w:t>
            </w:r>
          </w:p>
        </w:tc>
      </w:tr>
      <w:tr>
        <w:tc>
          <w:tcPr/>
          <w:p>
            <w:pPr>
              <w:pStyle w:val="Compact"/>
            </w:pPr>
            <w:r>
              <w:rPr>
                <w:b/>
                <w:bCs/>
              </w:rPr>
              <w:t xml:space="preserve">FR-SAL-009</w:t>
            </w:r>
          </w:p>
        </w:tc>
        <w:tc>
          <w:tcPr/>
          <w:p>
            <w:pPr>
              <w:pStyle w:val="Compact"/>
            </w:pPr>
            <w:r>
              <w:t xml:space="preserve">BG-001</w:t>
            </w:r>
          </w:p>
        </w:tc>
        <w:tc>
          <w:tcPr/>
          <w:p>
            <w:pPr>
              <w:pStyle w:val="Compact"/>
            </w:pPr>
            <w:r>
              <w:t xml:space="preserve">BR-003, BR-007, BR-009</w:t>
            </w:r>
          </w:p>
        </w:tc>
        <w:tc>
          <w:tcPr/>
          <w:p>
            <w:pPr>
              <w:pStyle w:val="Compact"/>
            </w:pPr>
            <w:r>
              <w:t xml:space="preserve">DC-003</w:t>
            </w:r>
          </w:p>
        </w:tc>
        <w:tc>
          <w:tcPr/>
          <w:p>
            <w:pPr>
              <w:pStyle w:val="Compact"/>
            </w:pPr>
            <w:r>
              <w:t xml:space="preserve">STK-002, STK-006</w:t>
            </w:r>
          </w:p>
        </w:tc>
      </w:tr>
      <w:tr>
        <w:tc>
          <w:tcPr/>
          <w:p>
            <w:pPr>
              <w:pStyle w:val="Compact"/>
            </w:pPr>
            <w:r>
              <w:rPr>
                <w:b/>
                <w:bCs/>
              </w:rPr>
              <w:t xml:space="preserve">FR-SAL-010</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STK-002</w:t>
            </w:r>
          </w:p>
        </w:tc>
      </w:tr>
      <w:tr>
        <w:tc>
          <w:tcPr/>
          <w:p>
            <w:pPr>
              <w:pStyle w:val="Compact"/>
            </w:pPr>
            <w:r>
              <w:rPr>
                <w:b/>
                <w:bCs/>
              </w:rPr>
              <w:t xml:space="preserve">FR-SAL-011</w:t>
            </w:r>
          </w:p>
        </w:tc>
        <w:tc>
          <w:tcPr/>
          <w:p>
            <w:pPr>
              <w:pStyle w:val="Compact"/>
            </w:pPr>
            <w:r>
              <w:t xml:space="preserve">BG-002</w:t>
            </w:r>
          </w:p>
        </w:tc>
        <w:tc>
          <w:tcPr/>
          <w:p>
            <w:pPr>
              <w:pStyle w:val="Compact"/>
            </w:pPr>
            <w:r>
              <w:t xml:space="preserve">-</w:t>
            </w:r>
          </w:p>
        </w:tc>
        <w:tc>
          <w:tcPr/>
          <w:p>
            <w:pPr>
              <w:pStyle w:val="Compact"/>
            </w:pPr>
            <w:r>
              <w:t xml:space="preserve">DC-003</w:t>
            </w:r>
          </w:p>
        </w:tc>
        <w:tc>
          <w:tcPr/>
          <w:p>
            <w:pPr>
              <w:pStyle w:val="Compact"/>
            </w:pPr>
            <w:r>
              <w:t xml:space="preserve">STK-022 (URA)</w:t>
            </w:r>
          </w:p>
        </w:tc>
      </w:tr>
      <w:tr>
        <w:tc>
          <w:tcPr/>
          <w:p>
            <w:pPr>
              <w:pStyle w:val="Compact"/>
            </w:pPr>
            <w:r>
              <w:rPr>
                <w:b/>
                <w:bCs/>
              </w:rPr>
              <w:t xml:space="preserve">FR-SAL-012</w:t>
            </w:r>
          </w:p>
        </w:tc>
        <w:tc>
          <w:tcPr/>
          <w:p>
            <w:pPr>
              <w:pStyle w:val="Compact"/>
            </w:pPr>
            <w:r>
              <w:t xml:space="preserve">BG-002</w:t>
            </w:r>
          </w:p>
        </w:tc>
        <w:tc>
          <w:tcPr/>
          <w:p>
            <w:pPr>
              <w:pStyle w:val="Compact"/>
            </w:pPr>
            <w:r>
              <w:t xml:space="preserve">-</w:t>
            </w:r>
          </w:p>
        </w:tc>
        <w:tc>
          <w:tcPr/>
          <w:p>
            <w:pPr>
              <w:pStyle w:val="Compact"/>
            </w:pPr>
            <w:r>
              <w:t xml:space="preserve">DC-003</w:t>
            </w:r>
          </w:p>
        </w:tc>
        <w:tc>
          <w:tcPr/>
          <w:p>
            <w:pPr>
              <w:pStyle w:val="Compact"/>
            </w:pPr>
            <w:r>
              <w:t xml:space="preserve">STK-002</w:t>
            </w:r>
          </w:p>
        </w:tc>
      </w:tr>
      <w:tr>
        <w:tc>
          <w:tcPr/>
          <w:p>
            <w:pPr>
              <w:pStyle w:val="Compact"/>
            </w:pPr>
            <w:r>
              <w:rPr>
                <w:b/>
                <w:bCs/>
              </w:rPr>
              <w:t xml:space="preserve">FR-SAL-013</w:t>
            </w:r>
          </w:p>
        </w:tc>
        <w:tc>
          <w:tcPr/>
          <w:p>
            <w:pPr>
              <w:pStyle w:val="Compact"/>
            </w:pPr>
            <w:r>
              <w:t xml:space="preserve">BG-001, BG-002</w:t>
            </w:r>
          </w:p>
        </w:tc>
        <w:tc>
          <w:tcPr/>
          <w:p>
            <w:pPr>
              <w:pStyle w:val="Compact"/>
            </w:pPr>
            <w:r>
              <w:t xml:space="preserve">BR-013</w:t>
            </w:r>
          </w:p>
        </w:tc>
        <w:tc>
          <w:tcPr/>
          <w:p>
            <w:pPr>
              <w:pStyle w:val="Compact"/>
            </w:pPr>
            <w:r>
              <w:t xml:space="preserve">DC-003</w:t>
            </w:r>
          </w:p>
        </w:tc>
        <w:tc>
          <w:tcPr/>
          <w:p>
            <w:pPr>
              <w:pStyle w:val="Compact"/>
            </w:pPr>
            <w:r>
              <w:t xml:space="preserve">STK-002</w:t>
            </w:r>
          </w:p>
        </w:tc>
      </w:tr>
      <w:tr>
        <w:tc>
          <w:tcPr/>
          <w:p>
            <w:pPr>
              <w:pStyle w:val="Compact"/>
            </w:pPr>
            <w:r>
              <w:rPr>
                <w:b/>
                <w:bCs/>
              </w:rPr>
              <w:t xml:space="preserve">FR-SAL-014</w:t>
            </w:r>
          </w:p>
        </w:tc>
        <w:tc>
          <w:tcPr/>
          <w:p>
            <w:pPr>
              <w:pStyle w:val="Compact"/>
            </w:pPr>
            <w:r>
              <w:t xml:space="preserve">BG-001, BG-002</w:t>
            </w:r>
          </w:p>
        </w:tc>
        <w:tc>
          <w:tcPr/>
          <w:p>
            <w:pPr>
              <w:pStyle w:val="Compact"/>
            </w:pPr>
            <w:r>
              <w:t xml:space="preserve">BR-007</w:t>
            </w:r>
          </w:p>
        </w:tc>
        <w:tc>
          <w:tcPr/>
          <w:p>
            <w:pPr>
              <w:pStyle w:val="Compact"/>
            </w:pPr>
            <w:r>
              <w:t xml:space="preserve">DC-003</w:t>
            </w:r>
          </w:p>
        </w:tc>
        <w:tc>
          <w:tcPr/>
          <w:p>
            <w:pPr>
              <w:pStyle w:val="Compact"/>
            </w:pPr>
            <w:r>
              <w:t xml:space="preserve">STK-002</w:t>
            </w:r>
          </w:p>
        </w:tc>
      </w:tr>
      <w:tr>
        <w:tc>
          <w:tcPr/>
          <w:p>
            <w:pPr>
              <w:pStyle w:val="Compact"/>
            </w:pPr>
            <w:r>
              <w:rPr>
                <w:b/>
                <w:bCs/>
              </w:rPr>
              <w:t xml:space="preserve">FR-SAL-015</w:t>
            </w:r>
          </w:p>
        </w:tc>
        <w:tc>
          <w:tcPr/>
          <w:p>
            <w:pPr>
              <w:pStyle w:val="Compact"/>
            </w:pPr>
            <w:r>
              <w:t xml:space="preserve">BG-002</w:t>
            </w:r>
          </w:p>
        </w:tc>
        <w:tc>
          <w:tcPr/>
          <w:p>
            <w:pPr>
              <w:pStyle w:val="Compact"/>
            </w:pPr>
            <w:r>
              <w:t xml:space="preserve">-</w:t>
            </w:r>
          </w:p>
        </w:tc>
        <w:tc>
          <w:tcPr/>
          <w:p>
            <w:pPr>
              <w:pStyle w:val="Compact"/>
            </w:pPr>
            <w:r>
              <w:t xml:space="preserve">DC-003</w:t>
            </w:r>
          </w:p>
        </w:tc>
        <w:tc>
          <w:tcPr/>
          <w:p>
            <w:pPr>
              <w:pStyle w:val="Compact"/>
            </w:pPr>
            <w:r>
              <w:t xml:space="preserve">STK-022</w:t>
            </w:r>
          </w:p>
        </w:tc>
      </w:tr>
      <w:tr>
        <w:tc>
          <w:tcPr/>
          <w:p>
            <w:pPr>
              <w:pStyle w:val="Compact"/>
            </w:pPr>
            <w:r>
              <w:rPr>
                <w:b/>
                <w:bCs/>
              </w:rPr>
              <w:t xml:space="preserve">FR-SAL-016</w:t>
            </w:r>
          </w:p>
        </w:tc>
        <w:tc>
          <w:tcPr/>
          <w:p>
            <w:pPr>
              <w:pStyle w:val="Compact"/>
            </w:pPr>
            <w:r>
              <w:t xml:space="preserve">BG-001</w:t>
            </w:r>
          </w:p>
        </w:tc>
        <w:tc>
          <w:tcPr/>
          <w:p>
            <w:pPr>
              <w:pStyle w:val="Compact"/>
            </w:pPr>
            <w:r>
              <w:t xml:space="preserve">BR-009</w:t>
            </w:r>
          </w:p>
        </w:tc>
        <w:tc>
          <w:tcPr/>
          <w:p>
            <w:pPr>
              <w:pStyle w:val="Compact"/>
            </w:pPr>
            <w:r>
              <w:t xml:space="preserve">DC-003</w:t>
            </w:r>
          </w:p>
        </w:tc>
        <w:tc>
          <w:tcPr/>
          <w:p>
            <w:pPr>
              <w:pStyle w:val="Compact"/>
            </w:pPr>
            <w:r>
              <w:t xml:space="preserve">STK-002</w:t>
            </w:r>
          </w:p>
        </w:tc>
      </w:tr>
      <w:tr>
        <w:tc>
          <w:tcPr/>
          <w:p>
            <w:pPr>
              <w:pStyle w:val="Compact"/>
            </w:pPr>
            <w:r>
              <w:rPr>
                <w:b/>
                <w:bCs/>
              </w:rPr>
              <w:t xml:space="preserve">FR-SAL-017</w:t>
            </w:r>
          </w:p>
        </w:tc>
        <w:tc>
          <w:tcPr/>
          <w:p>
            <w:pPr>
              <w:pStyle w:val="Compact"/>
            </w:pPr>
            <w:r>
              <w:t xml:space="preserve">BG-001</w:t>
            </w:r>
          </w:p>
        </w:tc>
        <w:tc>
          <w:tcPr/>
          <w:p>
            <w:pPr>
              <w:pStyle w:val="Compact"/>
            </w:pPr>
            <w:r>
              <w:t xml:space="preserve">BR-003</w:t>
            </w:r>
          </w:p>
        </w:tc>
        <w:tc>
          <w:tcPr/>
          <w:p>
            <w:pPr>
              <w:pStyle w:val="Compact"/>
            </w:pPr>
            <w:r>
              <w:t xml:space="preserve">DC-003</w:t>
            </w:r>
          </w:p>
        </w:tc>
        <w:tc>
          <w:tcPr/>
          <w:p>
            <w:pPr>
              <w:pStyle w:val="Compact"/>
            </w:pPr>
            <w:r>
              <w:t xml:space="preserve">STK-006</w:t>
            </w:r>
          </w:p>
        </w:tc>
      </w:tr>
      <w:tr>
        <w:tc>
          <w:tcPr/>
          <w:p>
            <w:pPr>
              <w:pStyle w:val="Compact"/>
            </w:pPr>
            <w:r>
              <w:rPr>
                <w:b/>
                <w:bCs/>
              </w:rPr>
              <w:t xml:space="preserve">FR-SAL-018</w:t>
            </w:r>
          </w:p>
        </w:tc>
        <w:tc>
          <w:tcPr/>
          <w:p>
            <w:pPr>
              <w:pStyle w:val="Compact"/>
            </w:pPr>
            <w:r>
              <w:t xml:space="preserve">BG-001</w:t>
            </w:r>
          </w:p>
        </w:tc>
        <w:tc>
          <w:tcPr/>
          <w:p>
            <w:pPr>
              <w:pStyle w:val="Compact"/>
            </w:pPr>
            <w:r>
              <w:t xml:space="preserve">BR-013</w:t>
            </w:r>
          </w:p>
        </w:tc>
        <w:tc>
          <w:tcPr/>
          <w:p>
            <w:pPr>
              <w:pStyle w:val="Compact"/>
            </w:pPr>
            <w:r>
              <w:t xml:space="preserve">DC-003</w:t>
            </w:r>
          </w:p>
        </w:tc>
        <w:tc>
          <w:tcPr/>
          <w:p>
            <w:pPr>
              <w:pStyle w:val="Compact"/>
            </w:pPr>
            <w:r>
              <w:t xml:space="preserve">STK-002</w:t>
            </w:r>
          </w:p>
        </w:tc>
      </w:tr>
      <w:tr>
        <w:tc>
          <w:tcPr/>
          <w:p>
            <w:pPr>
              <w:pStyle w:val="Compact"/>
            </w:pPr>
            <w:r>
              <w:rPr>
                <w:b/>
                <w:bCs/>
              </w:rPr>
              <w:t xml:space="preserve">FR-SAL-019</w:t>
            </w:r>
          </w:p>
        </w:tc>
        <w:tc>
          <w:tcPr/>
          <w:p>
            <w:pPr>
              <w:pStyle w:val="Compact"/>
            </w:pPr>
            <w:r>
              <w:t xml:space="preserve">BG-001</w:t>
            </w:r>
          </w:p>
        </w:tc>
        <w:tc>
          <w:tcPr/>
          <w:p>
            <w:pPr>
              <w:pStyle w:val="Compact"/>
            </w:pPr>
            <w:r>
              <w:t xml:space="preserve">BR-003</w:t>
            </w:r>
          </w:p>
        </w:tc>
        <w:tc>
          <w:tcPr/>
          <w:p>
            <w:pPr>
              <w:pStyle w:val="Compact"/>
            </w:pPr>
            <w:r>
              <w:t xml:space="preserve">DC-003</w:t>
            </w:r>
          </w:p>
        </w:tc>
        <w:tc>
          <w:tcPr/>
          <w:p>
            <w:pPr>
              <w:pStyle w:val="Compact"/>
            </w:pPr>
            <w:r>
              <w:t xml:space="preserve">STK-006</w:t>
            </w:r>
          </w:p>
        </w:tc>
      </w:tr>
      <w:tr>
        <w:tc>
          <w:tcPr/>
          <w:p>
            <w:pPr>
              <w:pStyle w:val="Compact"/>
            </w:pPr>
            <w:r>
              <w:rPr>
                <w:b/>
                <w:bCs/>
              </w:rPr>
              <w:t xml:space="preserve">FR-SAL-020</w:t>
            </w:r>
          </w:p>
        </w:tc>
        <w:tc>
          <w:tcPr/>
          <w:p>
            <w:pPr>
              <w:pStyle w:val="Compact"/>
            </w:pPr>
            <w:r>
              <w:t xml:space="preserve">BG-002</w:t>
            </w:r>
          </w:p>
        </w:tc>
        <w:tc>
          <w:tcPr/>
          <w:p>
            <w:pPr>
              <w:pStyle w:val="Compact"/>
            </w:pPr>
            <w:r>
              <w:t xml:space="preserve">-</w:t>
            </w:r>
          </w:p>
        </w:tc>
        <w:tc>
          <w:tcPr/>
          <w:p>
            <w:pPr>
              <w:pStyle w:val="Compact"/>
            </w:pPr>
            <w:r>
              <w:t xml:space="preserve">DC-003</w:t>
            </w:r>
          </w:p>
        </w:tc>
        <w:tc>
          <w:tcPr/>
          <w:p>
            <w:pPr>
              <w:pStyle w:val="Compact"/>
            </w:pPr>
            <w:r>
              <w:t xml:space="preserve">STK-022</w:t>
            </w:r>
          </w:p>
        </w:tc>
      </w:tr>
      <w:tr>
        <w:tc>
          <w:tcPr/>
          <w:p>
            <w:pPr>
              <w:pStyle w:val="Compact"/>
            </w:pPr>
            <w:r>
              <w:rPr>
                <w:b/>
                <w:bCs/>
              </w:rPr>
              <w:t xml:space="preserve">FR-SAL-021</w:t>
            </w:r>
          </w:p>
        </w:tc>
        <w:tc>
          <w:tcPr/>
          <w:p>
            <w:pPr>
              <w:pStyle w:val="Compact"/>
            </w:pPr>
            <w:r>
              <w:t xml:space="preserve">BG-003</w:t>
            </w:r>
          </w:p>
        </w:tc>
        <w:tc>
          <w:tcPr/>
          <w:p>
            <w:pPr>
              <w:pStyle w:val="Compact"/>
            </w:pPr>
            <w:r>
              <w:t xml:space="preserve">-</w:t>
            </w:r>
          </w:p>
        </w:tc>
        <w:tc>
          <w:tcPr/>
          <w:p>
            <w:pPr>
              <w:pStyle w:val="Compact"/>
            </w:pPr>
            <w:r>
              <w:t xml:space="preserve">DC-003</w:t>
            </w:r>
          </w:p>
        </w:tc>
        <w:tc>
          <w:tcPr/>
          <w:p>
            <w:pPr>
              <w:pStyle w:val="Compact"/>
            </w:pPr>
            <w:r>
              <w:t xml:space="preserve">STK-006</w:t>
            </w:r>
          </w:p>
        </w:tc>
      </w:tr>
      <w:tr>
        <w:tc>
          <w:tcPr/>
          <w:p>
            <w:pPr>
              <w:pStyle w:val="Compact"/>
            </w:pPr>
            <w:r>
              <w:rPr>
                <w:b/>
                <w:bCs/>
              </w:rPr>
              <w:t xml:space="preserve">FR-SAL-022</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FR-SAL-023</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FR-SAL-024</w:t>
            </w:r>
          </w:p>
        </w:tc>
        <w:tc>
          <w:tcPr/>
          <w:p>
            <w:pPr>
              <w:pStyle w:val="Compact"/>
            </w:pPr>
            <w:r>
              <w:t xml:space="preserve">BG-003</w:t>
            </w:r>
          </w:p>
        </w:tc>
        <w:tc>
          <w:tcPr/>
          <w:p>
            <w:pPr>
              <w:pStyle w:val="Compact"/>
            </w:pPr>
            <w:r>
              <w:t xml:space="preserve">-</w:t>
            </w:r>
          </w:p>
        </w:tc>
        <w:tc>
          <w:tcPr/>
          <w:p>
            <w:pPr>
              <w:pStyle w:val="Compact"/>
            </w:pPr>
            <w:r>
              <w:t xml:space="preserve">DC-001</w:t>
            </w:r>
          </w:p>
        </w:tc>
        <w:tc>
          <w:tcPr/>
          <w:p>
            <w:pPr>
              <w:pStyle w:val="Compact"/>
            </w:pPr>
            <w:r>
              <w:t xml:space="preserve">STK-001, STK-006</w:t>
            </w:r>
          </w:p>
        </w:tc>
      </w:tr>
      <w:tr>
        <w:tc>
          <w:tcPr/>
          <w:p>
            <w:pPr>
              <w:pStyle w:val="Compact"/>
            </w:pPr>
            <w:r>
              <w:rPr>
                <w:b/>
                <w:bCs/>
              </w:rPr>
              <w:t xml:space="preserve">FR-SAL-025</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STK-001, STK-006</w:t>
            </w:r>
          </w:p>
        </w:tc>
      </w:tr>
      <w:tr>
        <w:tc>
          <w:tcPr/>
          <w:p>
            <w:pPr>
              <w:pStyle w:val="Compact"/>
            </w:pPr>
            <w:r>
              <w:rPr>
                <w:b/>
                <w:bCs/>
              </w:rPr>
              <w:t xml:space="preserve">FR-SAL-026</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STK-006</w:t>
            </w:r>
          </w:p>
        </w:tc>
      </w:tr>
      <w:tr>
        <w:tc>
          <w:tcPr/>
          <w:p>
            <w:pPr>
              <w:pStyle w:val="Compact"/>
            </w:pPr>
            <w:r>
              <w:rPr>
                <w:b/>
                <w:bCs/>
              </w:rPr>
              <w:t xml:space="preserve">FR-SAL-027</w:t>
            </w:r>
          </w:p>
        </w:tc>
        <w:tc>
          <w:tcPr/>
          <w:p>
            <w:pPr>
              <w:pStyle w:val="Compact"/>
            </w:pPr>
            <w:r>
              <w:t xml:space="preserve">BG-003</w:t>
            </w:r>
          </w:p>
        </w:tc>
        <w:tc>
          <w:tcPr/>
          <w:p>
            <w:pPr>
              <w:pStyle w:val="Compact"/>
            </w:pPr>
            <w:r>
              <w:t xml:space="preserve">BR-015</w:t>
            </w:r>
          </w:p>
        </w:tc>
        <w:tc>
          <w:tcPr/>
          <w:p>
            <w:pPr>
              <w:pStyle w:val="Compact"/>
            </w:pPr>
            <w:r>
              <w:t xml:space="preserve">DC-003</w:t>
            </w:r>
          </w:p>
        </w:tc>
        <w:tc>
          <w:tcPr/>
          <w:p>
            <w:pPr>
              <w:pStyle w:val="Compact"/>
            </w:pPr>
            <w:r>
              <w:t xml:space="preserve">STK-006</w:t>
            </w:r>
          </w:p>
        </w:tc>
      </w:tr>
      <w:tr>
        <w:tc>
          <w:tcPr/>
          <w:p>
            <w:pPr>
              <w:pStyle w:val="Compact"/>
            </w:pPr>
            <w:r>
              <w:rPr>
                <w:b/>
                <w:bCs/>
              </w:rPr>
              <w:t xml:space="preserve">FR-SAL-028</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STK-002</w:t>
            </w:r>
          </w:p>
        </w:tc>
      </w:tr>
      <w:tr>
        <w:tc>
          <w:tcPr/>
          <w:p>
            <w:pPr>
              <w:pStyle w:val="Compact"/>
            </w:pPr>
            <w:r>
              <w:rPr>
                <w:b/>
                <w:bCs/>
              </w:rPr>
              <w:t xml:space="preserve">FR-SAL-029</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STK-002</w:t>
            </w:r>
          </w:p>
        </w:tc>
      </w:tr>
      <w:tr>
        <w:tc>
          <w:tcPr/>
          <w:p>
            <w:pPr>
              <w:pStyle w:val="Compact"/>
            </w:pPr>
            <w:r>
              <w:rPr>
                <w:b/>
                <w:bCs/>
              </w:rPr>
              <w:t xml:space="preserve">FR-SAL-030</w:t>
            </w:r>
          </w:p>
        </w:tc>
        <w:tc>
          <w:tcPr/>
          <w:p>
            <w:pPr>
              <w:pStyle w:val="Compact"/>
            </w:pPr>
            <w:r>
              <w:t xml:space="preserve">BG-002</w:t>
            </w:r>
          </w:p>
        </w:tc>
        <w:tc>
          <w:tcPr/>
          <w:p>
            <w:pPr>
              <w:pStyle w:val="Compact"/>
            </w:pPr>
            <w:r>
              <w:t xml:space="preserve">-</w:t>
            </w:r>
          </w:p>
        </w:tc>
        <w:tc>
          <w:tcPr/>
          <w:p>
            <w:pPr>
              <w:pStyle w:val="Compact"/>
            </w:pPr>
            <w:r>
              <w:t xml:space="preserve">DC-003</w:t>
            </w:r>
          </w:p>
        </w:tc>
        <w:tc>
          <w:tcPr/>
          <w:p>
            <w:pPr>
              <w:pStyle w:val="Compact"/>
            </w:pPr>
            <w:r>
              <w:t xml:space="preserve">STK-006</w:t>
            </w:r>
          </w:p>
        </w:tc>
      </w:tr>
      <w:tr>
        <w:tc>
          <w:tcPr/>
          <w:p>
            <w:pPr>
              <w:pStyle w:val="Compact"/>
            </w:pPr>
            <w:r>
              <w:rPr>
                <w:b/>
                <w:bCs/>
              </w:rPr>
              <w:t xml:space="preserve">FR-SAL-031</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STK-018</w:t>
            </w:r>
          </w:p>
        </w:tc>
      </w:tr>
      <w:tr>
        <w:tc>
          <w:tcPr/>
          <w:p>
            <w:pPr>
              <w:pStyle w:val="Compact"/>
            </w:pPr>
            <w:r>
              <w:rPr>
                <w:b/>
                <w:bCs/>
              </w:rPr>
              <w:t xml:space="preserve">FR-SAL-032</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STK-002</w:t>
            </w:r>
          </w:p>
        </w:tc>
      </w:tr>
      <w:tr>
        <w:tc>
          <w:tcPr/>
          <w:p>
            <w:pPr>
              <w:pStyle w:val="Compact"/>
            </w:pPr>
            <w:r>
              <w:rPr>
                <w:b/>
                <w:bCs/>
              </w:rPr>
              <w:t xml:space="preserve">FR-SAL-033</w:t>
            </w:r>
          </w:p>
        </w:tc>
        <w:tc>
          <w:tcPr/>
          <w:p>
            <w:pPr>
              <w:pStyle w:val="Compact"/>
            </w:pPr>
            <w:r>
              <w:t xml:space="preserve">BG-002</w:t>
            </w:r>
          </w:p>
        </w:tc>
        <w:tc>
          <w:tcPr/>
          <w:p>
            <w:pPr>
              <w:pStyle w:val="Compact"/>
            </w:pPr>
            <w:r>
              <w:t xml:space="preserve">BR-013</w:t>
            </w:r>
          </w:p>
        </w:tc>
        <w:tc>
          <w:tcPr/>
          <w:p>
            <w:pPr>
              <w:pStyle w:val="Compact"/>
            </w:pPr>
            <w:r>
              <w:t xml:space="preserve">DC-003</w:t>
            </w:r>
          </w:p>
        </w:tc>
        <w:tc>
          <w:tcPr/>
          <w:p>
            <w:pPr>
              <w:pStyle w:val="Compact"/>
            </w:pPr>
            <w:r>
              <w:t xml:space="preserve">STK-022, STK-026</w:t>
            </w:r>
          </w:p>
        </w:tc>
      </w:tr>
      <w:tr>
        <w:tc>
          <w:tcPr/>
          <w:p>
            <w:pPr>
              <w:pStyle w:val="Compact"/>
            </w:pPr>
            <w:r>
              <w:rPr>
                <w:b/>
                <w:bCs/>
              </w:rPr>
              <w:t xml:space="preserve">FR-SAL-034</w:t>
            </w:r>
          </w:p>
        </w:tc>
        <w:tc>
          <w:tcPr/>
          <w:p>
            <w:pPr>
              <w:pStyle w:val="Compact"/>
            </w:pPr>
            <w:r>
              <w:t xml:space="preserve">BG-002</w:t>
            </w:r>
          </w:p>
        </w:tc>
        <w:tc>
          <w:tcPr/>
          <w:p>
            <w:pPr>
              <w:pStyle w:val="Compact"/>
            </w:pPr>
            <w:r>
              <w:t xml:space="preserve">BR-003</w:t>
            </w:r>
          </w:p>
        </w:tc>
        <w:tc>
          <w:tcPr/>
          <w:p>
            <w:pPr>
              <w:pStyle w:val="Compact"/>
            </w:pPr>
            <w:r>
              <w:t xml:space="preserve">DC-002</w:t>
            </w:r>
          </w:p>
        </w:tc>
        <w:tc>
          <w:tcPr/>
          <w:p>
            <w:pPr>
              <w:pStyle w:val="Compact"/>
            </w:pPr>
            <w:r>
              <w:t xml:space="preserve">STK-006</w:t>
            </w:r>
          </w:p>
        </w:tc>
      </w:tr>
      <w:tr>
        <w:tc>
          <w:tcPr/>
          <w:p>
            <w:pPr>
              <w:pStyle w:val="Compact"/>
            </w:pPr>
            <w:r>
              <w:rPr>
                <w:b/>
                <w:bCs/>
              </w:rPr>
              <w:t xml:space="preserve">FR-SAL-035</w:t>
            </w:r>
          </w:p>
        </w:tc>
        <w:tc>
          <w:tcPr/>
          <w:p>
            <w:pPr>
              <w:pStyle w:val="Compact"/>
            </w:pPr>
            <w:r>
              <w:t xml:space="preserve">BG-002</w:t>
            </w:r>
          </w:p>
        </w:tc>
        <w:tc>
          <w:tcPr/>
          <w:p>
            <w:pPr>
              <w:pStyle w:val="Compact"/>
            </w:pPr>
            <w:r>
              <w:t xml:space="preserve">-</w:t>
            </w:r>
          </w:p>
        </w:tc>
        <w:tc>
          <w:tcPr/>
          <w:p>
            <w:pPr>
              <w:pStyle w:val="Compact"/>
            </w:pPr>
            <w:r>
              <w:t xml:space="preserve">DC-002</w:t>
            </w:r>
          </w:p>
        </w:tc>
        <w:tc>
          <w:tcPr/>
          <w:p>
            <w:pPr>
              <w:pStyle w:val="Compact"/>
            </w:pPr>
            <w:r>
              <w:t xml:space="preserve">STK-024 (export)</w:t>
            </w:r>
          </w:p>
        </w:tc>
      </w:tr>
    </w:tbl>
    <w:bookmarkEnd w:id="65"/>
    <w:bookmarkStart w:id="66" w:name="X4fb8dd5d1ffde0fd62c893732e23b9746262e23"/>
    <w:p>
      <w:pPr>
        <w:pStyle w:val="Heading2"/>
      </w:pPr>
      <w:r>
        <w:t xml:space="preserve">6.3 Module F-002: Point of Sale —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Business Goal</w:t>
            </w:r>
          </w:p>
        </w:tc>
        <w:tc>
          <w:tcPr/>
          <w:p>
            <w:pPr>
              <w:pStyle w:val="Compact"/>
            </w:pPr>
            <w:r>
              <w:t xml:space="preserve">Business Rule</w:t>
            </w:r>
          </w:p>
        </w:tc>
        <w:tc>
          <w:tcPr/>
          <w:p>
            <w:pPr>
              <w:pStyle w:val="Compact"/>
            </w:pPr>
            <w:r>
              <w:t xml:space="preserve">Design Covenant</w:t>
            </w:r>
          </w:p>
        </w:tc>
        <w:tc>
          <w:tcPr/>
          <w:p>
            <w:pPr>
              <w:pStyle w:val="Compact"/>
            </w:pPr>
            <w:r>
              <w:t xml:space="preserve">Stakeholder</w:t>
            </w:r>
          </w:p>
        </w:tc>
      </w:tr>
      <w:tr>
        <w:tc>
          <w:tcPr/>
          <w:p>
            <w:pPr>
              <w:pStyle w:val="Compact"/>
            </w:pPr>
            <w:r>
              <w:rPr>
                <w:b/>
                <w:bCs/>
              </w:rPr>
              <w:t xml:space="preserve">FR-POS-001</w:t>
            </w:r>
          </w:p>
        </w:tc>
        <w:tc>
          <w:tcPr/>
          <w:p>
            <w:pPr>
              <w:pStyle w:val="Compact"/>
            </w:pPr>
            <w:r>
              <w:t xml:space="preserve">BG-001</w:t>
            </w:r>
          </w:p>
        </w:tc>
        <w:tc>
          <w:tcPr/>
          <w:p>
            <w:pPr>
              <w:pStyle w:val="Compact"/>
            </w:pPr>
            <w:r>
              <w:t xml:space="preserve">BR-007</w:t>
            </w:r>
          </w:p>
        </w:tc>
        <w:tc>
          <w:tcPr/>
          <w:p>
            <w:pPr>
              <w:pStyle w:val="Compact"/>
            </w:pPr>
            <w:r>
              <w:t xml:space="preserve">DC-003</w:t>
            </w:r>
          </w:p>
        </w:tc>
        <w:tc>
          <w:tcPr/>
          <w:p>
            <w:pPr>
              <w:pStyle w:val="Compact"/>
            </w:pPr>
            <w:r>
              <w:t xml:space="preserve">STK-019</w:t>
            </w:r>
          </w:p>
        </w:tc>
      </w:tr>
      <w:tr>
        <w:tc>
          <w:tcPr/>
          <w:p>
            <w:pPr>
              <w:pStyle w:val="Compact"/>
            </w:pPr>
            <w:r>
              <w:rPr>
                <w:b/>
                <w:bCs/>
              </w:rPr>
              <w:t xml:space="preserve">FR-POS-002</w:t>
            </w:r>
          </w:p>
        </w:tc>
        <w:tc>
          <w:tcPr/>
          <w:p>
            <w:pPr>
              <w:pStyle w:val="Compact"/>
            </w:pPr>
            <w:r>
              <w:t xml:space="preserve">BG-001</w:t>
            </w:r>
          </w:p>
        </w:tc>
        <w:tc>
          <w:tcPr/>
          <w:p>
            <w:pPr>
              <w:pStyle w:val="Compact"/>
            </w:pPr>
            <w:r>
              <w:t xml:space="preserve">BR-001, BR-007</w:t>
            </w:r>
          </w:p>
        </w:tc>
        <w:tc>
          <w:tcPr/>
          <w:p>
            <w:pPr>
              <w:pStyle w:val="Compact"/>
            </w:pPr>
            <w:r>
              <w:t xml:space="preserve">DC-001</w:t>
            </w:r>
          </w:p>
        </w:tc>
        <w:tc>
          <w:tcPr/>
          <w:p>
            <w:pPr>
              <w:pStyle w:val="Compact"/>
            </w:pPr>
            <w:r>
              <w:t xml:space="preserve">STK-019</w:t>
            </w:r>
          </w:p>
        </w:tc>
      </w:tr>
      <w:tr>
        <w:tc>
          <w:tcPr/>
          <w:p>
            <w:pPr>
              <w:pStyle w:val="Compact"/>
            </w:pPr>
            <w:r>
              <w:rPr>
                <w:b/>
                <w:bCs/>
              </w:rPr>
              <w:t xml:space="preserve">FR-POS-003</w:t>
            </w:r>
          </w:p>
        </w:tc>
        <w:tc>
          <w:tcPr/>
          <w:p>
            <w:pPr>
              <w:pStyle w:val="Compact"/>
            </w:pPr>
            <w:r>
              <w:t xml:space="preserve">BG-001</w:t>
            </w:r>
          </w:p>
        </w:tc>
        <w:tc>
          <w:tcPr/>
          <w:p>
            <w:pPr>
              <w:pStyle w:val="Compact"/>
            </w:pPr>
            <w:r>
              <w:t xml:space="preserve">-</w:t>
            </w:r>
          </w:p>
        </w:tc>
        <w:tc>
          <w:tcPr/>
          <w:p>
            <w:pPr>
              <w:pStyle w:val="Compact"/>
            </w:pPr>
            <w:r>
              <w:t xml:space="preserve">DC-001, DC-005</w:t>
            </w:r>
          </w:p>
        </w:tc>
        <w:tc>
          <w:tcPr/>
          <w:p>
            <w:pPr>
              <w:pStyle w:val="Compact"/>
            </w:pPr>
            <w:r>
              <w:t xml:space="preserve">STK-015, STK-019</w:t>
            </w:r>
          </w:p>
        </w:tc>
      </w:tr>
      <w:tr>
        <w:tc>
          <w:tcPr/>
          <w:p>
            <w:pPr>
              <w:pStyle w:val="Compact"/>
            </w:pPr>
            <w:r>
              <w:rPr>
                <w:b/>
                <w:bCs/>
              </w:rPr>
              <w:t xml:space="preserve">FR-POS-004</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STK-019</w:t>
            </w:r>
          </w:p>
        </w:tc>
      </w:tr>
      <w:tr>
        <w:tc>
          <w:tcPr/>
          <w:p>
            <w:pPr>
              <w:pStyle w:val="Compact"/>
            </w:pPr>
            <w:r>
              <w:rPr>
                <w:b/>
                <w:bCs/>
              </w:rPr>
              <w:t xml:space="preserve">FR-POS-005</w:t>
            </w:r>
          </w:p>
        </w:tc>
        <w:tc>
          <w:tcPr/>
          <w:p>
            <w:pPr>
              <w:pStyle w:val="Compact"/>
            </w:pPr>
            <w:r>
              <w:t xml:space="preserve">BG-001</w:t>
            </w:r>
          </w:p>
        </w:tc>
        <w:tc>
          <w:tcPr/>
          <w:p>
            <w:pPr>
              <w:pStyle w:val="Compact"/>
            </w:pPr>
            <w:r>
              <w:t xml:space="preserve">-</w:t>
            </w:r>
          </w:p>
        </w:tc>
        <w:tc>
          <w:tcPr/>
          <w:p>
            <w:pPr>
              <w:pStyle w:val="Compact"/>
            </w:pPr>
            <w:r>
              <w:t xml:space="preserve">DC-001, DC-005</w:t>
            </w:r>
          </w:p>
        </w:tc>
        <w:tc>
          <w:tcPr/>
          <w:p>
            <w:pPr>
              <w:pStyle w:val="Compact"/>
            </w:pPr>
            <w:r>
              <w:t xml:space="preserve">STK-015, STK-019</w:t>
            </w:r>
          </w:p>
        </w:tc>
      </w:tr>
      <w:tr>
        <w:tc>
          <w:tcPr/>
          <w:p>
            <w:pPr>
              <w:pStyle w:val="Compact"/>
            </w:pPr>
            <w:r>
              <w:rPr>
                <w:b/>
                <w:bCs/>
              </w:rPr>
              <w:t xml:space="preserve">FR-POS-006</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STK-019</w:t>
            </w:r>
          </w:p>
        </w:tc>
      </w:tr>
      <w:tr>
        <w:tc>
          <w:tcPr/>
          <w:p>
            <w:pPr>
              <w:pStyle w:val="Compact"/>
            </w:pPr>
            <w:r>
              <w:rPr>
                <w:b/>
                <w:bCs/>
              </w:rPr>
              <w:t xml:space="preserve">FR-POS-007</w:t>
            </w:r>
          </w:p>
        </w:tc>
        <w:tc>
          <w:tcPr/>
          <w:p>
            <w:pPr>
              <w:pStyle w:val="Compact"/>
            </w:pPr>
            <w:r>
              <w:t xml:space="preserve">BG-001</w:t>
            </w:r>
          </w:p>
        </w:tc>
        <w:tc>
          <w:tcPr/>
          <w:p>
            <w:pPr>
              <w:pStyle w:val="Compact"/>
            </w:pPr>
            <w:r>
              <w:t xml:space="preserve">-</w:t>
            </w:r>
          </w:p>
        </w:tc>
        <w:tc>
          <w:tcPr/>
          <w:p>
            <w:pPr>
              <w:pStyle w:val="Compact"/>
            </w:pPr>
            <w:r>
              <w:t xml:space="preserve">DC-001, DC-002</w:t>
            </w:r>
          </w:p>
        </w:tc>
        <w:tc>
          <w:tcPr/>
          <w:p>
            <w:pPr>
              <w:pStyle w:val="Compact"/>
            </w:pPr>
            <w:r>
              <w:t xml:space="preserve">STK-019</w:t>
            </w:r>
          </w:p>
        </w:tc>
      </w:tr>
      <w:tr>
        <w:tc>
          <w:tcPr/>
          <w:p>
            <w:pPr>
              <w:pStyle w:val="Compact"/>
            </w:pPr>
            <w:r>
              <w:rPr>
                <w:b/>
                <w:bCs/>
              </w:rPr>
              <w:t xml:space="preserve">FR-POS-008</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STK-019</w:t>
            </w:r>
          </w:p>
        </w:tc>
      </w:tr>
      <w:tr>
        <w:tc>
          <w:tcPr/>
          <w:p>
            <w:pPr>
              <w:pStyle w:val="Compact"/>
            </w:pPr>
            <w:r>
              <w:rPr>
                <w:b/>
                <w:bCs/>
              </w:rPr>
              <w:t xml:space="preserve">FR-POS-009</w:t>
            </w:r>
          </w:p>
        </w:tc>
        <w:tc>
          <w:tcPr/>
          <w:p>
            <w:pPr>
              <w:pStyle w:val="Compact"/>
            </w:pPr>
            <w:r>
              <w:t xml:space="preserve">BG-001</w:t>
            </w:r>
          </w:p>
        </w:tc>
        <w:tc>
          <w:tcPr/>
          <w:p>
            <w:pPr>
              <w:pStyle w:val="Compact"/>
            </w:pPr>
            <w:r>
              <w:t xml:space="preserve">-</w:t>
            </w:r>
          </w:p>
        </w:tc>
        <w:tc>
          <w:tcPr/>
          <w:p>
            <w:pPr>
              <w:pStyle w:val="Compact"/>
            </w:pPr>
            <w:r>
              <w:t xml:space="preserve">DC-005</w:t>
            </w:r>
          </w:p>
        </w:tc>
        <w:tc>
          <w:tcPr/>
          <w:p>
            <w:pPr>
              <w:pStyle w:val="Compact"/>
            </w:pPr>
            <w:r>
              <w:t xml:space="preserve">STK-015, STK-019</w:t>
            </w:r>
          </w:p>
        </w:tc>
      </w:tr>
      <w:tr>
        <w:tc>
          <w:tcPr/>
          <w:p>
            <w:pPr>
              <w:pStyle w:val="Compact"/>
            </w:pPr>
            <w:r>
              <w:rPr>
                <w:b/>
                <w:bCs/>
              </w:rPr>
              <w:t xml:space="preserve">FR-POS-010</w:t>
            </w:r>
          </w:p>
        </w:tc>
        <w:tc>
          <w:tcPr/>
          <w:p>
            <w:pPr>
              <w:pStyle w:val="Compact"/>
            </w:pPr>
            <w:r>
              <w:t xml:space="preserve">BG-001</w:t>
            </w:r>
          </w:p>
        </w:tc>
        <w:tc>
          <w:tcPr/>
          <w:p>
            <w:pPr>
              <w:pStyle w:val="Compact"/>
            </w:pPr>
            <w:r>
              <w:t xml:space="preserve">-</w:t>
            </w:r>
          </w:p>
        </w:tc>
        <w:tc>
          <w:tcPr/>
          <w:p>
            <w:pPr>
              <w:pStyle w:val="Compact"/>
            </w:pPr>
            <w:r>
              <w:t xml:space="preserve">DC-005</w:t>
            </w:r>
          </w:p>
        </w:tc>
        <w:tc>
          <w:tcPr/>
          <w:p>
            <w:pPr>
              <w:pStyle w:val="Compact"/>
            </w:pPr>
            <w:r>
              <w:t xml:space="preserve">STK-015, STK-019</w:t>
            </w:r>
          </w:p>
        </w:tc>
      </w:tr>
      <w:tr>
        <w:tc>
          <w:tcPr/>
          <w:p>
            <w:pPr>
              <w:pStyle w:val="Compact"/>
            </w:pPr>
            <w:r>
              <w:rPr>
                <w:b/>
                <w:bCs/>
              </w:rPr>
              <w:t xml:space="preserve">FR-POS-011</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STK-019</w:t>
            </w:r>
          </w:p>
        </w:tc>
      </w:tr>
      <w:tr>
        <w:tc>
          <w:tcPr/>
          <w:p>
            <w:pPr>
              <w:pStyle w:val="Compact"/>
            </w:pPr>
            <w:r>
              <w:rPr>
                <w:b/>
                <w:bCs/>
              </w:rPr>
              <w:t xml:space="preserve">FR-POS-012</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STK-019</w:t>
            </w:r>
          </w:p>
        </w:tc>
      </w:tr>
      <w:tr>
        <w:tc>
          <w:tcPr/>
          <w:p>
            <w:pPr>
              <w:pStyle w:val="Compact"/>
            </w:pPr>
            <w:r>
              <w:rPr>
                <w:b/>
                <w:bCs/>
              </w:rPr>
              <w:t xml:space="preserve">FR-POS-013</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STK-019</w:t>
            </w:r>
          </w:p>
        </w:tc>
      </w:tr>
      <w:tr>
        <w:tc>
          <w:tcPr/>
          <w:p>
            <w:pPr>
              <w:pStyle w:val="Compact"/>
            </w:pPr>
            <w:r>
              <w:rPr>
                <w:b/>
                <w:bCs/>
              </w:rPr>
              <w:t xml:space="preserve">FR-POS-014</w:t>
            </w:r>
          </w:p>
        </w:tc>
        <w:tc>
          <w:tcPr/>
          <w:p>
            <w:pPr>
              <w:pStyle w:val="Compact"/>
            </w:pPr>
            <w:r>
              <w:t xml:space="preserve">BG-002</w:t>
            </w:r>
          </w:p>
        </w:tc>
        <w:tc>
          <w:tcPr/>
          <w:p>
            <w:pPr>
              <w:pStyle w:val="Compact"/>
            </w:pPr>
            <w:r>
              <w:t xml:space="preserve">-</w:t>
            </w:r>
          </w:p>
        </w:tc>
        <w:tc>
          <w:tcPr/>
          <w:p>
            <w:pPr>
              <w:pStyle w:val="Compact"/>
            </w:pPr>
            <w:r>
              <w:t xml:space="preserve">DC-005</w:t>
            </w:r>
          </w:p>
        </w:tc>
        <w:tc>
          <w:tcPr/>
          <w:p>
            <w:pPr>
              <w:pStyle w:val="Compact"/>
            </w:pPr>
            <w:r>
              <w:t xml:space="preserve">STK-022</w:t>
            </w:r>
          </w:p>
        </w:tc>
      </w:tr>
      <w:tr>
        <w:tc>
          <w:tcPr/>
          <w:p>
            <w:pPr>
              <w:pStyle w:val="Compact"/>
            </w:pPr>
            <w:r>
              <w:rPr>
                <w:b/>
                <w:bCs/>
              </w:rPr>
              <w:t xml:space="preserve">FR-POS-015</w:t>
            </w:r>
          </w:p>
        </w:tc>
        <w:tc>
          <w:tcPr/>
          <w:p>
            <w:pPr>
              <w:pStyle w:val="Compact"/>
            </w:pPr>
            <w:r>
              <w:t xml:space="preserve">BG-002</w:t>
            </w:r>
          </w:p>
        </w:tc>
        <w:tc>
          <w:tcPr/>
          <w:p>
            <w:pPr>
              <w:pStyle w:val="Compact"/>
            </w:pPr>
            <w:r>
              <w:t xml:space="preserve">-</w:t>
            </w:r>
          </w:p>
        </w:tc>
        <w:tc>
          <w:tcPr/>
          <w:p>
            <w:pPr>
              <w:pStyle w:val="Compact"/>
            </w:pPr>
            <w:r>
              <w:t xml:space="preserve">DC-001</w:t>
            </w:r>
          </w:p>
        </w:tc>
        <w:tc>
          <w:tcPr/>
          <w:p>
            <w:pPr>
              <w:pStyle w:val="Compact"/>
            </w:pPr>
            <w:r>
              <w:t xml:space="preserve">STK-019, STK-022</w:t>
            </w:r>
          </w:p>
        </w:tc>
      </w:tr>
      <w:tr>
        <w:tc>
          <w:tcPr/>
          <w:p>
            <w:pPr>
              <w:pStyle w:val="Compact"/>
            </w:pPr>
            <w:r>
              <w:rPr>
                <w:b/>
                <w:bCs/>
              </w:rPr>
              <w:t xml:space="preserve">FR-POS-016</w:t>
            </w:r>
          </w:p>
        </w:tc>
        <w:tc>
          <w:tcPr/>
          <w:p>
            <w:pPr>
              <w:pStyle w:val="Compact"/>
            </w:pPr>
            <w:r>
              <w:t xml:space="preserve">BG-002</w:t>
            </w:r>
          </w:p>
        </w:tc>
        <w:tc>
          <w:tcPr/>
          <w:p>
            <w:pPr>
              <w:pStyle w:val="Compact"/>
            </w:pPr>
            <w:r>
              <w:t xml:space="preserve">-</w:t>
            </w:r>
          </w:p>
        </w:tc>
        <w:tc>
          <w:tcPr/>
          <w:p>
            <w:pPr>
              <w:pStyle w:val="Compact"/>
            </w:pPr>
            <w:r>
              <w:t xml:space="preserve">DC-001</w:t>
            </w:r>
          </w:p>
        </w:tc>
        <w:tc>
          <w:tcPr/>
          <w:p>
            <w:pPr>
              <w:pStyle w:val="Compact"/>
            </w:pPr>
            <w:r>
              <w:t xml:space="preserve">STK-019</w:t>
            </w:r>
          </w:p>
        </w:tc>
      </w:tr>
      <w:tr>
        <w:tc>
          <w:tcPr/>
          <w:p>
            <w:pPr>
              <w:pStyle w:val="Compact"/>
            </w:pPr>
            <w:r>
              <w:rPr>
                <w:b/>
                <w:bCs/>
              </w:rPr>
              <w:t xml:space="preserve">FR-POS-017</w:t>
            </w:r>
          </w:p>
        </w:tc>
        <w:tc>
          <w:tcPr/>
          <w:p>
            <w:pPr>
              <w:pStyle w:val="Compact"/>
            </w:pPr>
            <w:r>
              <w:t xml:space="preserve">BG-002</w:t>
            </w:r>
          </w:p>
        </w:tc>
        <w:tc>
          <w:tcPr/>
          <w:p>
            <w:pPr>
              <w:pStyle w:val="Compact"/>
            </w:pPr>
            <w:r>
              <w:t xml:space="preserve">-</w:t>
            </w:r>
          </w:p>
        </w:tc>
        <w:tc>
          <w:tcPr/>
          <w:p>
            <w:pPr>
              <w:pStyle w:val="Compact"/>
            </w:pPr>
            <w:r>
              <w:t xml:space="preserve">DC-001</w:t>
            </w:r>
          </w:p>
        </w:tc>
        <w:tc>
          <w:tcPr/>
          <w:p>
            <w:pPr>
              <w:pStyle w:val="Compact"/>
            </w:pPr>
            <w:r>
              <w:t xml:space="preserve">STK-019</w:t>
            </w:r>
          </w:p>
        </w:tc>
      </w:tr>
      <w:tr>
        <w:tc>
          <w:tcPr/>
          <w:p>
            <w:pPr>
              <w:pStyle w:val="Compact"/>
            </w:pPr>
            <w:r>
              <w:rPr>
                <w:b/>
                <w:bCs/>
              </w:rPr>
              <w:t xml:space="preserve">FR-POS-018</w:t>
            </w:r>
          </w:p>
        </w:tc>
        <w:tc>
          <w:tcPr/>
          <w:p>
            <w:pPr>
              <w:pStyle w:val="Compact"/>
            </w:pPr>
            <w:r>
              <w:t xml:space="preserve">BG-001</w:t>
            </w:r>
          </w:p>
        </w:tc>
        <w:tc>
          <w:tcPr/>
          <w:p>
            <w:pPr>
              <w:pStyle w:val="Compact"/>
            </w:pPr>
            <w:r>
              <w:t xml:space="preserve">BR-013</w:t>
            </w:r>
          </w:p>
        </w:tc>
        <w:tc>
          <w:tcPr/>
          <w:p>
            <w:pPr>
              <w:pStyle w:val="Compact"/>
            </w:pPr>
            <w:r>
              <w:t xml:space="preserve">DC-003</w:t>
            </w:r>
          </w:p>
        </w:tc>
        <w:tc>
          <w:tcPr/>
          <w:p>
            <w:pPr>
              <w:pStyle w:val="Compact"/>
            </w:pPr>
            <w:r>
              <w:t xml:space="preserve">STK-002</w:t>
            </w:r>
          </w:p>
        </w:tc>
      </w:tr>
      <w:tr>
        <w:tc>
          <w:tcPr/>
          <w:p>
            <w:pPr>
              <w:pStyle w:val="Compact"/>
            </w:pPr>
            <w:r>
              <w:rPr>
                <w:b/>
                <w:bCs/>
              </w:rPr>
              <w:t xml:space="preserve">FR-POS-019</w:t>
            </w:r>
          </w:p>
        </w:tc>
        <w:tc>
          <w:tcPr/>
          <w:p>
            <w:pPr>
              <w:pStyle w:val="Compact"/>
            </w:pPr>
            <w:r>
              <w:t xml:space="preserve">BG-001</w:t>
            </w:r>
          </w:p>
        </w:tc>
        <w:tc>
          <w:tcPr/>
          <w:p>
            <w:pPr>
              <w:pStyle w:val="Compact"/>
            </w:pPr>
            <w:r>
              <w:t xml:space="preserve">BR-007</w:t>
            </w:r>
          </w:p>
        </w:tc>
        <w:tc>
          <w:tcPr/>
          <w:p>
            <w:pPr>
              <w:pStyle w:val="Compact"/>
            </w:pPr>
            <w:r>
              <w:t xml:space="preserve">DC-003</w:t>
            </w:r>
          </w:p>
        </w:tc>
        <w:tc>
          <w:tcPr/>
          <w:p>
            <w:pPr>
              <w:pStyle w:val="Compact"/>
            </w:pPr>
            <w:r>
              <w:t xml:space="preserve">STK-008</w:t>
            </w:r>
          </w:p>
        </w:tc>
      </w:tr>
      <w:tr>
        <w:tc>
          <w:tcPr/>
          <w:p>
            <w:pPr>
              <w:pStyle w:val="Compact"/>
            </w:pPr>
            <w:r>
              <w:rPr>
                <w:b/>
                <w:bCs/>
              </w:rPr>
              <w:t xml:space="preserve">FR-POS-020</w:t>
            </w:r>
          </w:p>
        </w:tc>
        <w:tc>
          <w:tcPr/>
          <w:p>
            <w:pPr>
              <w:pStyle w:val="Compact"/>
            </w:pPr>
            <w:r>
              <w:t xml:space="preserve">BG-001</w:t>
            </w:r>
          </w:p>
        </w:tc>
        <w:tc>
          <w:tcPr/>
          <w:p>
            <w:pPr>
              <w:pStyle w:val="Compact"/>
            </w:pPr>
            <w:r>
              <w:t xml:space="preserve">BR-001</w:t>
            </w:r>
          </w:p>
        </w:tc>
        <w:tc>
          <w:tcPr/>
          <w:p>
            <w:pPr>
              <w:pStyle w:val="Compact"/>
            </w:pPr>
            <w:r>
              <w:t xml:space="preserve">DC-001</w:t>
            </w:r>
          </w:p>
        </w:tc>
        <w:tc>
          <w:tcPr/>
          <w:p>
            <w:pPr>
              <w:pStyle w:val="Compact"/>
            </w:pPr>
            <w:r>
              <w:t xml:space="preserve">STK-008, STK-019</w:t>
            </w:r>
          </w:p>
        </w:tc>
      </w:tr>
      <w:tr>
        <w:tc>
          <w:tcPr/>
          <w:p>
            <w:pPr>
              <w:pStyle w:val="Compact"/>
            </w:pPr>
            <w:r>
              <w:rPr>
                <w:b/>
                <w:bCs/>
              </w:rPr>
              <w:t xml:space="preserve">FR-POS-021</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STK-019, STK-006</w:t>
            </w:r>
          </w:p>
        </w:tc>
      </w:tr>
      <w:tr>
        <w:tc>
          <w:tcPr/>
          <w:p>
            <w:pPr>
              <w:pStyle w:val="Compact"/>
            </w:pPr>
            <w:r>
              <w:rPr>
                <w:b/>
                <w:bCs/>
              </w:rPr>
              <w:t xml:space="preserve">FR-POS-022</w:t>
            </w:r>
          </w:p>
        </w:tc>
        <w:tc>
          <w:tcPr/>
          <w:p>
            <w:pPr>
              <w:pStyle w:val="Compact"/>
            </w:pPr>
            <w:r>
              <w:t xml:space="preserve">BG-001</w:t>
            </w:r>
          </w:p>
        </w:tc>
        <w:tc>
          <w:tcPr/>
          <w:p>
            <w:pPr>
              <w:pStyle w:val="Compact"/>
            </w:pPr>
            <w:r>
              <w:t xml:space="preserve">-</w:t>
            </w:r>
          </w:p>
        </w:tc>
        <w:tc>
          <w:tcPr/>
          <w:p>
            <w:pPr>
              <w:pStyle w:val="Compact"/>
            </w:pPr>
            <w:r>
              <w:t xml:space="preserve">DC-002, DC-003</w:t>
            </w:r>
          </w:p>
        </w:tc>
        <w:tc>
          <w:tcPr/>
          <w:p>
            <w:pPr>
              <w:pStyle w:val="Compact"/>
            </w:pPr>
            <w:r>
              <w:t xml:space="preserve">STK-006</w:t>
            </w:r>
          </w:p>
        </w:tc>
      </w:tr>
      <w:tr>
        <w:tc>
          <w:tcPr/>
          <w:p>
            <w:pPr>
              <w:pStyle w:val="Compact"/>
            </w:pPr>
            <w:r>
              <w:rPr>
                <w:b/>
                <w:bCs/>
              </w:rPr>
              <w:t xml:space="preserve">FR-POS-023</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STK-002, STK-006</w:t>
            </w:r>
          </w:p>
        </w:tc>
      </w:tr>
      <w:tr>
        <w:tc>
          <w:tcPr/>
          <w:p>
            <w:pPr>
              <w:pStyle w:val="Compact"/>
            </w:pPr>
            <w:r>
              <w:rPr>
                <w:b/>
                <w:bCs/>
              </w:rPr>
              <w:t xml:space="preserve">FR-POS-024</w:t>
            </w:r>
          </w:p>
        </w:tc>
        <w:tc>
          <w:tcPr/>
          <w:p>
            <w:pPr>
              <w:pStyle w:val="Compact"/>
            </w:pPr>
            <w:r>
              <w:t xml:space="preserve">BG-003</w:t>
            </w:r>
          </w:p>
        </w:tc>
        <w:tc>
          <w:tcPr/>
          <w:p>
            <w:pPr>
              <w:pStyle w:val="Compact"/>
            </w:pPr>
            <w:r>
              <w:t xml:space="preserve">BR-001</w:t>
            </w:r>
          </w:p>
        </w:tc>
        <w:tc>
          <w:tcPr/>
          <w:p>
            <w:pPr>
              <w:pStyle w:val="Compact"/>
            </w:pPr>
            <w:r>
              <w:t xml:space="preserve">DC-005</w:t>
            </w:r>
          </w:p>
        </w:tc>
        <w:tc>
          <w:tcPr/>
          <w:p>
            <w:pPr>
              <w:pStyle w:val="Compact"/>
            </w:pPr>
            <w:r>
              <w:t xml:space="preserve">STK-015</w:t>
            </w:r>
          </w:p>
        </w:tc>
      </w:tr>
      <w:tr>
        <w:tc>
          <w:tcPr/>
          <w:p>
            <w:pPr>
              <w:pStyle w:val="Compact"/>
            </w:pPr>
            <w:r>
              <w:rPr>
                <w:b/>
                <w:bCs/>
              </w:rPr>
              <w:t xml:space="preserve">FR-POS-025</w:t>
            </w:r>
          </w:p>
        </w:tc>
        <w:tc>
          <w:tcPr/>
          <w:p>
            <w:pPr>
              <w:pStyle w:val="Compact"/>
            </w:pPr>
            <w:r>
              <w:t xml:space="preserve">BG-001</w:t>
            </w:r>
          </w:p>
        </w:tc>
        <w:tc>
          <w:tcPr/>
          <w:p>
            <w:pPr>
              <w:pStyle w:val="Compact"/>
            </w:pPr>
            <w:r>
              <w:t xml:space="preserve">BR-009</w:t>
            </w:r>
          </w:p>
        </w:tc>
        <w:tc>
          <w:tcPr/>
          <w:p>
            <w:pPr>
              <w:pStyle w:val="Compact"/>
            </w:pPr>
            <w:r>
              <w:t xml:space="preserve">DC-005</w:t>
            </w:r>
          </w:p>
        </w:tc>
        <w:tc>
          <w:tcPr/>
          <w:p>
            <w:pPr>
              <w:pStyle w:val="Compact"/>
            </w:pPr>
            <w:r>
              <w:t xml:space="preserve">STK-015, STK-019</w:t>
            </w:r>
          </w:p>
        </w:tc>
      </w:tr>
      <w:tr>
        <w:tc>
          <w:tcPr/>
          <w:p>
            <w:pPr>
              <w:pStyle w:val="Compact"/>
            </w:pPr>
            <w:r>
              <w:rPr>
                <w:b/>
                <w:bCs/>
              </w:rPr>
              <w:t xml:space="preserve">FR-POS-026</w:t>
            </w:r>
          </w:p>
        </w:tc>
        <w:tc>
          <w:tcPr/>
          <w:p>
            <w:pPr>
              <w:pStyle w:val="Compact"/>
            </w:pPr>
            <w:r>
              <w:t xml:space="preserve">BG-001</w:t>
            </w:r>
          </w:p>
        </w:tc>
        <w:tc>
          <w:tcPr/>
          <w:p>
            <w:pPr>
              <w:pStyle w:val="Compact"/>
            </w:pPr>
            <w:r>
              <w:t xml:space="preserve">BR-009</w:t>
            </w:r>
          </w:p>
        </w:tc>
        <w:tc>
          <w:tcPr/>
          <w:p>
            <w:pPr>
              <w:pStyle w:val="Compact"/>
            </w:pPr>
            <w:r>
              <w:t xml:space="preserve">DC-005</w:t>
            </w:r>
          </w:p>
        </w:tc>
        <w:tc>
          <w:tcPr/>
          <w:p>
            <w:pPr>
              <w:pStyle w:val="Compact"/>
            </w:pPr>
            <w:r>
              <w:t xml:space="preserve">STK-015</w:t>
            </w:r>
          </w:p>
        </w:tc>
      </w:tr>
      <w:tr>
        <w:tc>
          <w:tcPr/>
          <w:p>
            <w:pPr>
              <w:pStyle w:val="Compact"/>
            </w:pPr>
            <w:r>
              <w:rPr>
                <w:b/>
                <w:bCs/>
              </w:rPr>
              <w:t xml:space="preserve">FR-POS-027</w:t>
            </w:r>
          </w:p>
        </w:tc>
        <w:tc>
          <w:tcPr/>
          <w:p>
            <w:pPr>
              <w:pStyle w:val="Compact"/>
            </w:pPr>
            <w:r>
              <w:t xml:space="preserve">BG-001</w:t>
            </w:r>
          </w:p>
        </w:tc>
        <w:tc>
          <w:tcPr/>
          <w:p>
            <w:pPr>
              <w:pStyle w:val="Compact"/>
            </w:pPr>
            <w:r>
              <w:t xml:space="preserve">-</w:t>
            </w:r>
          </w:p>
        </w:tc>
        <w:tc>
          <w:tcPr/>
          <w:p>
            <w:pPr>
              <w:pStyle w:val="Compact"/>
            </w:pPr>
            <w:r>
              <w:t xml:space="preserve">DC-005</w:t>
            </w:r>
          </w:p>
        </w:tc>
        <w:tc>
          <w:tcPr/>
          <w:p>
            <w:pPr>
              <w:pStyle w:val="Compact"/>
            </w:pPr>
            <w:r>
              <w:t xml:space="preserve">STK-015</w:t>
            </w:r>
          </w:p>
        </w:tc>
      </w:tr>
      <w:tr>
        <w:tc>
          <w:tcPr/>
          <w:p>
            <w:pPr>
              <w:pStyle w:val="Compact"/>
            </w:pPr>
            <w:r>
              <w:rPr>
                <w:b/>
                <w:bCs/>
              </w:rPr>
              <w:t xml:space="preserve">FR-POS-028</w:t>
            </w:r>
          </w:p>
        </w:tc>
        <w:tc>
          <w:tcPr/>
          <w:p>
            <w:pPr>
              <w:pStyle w:val="Compact"/>
            </w:pPr>
            <w:r>
              <w:t xml:space="preserve">BG-001</w:t>
            </w:r>
          </w:p>
        </w:tc>
        <w:tc>
          <w:tcPr/>
          <w:p>
            <w:pPr>
              <w:pStyle w:val="Compact"/>
            </w:pPr>
            <w:r>
              <w:t xml:space="preserve">BR-003, BR-009</w:t>
            </w:r>
          </w:p>
        </w:tc>
        <w:tc>
          <w:tcPr/>
          <w:p>
            <w:pPr>
              <w:pStyle w:val="Compact"/>
            </w:pPr>
            <w:r>
              <w:t xml:space="preserve">DC-003</w:t>
            </w:r>
          </w:p>
        </w:tc>
        <w:tc>
          <w:tcPr/>
          <w:p>
            <w:pPr>
              <w:pStyle w:val="Compact"/>
            </w:pPr>
            <w:r>
              <w:t xml:space="preserve">STK-019</w:t>
            </w:r>
          </w:p>
        </w:tc>
      </w:tr>
      <w:tr>
        <w:tc>
          <w:tcPr/>
          <w:p>
            <w:pPr>
              <w:pStyle w:val="Compact"/>
            </w:pPr>
            <w:r>
              <w:rPr>
                <w:b/>
                <w:bCs/>
              </w:rPr>
              <w:t xml:space="preserve">FR-POS-029</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STK-019</w:t>
            </w:r>
          </w:p>
        </w:tc>
      </w:tr>
      <w:tr>
        <w:tc>
          <w:tcPr/>
          <w:p>
            <w:pPr>
              <w:pStyle w:val="Compact"/>
            </w:pPr>
            <w:r>
              <w:rPr>
                <w:b/>
                <w:bCs/>
              </w:rPr>
              <w:t xml:space="preserve">FR-POS-030</w:t>
            </w:r>
          </w:p>
        </w:tc>
        <w:tc>
          <w:tcPr/>
          <w:p>
            <w:pPr>
              <w:pStyle w:val="Compact"/>
            </w:pPr>
            <w:r>
              <w:t xml:space="preserve">BG-001</w:t>
            </w:r>
          </w:p>
        </w:tc>
        <w:tc>
          <w:tcPr/>
          <w:p>
            <w:pPr>
              <w:pStyle w:val="Compact"/>
            </w:pPr>
            <w:r>
              <w:t xml:space="preserve">BR-003</w:t>
            </w:r>
          </w:p>
        </w:tc>
        <w:tc>
          <w:tcPr/>
          <w:p>
            <w:pPr>
              <w:pStyle w:val="Compact"/>
            </w:pPr>
            <w:r>
              <w:t xml:space="preserve">DC-001</w:t>
            </w:r>
          </w:p>
        </w:tc>
        <w:tc>
          <w:tcPr/>
          <w:p>
            <w:pPr>
              <w:pStyle w:val="Compact"/>
            </w:pPr>
            <w:r>
              <w:t xml:space="preserve">STK-019</w:t>
            </w:r>
          </w:p>
        </w:tc>
      </w:tr>
      <w:tr>
        <w:tc>
          <w:tcPr/>
          <w:p>
            <w:pPr>
              <w:pStyle w:val="Compact"/>
            </w:pPr>
            <w:r>
              <w:rPr>
                <w:b/>
                <w:bCs/>
              </w:rPr>
              <w:t xml:space="preserve">FR-POS-031</w:t>
            </w:r>
          </w:p>
        </w:tc>
        <w:tc>
          <w:tcPr/>
          <w:p>
            <w:pPr>
              <w:pStyle w:val="Compact"/>
            </w:pPr>
            <w:r>
              <w:t xml:space="preserve">BG-001</w:t>
            </w:r>
          </w:p>
        </w:tc>
        <w:tc>
          <w:tcPr/>
          <w:p>
            <w:pPr>
              <w:pStyle w:val="Compact"/>
            </w:pPr>
            <w:r>
              <w:t xml:space="preserve">-</w:t>
            </w:r>
          </w:p>
        </w:tc>
        <w:tc>
          <w:tcPr/>
          <w:p>
            <w:pPr>
              <w:pStyle w:val="Compact"/>
            </w:pPr>
            <w:r>
              <w:t xml:space="preserve">DC-001</w:t>
            </w:r>
          </w:p>
        </w:tc>
        <w:tc>
          <w:tcPr/>
          <w:p>
            <w:pPr>
              <w:pStyle w:val="Compact"/>
            </w:pPr>
            <w:r>
              <w:t xml:space="preserve">STK-002, STK-006</w:t>
            </w:r>
          </w:p>
        </w:tc>
      </w:tr>
      <w:tr>
        <w:tc>
          <w:tcPr/>
          <w:p>
            <w:pPr>
              <w:pStyle w:val="Compact"/>
            </w:pPr>
            <w:r>
              <w:rPr>
                <w:b/>
                <w:bCs/>
              </w:rPr>
              <w:t xml:space="preserve">FR-POS-032</w:t>
            </w:r>
          </w:p>
        </w:tc>
        <w:tc>
          <w:tcPr/>
          <w:p>
            <w:pPr>
              <w:pStyle w:val="Compact"/>
            </w:pPr>
            <w:r>
              <w:t xml:space="preserve">BG-003</w:t>
            </w:r>
          </w:p>
        </w:tc>
        <w:tc>
          <w:tcPr/>
          <w:p>
            <w:pPr>
              <w:pStyle w:val="Compact"/>
            </w:pPr>
            <w:r>
              <w:t xml:space="preserve">-</w:t>
            </w:r>
          </w:p>
        </w:tc>
        <w:tc>
          <w:tcPr/>
          <w:p>
            <w:pPr>
              <w:pStyle w:val="Compact"/>
            </w:pPr>
            <w:r>
              <w:t xml:space="preserve">DC-005</w:t>
            </w:r>
          </w:p>
        </w:tc>
        <w:tc>
          <w:tcPr/>
          <w:p>
            <w:pPr>
              <w:pStyle w:val="Compact"/>
            </w:pPr>
            <w:r>
              <w:t xml:space="preserve">STK-015</w:t>
            </w:r>
          </w:p>
        </w:tc>
      </w:tr>
    </w:tbl>
    <w:bookmarkEnd w:id="66"/>
    <w:bookmarkStart w:id="67" w:name="X375046a32c7c9c4068383069b255748aa03eedd"/>
    <w:p>
      <w:pPr>
        <w:pStyle w:val="Heading2"/>
      </w:pPr>
      <w:r>
        <w:t xml:space="preserve">6.4 Module F-003: Inventory and Warehouse Management —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Business Goal</w:t>
            </w:r>
          </w:p>
        </w:tc>
        <w:tc>
          <w:tcPr/>
          <w:p>
            <w:pPr>
              <w:pStyle w:val="Compact"/>
            </w:pPr>
            <w:r>
              <w:t xml:space="preserve">Business Rule</w:t>
            </w:r>
          </w:p>
        </w:tc>
        <w:tc>
          <w:tcPr/>
          <w:p>
            <w:pPr>
              <w:pStyle w:val="Compact"/>
            </w:pPr>
            <w:r>
              <w:t xml:space="preserve">Design Covenant</w:t>
            </w:r>
          </w:p>
        </w:tc>
        <w:tc>
          <w:tcPr/>
          <w:p>
            <w:pPr>
              <w:pStyle w:val="Compact"/>
            </w:pPr>
            <w:r>
              <w:t xml:space="preserve">Stakeholder</w:t>
            </w:r>
          </w:p>
        </w:tc>
      </w:tr>
      <w:tr>
        <w:tc>
          <w:tcPr/>
          <w:p>
            <w:pPr>
              <w:pStyle w:val="Compact"/>
            </w:pPr>
            <w:r>
              <w:rPr>
                <w:b/>
                <w:bCs/>
              </w:rPr>
              <w:t xml:space="preserve">FR-INV-001</w:t>
            </w:r>
          </w:p>
        </w:tc>
        <w:tc>
          <w:tcPr/>
          <w:p>
            <w:pPr>
              <w:pStyle w:val="Compact"/>
            </w:pPr>
            <w:r>
              <w:t xml:space="preserve">BG-004</w:t>
            </w:r>
          </w:p>
        </w:tc>
        <w:tc>
          <w:tcPr/>
          <w:p>
            <w:pPr>
              <w:pStyle w:val="Compact"/>
            </w:pPr>
            <w:r>
              <w:t xml:space="preserve">-</w:t>
            </w:r>
          </w:p>
        </w:tc>
        <w:tc>
          <w:tcPr/>
          <w:p>
            <w:pPr>
              <w:pStyle w:val="Compact"/>
            </w:pPr>
            <w:r>
              <w:t xml:space="preserve">DC-002</w:t>
            </w:r>
          </w:p>
        </w:tc>
        <w:tc>
          <w:tcPr/>
          <w:p>
            <w:pPr>
              <w:pStyle w:val="Compact"/>
            </w:pPr>
            <w:r>
              <w:t xml:space="preserve">STK-008</w:t>
            </w:r>
          </w:p>
        </w:tc>
      </w:tr>
      <w:tr>
        <w:tc>
          <w:tcPr/>
          <w:p>
            <w:pPr>
              <w:pStyle w:val="Compact"/>
            </w:pPr>
            <w:r>
              <w:rPr>
                <w:b/>
                <w:bCs/>
              </w:rPr>
              <w:t xml:space="preserve">FR-INV-002</w:t>
            </w:r>
          </w:p>
        </w:tc>
        <w:tc>
          <w:tcPr/>
          <w:p>
            <w:pPr>
              <w:pStyle w:val="Compact"/>
            </w:pPr>
            <w:r>
              <w:t xml:space="preserve">BG-001</w:t>
            </w:r>
          </w:p>
        </w:tc>
        <w:tc>
          <w:tcPr/>
          <w:p>
            <w:pPr>
              <w:pStyle w:val="Compact"/>
            </w:pPr>
            <w:r>
              <w:t xml:space="preserve">-</w:t>
            </w:r>
          </w:p>
        </w:tc>
        <w:tc>
          <w:tcPr/>
          <w:p>
            <w:pPr>
              <w:pStyle w:val="Compact"/>
            </w:pPr>
            <w:r>
              <w:t xml:space="preserve">DC-002, DC-003</w:t>
            </w:r>
          </w:p>
        </w:tc>
        <w:tc>
          <w:tcPr/>
          <w:p>
            <w:pPr>
              <w:pStyle w:val="Compact"/>
            </w:pPr>
            <w:r>
              <w:t xml:space="preserve">STK-008</w:t>
            </w:r>
          </w:p>
        </w:tc>
      </w:tr>
      <w:tr>
        <w:tc>
          <w:tcPr/>
          <w:p>
            <w:pPr>
              <w:pStyle w:val="Compact"/>
            </w:pPr>
            <w:r>
              <w:rPr>
                <w:b/>
                <w:bCs/>
              </w:rPr>
              <w:t xml:space="preserve">FR-INV-003</w:t>
            </w:r>
          </w:p>
        </w:tc>
        <w:tc>
          <w:tcPr/>
          <w:p>
            <w:pPr>
              <w:pStyle w:val="Compact"/>
            </w:pPr>
            <w:r>
              <w:t xml:space="preserve">BG-004</w:t>
            </w:r>
          </w:p>
        </w:tc>
        <w:tc>
          <w:tcPr/>
          <w:p>
            <w:pPr>
              <w:pStyle w:val="Compact"/>
            </w:pPr>
            <w:r>
              <w:t xml:space="preserve">-</w:t>
            </w:r>
          </w:p>
        </w:tc>
        <w:tc>
          <w:tcPr/>
          <w:p>
            <w:pPr>
              <w:pStyle w:val="Compact"/>
            </w:pPr>
            <w:r>
              <w:t xml:space="preserve">DC-002</w:t>
            </w:r>
          </w:p>
        </w:tc>
        <w:tc>
          <w:tcPr/>
          <w:p>
            <w:pPr>
              <w:pStyle w:val="Compact"/>
            </w:pPr>
            <w:r>
              <w:t xml:space="preserve">STK-008</w:t>
            </w:r>
          </w:p>
        </w:tc>
      </w:tr>
      <w:tr>
        <w:tc>
          <w:tcPr/>
          <w:p>
            <w:pPr>
              <w:pStyle w:val="Compact"/>
            </w:pPr>
            <w:r>
              <w:rPr>
                <w:b/>
                <w:bCs/>
              </w:rPr>
              <w:t xml:space="preserve">FR-INV-004</w:t>
            </w:r>
          </w:p>
        </w:tc>
        <w:tc>
          <w:tcPr/>
          <w:p>
            <w:pPr>
              <w:pStyle w:val="Compact"/>
            </w:pPr>
            <w:r>
              <w:t xml:space="preserve">BG-001</w:t>
            </w:r>
          </w:p>
        </w:tc>
        <w:tc>
          <w:tcPr/>
          <w:p>
            <w:pPr>
              <w:pStyle w:val="Compact"/>
            </w:pPr>
            <w:r>
              <w:t xml:space="preserve">BR-001</w:t>
            </w:r>
          </w:p>
        </w:tc>
        <w:tc>
          <w:tcPr/>
          <w:p>
            <w:pPr>
              <w:pStyle w:val="Compact"/>
            </w:pPr>
            <w:r>
              <w:t xml:space="preserve">DC-003</w:t>
            </w:r>
          </w:p>
        </w:tc>
        <w:tc>
          <w:tcPr/>
          <w:p>
            <w:pPr>
              <w:pStyle w:val="Compact"/>
            </w:pPr>
            <w:r>
              <w:t xml:space="preserve">STK-008</w:t>
            </w:r>
          </w:p>
        </w:tc>
      </w:tr>
      <w:tr>
        <w:tc>
          <w:tcPr/>
          <w:p>
            <w:pPr>
              <w:pStyle w:val="Compact"/>
            </w:pPr>
            <w:r>
              <w:rPr>
                <w:b/>
                <w:bCs/>
              </w:rPr>
              <w:t xml:space="preserve">FR-INV-005</w:t>
            </w:r>
          </w:p>
        </w:tc>
        <w:tc>
          <w:tcPr/>
          <w:p>
            <w:pPr>
              <w:pStyle w:val="Compact"/>
            </w:pPr>
            <w:r>
              <w:t xml:space="preserve">BG-002</w:t>
            </w:r>
          </w:p>
        </w:tc>
        <w:tc>
          <w:tcPr/>
          <w:p>
            <w:pPr>
              <w:pStyle w:val="Compact"/>
            </w:pPr>
            <w:r>
              <w:t xml:space="preserve">BR-007</w:t>
            </w:r>
          </w:p>
        </w:tc>
        <w:tc>
          <w:tcPr/>
          <w:p>
            <w:pPr>
              <w:pStyle w:val="Compact"/>
            </w:pPr>
            <w:r>
              <w:t xml:space="preserve">DC-003</w:t>
            </w:r>
          </w:p>
        </w:tc>
        <w:tc>
          <w:tcPr/>
          <w:p>
            <w:pPr>
              <w:pStyle w:val="Compact"/>
            </w:pPr>
            <w:r>
              <w:t xml:space="preserve">STK-008</w:t>
            </w:r>
          </w:p>
        </w:tc>
      </w:tr>
      <w:tr>
        <w:tc>
          <w:tcPr/>
          <w:p>
            <w:pPr>
              <w:pStyle w:val="Compact"/>
            </w:pPr>
            <w:r>
              <w:rPr>
                <w:b/>
                <w:bCs/>
              </w:rPr>
              <w:t xml:space="preserve">FR-INV-006</w:t>
            </w:r>
          </w:p>
        </w:tc>
        <w:tc>
          <w:tcPr/>
          <w:p>
            <w:pPr>
              <w:pStyle w:val="Compact"/>
            </w:pPr>
            <w:r>
              <w:t xml:space="preserve">BG-002</w:t>
            </w:r>
          </w:p>
        </w:tc>
        <w:tc>
          <w:tcPr/>
          <w:p>
            <w:pPr>
              <w:pStyle w:val="Compact"/>
            </w:pPr>
            <w:r>
              <w:t xml:space="preserve">BR-007</w:t>
            </w:r>
          </w:p>
        </w:tc>
        <w:tc>
          <w:tcPr/>
          <w:p>
            <w:pPr>
              <w:pStyle w:val="Compact"/>
            </w:pPr>
            <w:r>
              <w:t xml:space="preserve">DC-003</w:t>
            </w:r>
          </w:p>
        </w:tc>
        <w:tc>
          <w:tcPr/>
          <w:p>
            <w:pPr>
              <w:pStyle w:val="Compact"/>
            </w:pPr>
            <w:r>
              <w:t xml:space="preserve">STK-008</w:t>
            </w:r>
          </w:p>
        </w:tc>
      </w:tr>
      <w:tr>
        <w:tc>
          <w:tcPr/>
          <w:p>
            <w:pPr>
              <w:pStyle w:val="Compact"/>
            </w:pPr>
            <w:r>
              <w:rPr>
                <w:b/>
                <w:bCs/>
              </w:rPr>
              <w:t xml:space="preserve">FR-INV-007</w:t>
            </w:r>
          </w:p>
        </w:tc>
        <w:tc>
          <w:tcPr/>
          <w:p>
            <w:pPr>
              <w:pStyle w:val="Compact"/>
            </w:pPr>
            <w:r>
              <w:t xml:space="preserve">BG-002</w:t>
            </w:r>
          </w:p>
        </w:tc>
        <w:tc>
          <w:tcPr/>
          <w:p>
            <w:pPr>
              <w:pStyle w:val="Compact"/>
            </w:pPr>
            <w:r>
              <w:t xml:space="preserve">BR-007</w:t>
            </w:r>
          </w:p>
        </w:tc>
        <w:tc>
          <w:tcPr/>
          <w:p>
            <w:pPr>
              <w:pStyle w:val="Compact"/>
            </w:pPr>
            <w:r>
              <w:t xml:space="preserve">DC-002</w:t>
            </w:r>
          </w:p>
        </w:tc>
        <w:tc>
          <w:tcPr/>
          <w:p>
            <w:pPr>
              <w:pStyle w:val="Compact"/>
            </w:pPr>
            <w:r>
              <w:t xml:space="preserve">STK-008</w:t>
            </w:r>
          </w:p>
        </w:tc>
      </w:tr>
      <w:tr>
        <w:tc>
          <w:tcPr/>
          <w:p>
            <w:pPr>
              <w:pStyle w:val="Compact"/>
            </w:pPr>
            <w:r>
              <w:rPr>
                <w:b/>
                <w:bCs/>
              </w:rPr>
              <w:t xml:space="preserve">FR-INV-008</w:t>
            </w:r>
          </w:p>
        </w:tc>
        <w:tc>
          <w:tcPr/>
          <w:p>
            <w:pPr>
              <w:pStyle w:val="Compact"/>
            </w:pPr>
            <w:r>
              <w:t xml:space="preserve">BG-002</w:t>
            </w:r>
          </w:p>
        </w:tc>
        <w:tc>
          <w:tcPr/>
          <w:p>
            <w:pPr>
              <w:pStyle w:val="Compact"/>
            </w:pPr>
            <w:r>
              <w:t xml:space="preserve">BR-007</w:t>
            </w:r>
          </w:p>
        </w:tc>
        <w:tc>
          <w:tcPr/>
          <w:p>
            <w:pPr>
              <w:pStyle w:val="Compact"/>
            </w:pPr>
            <w:r>
              <w:t xml:space="preserve">DC-003</w:t>
            </w:r>
          </w:p>
        </w:tc>
        <w:tc>
          <w:tcPr/>
          <w:p>
            <w:pPr>
              <w:pStyle w:val="Compact"/>
            </w:pPr>
            <w:r>
              <w:t xml:space="preserve">STK-008</w:t>
            </w:r>
          </w:p>
        </w:tc>
      </w:tr>
      <w:tr>
        <w:tc>
          <w:tcPr/>
          <w:p>
            <w:pPr>
              <w:pStyle w:val="Compact"/>
            </w:pPr>
            <w:r>
              <w:rPr>
                <w:b/>
                <w:bCs/>
              </w:rPr>
              <w:t xml:space="preserve">FR-INV-009</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STK-008, STK-017</w:t>
            </w:r>
          </w:p>
        </w:tc>
      </w:tr>
      <w:tr>
        <w:tc>
          <w:tcPr/>
          <w:p>
            <w:pPr>
              <w:pStyle w:val="Compact"/>
            </w:pPr>
            <w:r>
              <w:rPr>
                <w:b/>
                <w:bCs/>
              </w:rPr>
              <w:t xml:space="preserve">FR-INV-010</w:t>
            </w:r>
          </w:p>
        </w:tc>
        <w:tc>
          <w:tcPr/>
          <w:p>
            <w:pPr>
              <w:pStyle w:val="Compact"/>
            </w:pPr>
            <w:r>
              <w:t xml:space="preserve">BG-001</w:t>
            </w:r>
          </w:p>
        </w:tc>
        <w:tc>
          <w:tcPr/>
          <w:p>
            <w:pPr>
              <w:pStyle w:val="Compact"/>
            </w:pPr>
            <w:r>
              <w:t xml:space="preserve">BR-001</w:t>
            </w:r>
          </w:p>
        </w:tc>
        <w:tc>
          <w:tcPr/>
          <w:p>
            <w:pPr>
              <w:pStyle w:val="Compact"/>
            </w:pPr>
            <w:r>
              <w:t xml:space="preserve">DC-003</w:t>
            </w:r>
          </w:p>
        </w:tc>
        <w:tc>
          <w:tcPr/>
          <w:p>
            <w:pPr>
              <w:pStyle w:val="Compact"/>
            </w:pPr>
            <w:r>
              <w:t xml:space="preserve">STK-008</w:t>
            </w:r>
          </w:p>
        </w:tc>
      </w:tr>
      <w:tr>
        <w:tc>
          <w:tcPr/>
          <w:p>
            <w:pPr>
              <w:pStyle w:val="Compact"/>
            </w:pPr>
            <w:r>
              <w:rPr>
                <w:b/>
                <w:bCs/>
              </w:rPr>
              <w:t xml:space="preserve">FR-INV-011</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STK-017</w:t>
            </w:r>
          </w:p>
        </w:tc>
      </w:tr>
      <w:tr>
        <w:tc>
          <w:tcPr/>
          <w:p>
            <w:pPr>
              <w:pStyle w:val="Compact"/>
            </w:pPr>
            <w:r>
              <w:rPr>
                <w:b/>
                <w:bCs/>
              </w:rPr>
              <w:t xml:space="preserve">FR-INV-012</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STK-008, STK-002</w:t>
            </w:r>
          </w:p>
        </w:tc>
      </w:tr>
      <w:tr>
        <w:tc>
          <w:tcPr/>
          <w:p>
            <w:pPr>
              <w:pStyle w:val="Compact"/>
            </w:pPr>
            <w:r>
              <w:rPr>
                <w:b/>
                <w:bCs/>
              </w:rPr>
              <w:t xml:space="preserve">FR-INV-013</w:t>
            </w:r>
          </w:p>
        </w:tc>
        <w:tc>
          <w:tcPr/>
          <w:p>
            <w:pPr>
              <w:pStyle w:val="Compact"/>
            </w:pPr>
            <w:r>
              <w:t xml:space="preserve">BG-003</w:t>
            </w:r>
          </w:p>
        </w:tc>
        <w:tc>
          <w:tcPr/>
          <w:p>
            <w:pPr>
              <w:pStyle w:val="Compact"/>
            </w:pPr>
            <w:r>
              <w:t xml:space="preserve">BR-001, BR-006</w:t>
            </w:r>
          </w:p>
        </w:tc>
        <w:tc>
          <w:tcPr/>
          <w:p>
            <w:pPr>
              <w:pStyle w:val="Compact"/>
            </w:pPr>
            <w:r>
              <w:t xml:space="preserve">DC-003</w:t>
            </w:r>
          </w:p>
        </w:tc>
        <w:tc>
          <w:tcPr/>
          <w:p>
            <w:pPr>
              <w:pStyle w:val="Compact"/>
            </w:pPr>
            <w:r>
              <w:t xml:space="preserve">STK-008</w:t>
            </w:r>
          </w:p>
        </w:tc>
      </w:tr>
      <w:tr>
        <w:tc>
          <w:tcPr/>
          <w:p>
            <w:pPr>
              <w:pStyle w:val="Compact"/>
            </w:pPr>
            <w:r>
              <w:rPr>
                <w:b/>
                <w:bCs/>
              </w:rPr>
              <w:t xml:space="preserve">FR-INV-014</w:t>
            </w:r>
          </w:p>
        </w:tc>
        <w:tc>
          <w:tcPr/>
          <w:p>
            <w:pPr>
              <w:pStyle w:val="Compact"/>
            </w:pPr>
            <w:r>
              <w:t xml:space="preserve">BG-003</w:t>
            </w:r>
          </w:p>
        </w:tc>
        <w:tc>
          <w:tcPr/>
          <w:p>
            <w:pPr>
              <w:pStyle w:val="Compact"/>
            </w:pPr>
            <w:r>
              <w:t xml:space="preserve">BR-001</w:t>
            </w:r>
          </w:p>
        </w:tc>
        <w:tc>
          <w:tcPr/>
          <w:p>
            <w:pPr>
              <w:pStyle w:val="Compact"/>
            </w:pPr>
            <w:r>
              <w:t xml:space="preserve">DC-003</w:t>
            </w:r>
          </w:p>
        </w:tc>
        <w:tc>
          <w:tcPr/>
          <w:p>
            <w:pPr>
              <w:pStyle w:val="Compact"/>
            </w:pPr>
            <w:r>
              <w:t xml:space="preserve">STK-008</w:t>
            </w:r>
          </w:p>
        </w:tc>
      </w:tr>
      <w:tr>
        <w:tc>
          <w:tcPr/>
          <w:p>
            <w:pPr>
              <w:pStyle w:val="Compact"/>
            </w:pPr>
            <w:r>
              <w:rPr>
                <w:b/>
                <w:bCs/>
              </w:rPr>
              <w:t xml:space="preserve">FR-INV-015</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STK-008</w:t>
            </w:r>
          </w:p>
        </w:tc>
      </w:tr>
      <w:tr>
        <w:tc>
          <w:tcPr/>
          <w:p>
            <w:pPr>
              <w:pStyle w:val="Compact"/>
            </w:pPr>
            <w:r>
              <w:rPr>
                <w:b/>
                <w:bCs/>
              </w:rPr>
              <w:t xml:space="preserve">FR-INV-016</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STK-017</w:t>
            </w:r>
          </w:p>
        </w:tc>
      </w:tr>
      <w:tr>
        <w:tc>
          <w:tcPr/>
          <w:p>
            <w:pPr>
              <w:pStyle w:val="Compact"/>
            </w:pPr>
            <w:r>
              <w:rPr>
                <w:b/>
                <w:bCs/>
              </w:rPr>
              <w:t xml:space="preserve">FR-INV-017</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STK-008</w:t>
            </w:r>
          </w:p>
        </w:tc>
      </w:tr>
      <w:tr>
        <w:tc>
          <w:tcPr/>
          <w:p>
            <w:pPr>
              <w:pStyle w:val="Compact"/>
            </w:pPr>
            <w:r>
              <w:rPr>
                <w:b/>
                <w:bCs/>
              </w:rPr>
              <w:t xml:space="preserve">FR-INV-018</w:t>
            </w:r>
          </w:p>
        </w:tc>
        <w:tc>
          <w:tcPr/>
          <w:p>
            <w:pPr>
              <w:pStyle w:val="Compact"/>
            </w:pPr>
            <w:r>
              <w:t xml:space="preserve">BG-001</w:t>
            </w:r>
          </w:p>
        </w:tc>
        <w:tc>
          <w:tcPr/>
          <w:p>
            <w:pPr>
              <w:pStyle w:val="Compact"/>
            </w:pPr>
            <w:r>
              <w:t xml:space="preserve">BR-003</w:t>
            </w:r>
          </w:p>
        </w:tc>
        <w:tc>
          <w:tcPr/>
          <w:p>
            <w:pPr>
              <w:pStyle w:val="Compact"/>
            </w:pPr>
            <w:r>
              <w:t xml:space="preserve">DC-003</w:t>
            </w:r>
          </w:p>
        </w:tc>
        <w:tc>
          <w:tcPr/>
          <w:p>
            <w:pPr>
              <w:pStyle w:val="Compact"/>
            </w:pPr>
            <w:r>
              <w:t xml:space="preserve">STK-008, STK-002</w:t>
            </w:r>
          </w:p>
        </w:tc>
      </w:tr>
      <w:tr>
        <w:tc>
          <w:tcPr/>
          <w:p>
            <w:pPr>
              <w:pStyle w:val="Compact"/>
            </w:pPr>
            <w:r>
              <w:rPr>
                <w:b/>
                <w:bCs/>
              </w:rPr>
              <w:t xml:space="preserve">FR-INV-019</w:t>
            </w:r>
          </w:p>
        </w:tc>
        <w:tc>
          <w:tcPr/>
          <w:p>
            <w:pPr>
              <w:pStyle w:val="Compact"/>
            </w:pPr>
            <w:r>
              <w:t xml:space="preserve">BG-001</w:t>
            </w:r>
          </w:p>
        </w:tc>
        <w:tc>
          <w:tcPr/>
          <w:p>
            <w:pPr>
              <w:pStyle w:val="Compact"/>
            </w:pPr>
            <w:r>
              <w:t xml:space="preserve">BR-003</w:t>
            </w:r>
          </w:p>
        </w:tc>
        <w:tc>
          <w:tcPr/>
          <w:p>
            <w:pPr>
              <w:pStyle w:val="Compact"/>
            </w:pPr>
            <w:r>
              <w:t xml:space="preserve">DC-002, DC-003</w:t>
            </w:r>
          </w:p>
        </w:tc>
        <w:tc>
          <w:tcPr/>
          <w:p>
            <w:pPr>
              <w:pStyle w:val="Compact"/>
            </w:pPr>
            <w:r>
              <w:t xml:space="preserve">STK-008</w:t>
            </w:r>
          </w:p>
        </w:tc>
      </w:tr>
      <w:tr>
        <w:tc>
          <w:tcPr/>
          <w:p>
            <w:pPr>
              <w:pStyle w:val="Compact"/>
            </w:pPr>
            <w:r>
              <w:rPr>
                <w:b/>
                <w:bCs/>
              </w:rPr>
              <w:t xml:space="preserve">FR-INV-020</w:t>
            </w:r>
          </w:p>
        </w:tc>
        <w:tc>
          <w:tcPr/>
          <w:p>
            <w:pPr>
              <w:pStyle w:val="Compact"/>
            </w:pPr>
            <w:r>
              <w:t xml:space="preserve">BG-001</w:t>
            </w:r>
          </w:p>
        </w:tc>
        <w:tc>
          <w:tcPr/>
          <w:p>
            <w:pPr>
              <w:pStyle w:val="Compact"/>
            </w:pPr>
            <w:r>
              <w:t xml:space="preserve">BR-013</w:t>
            </w:r>
          </w:p>
        </w:tc>
        <w:tc>
          <w:tcPr/>
          <w:p>
            <w:pPr>
              <w:pStyle w:val="Compact"/>
            </w:pPr>
            <w:r>
              <w:t xml:space="preserve">DC-003</w:t>
            </w:r>
          </w:p>
        </w:tc>
        <w:tc>
          <w:tcPr/>
          <w:p>
            <w:pPr>
              <w:pStyle w:val="Compact"/>
            </w:pPr>
            <w:r>
              <w:t xml:space="preserve">STK-002</w:t>
            </w:r>
          </w:p>
        </w:tc>
      </w:tr>
      <w:tr>
        <w:tc>
          <w:tcPr/>
          <w:p>
            <w:pPr>
              <w:pStyle w:val="Compact"/>
            </w:pPr>
            <w:r>
              <w:rPr>
                <w:b/>
                <w:bCs/>
              </w:rPr>
              <w:t xml:space="preserve">FR-INV-021</w:t>
            </w:r>
          </w:p>
        </w:tc>
        <w:tc>
          <w:tcPr/>
          <w:p>
            <w:pPr>
              <w:pStyle w:val="Compact"/>
            </w:pPr>
            <w:r>
              <w:t xml:space="preserve">BG-001</w:t>
            </w:r>
          </w:p>
        </w:tc>
        <w:tc>
          <w:tcPr/>
          <w:p>
            <w:pPr>
              <w:pStyle w:val="Compact"/>
            </w:pPr>
            <w:r>
              <w:t xml:space="preserve">BR-001</w:t>
            </w:r>
          </w:p>
        </w:tc>
        <w:tc>
          <w:tcPr/>
          <w:p>
            <w:pPr>
              <w:pStyle w:val="Compact"/>
            </w:pPr>
            <w:r>
              <w:t xml:space="preserve">DC-002</w:t>
            </w:r>
          </w:p>
        </w:tc>
        <w:tc>
          <w:tcPr/>
          <w:p>
            <w:pPr>
              <w:pStyle w:val="Compact"/>
            </w:pPr>
            <w:r>
              <w:t xml:space="preserve">STK-008, STK-007</w:t>
            </w:r>
          </w:p>
        </w:tc>
      </w:tr>
      <w:tr>
        <w:tc>
          <w:tcPr/>
          <w:p>
            <w:pPr>
              <w:pStyle w:val="Compact"/>
            </w:pPr>
            <w:r>
              <w:rPr>
                <w:b/>
                <w:bCs/>
              </w:rPr>
              <w:t xml:space="preserve">FR-INV-022</w:t>
            </w:r>
          </w:p>
        </w:tc>
        <w:tc>
          <w:tcPr/>
          <w:p>
            <w:pPr>
              <w:pStyle w:val="Compact"/>
            </w:pPr>
            <w:r>
              <w:t xml:space="preserve">BG-002</w:t>
            </w:r>
          </w:p>
        </w:tc>
        <w:tc>
          <w:tcPr/>
          <w:p>
            <w:pPr>
              <w:pStyle w:val="Compact"/>
            </w:pPr>
            <w:r>
              <w:t xml:space="preserve">-</w:t>
            </w:r>
          </w:p>
        </w:tc>
        <w:tc>
          <w:tcPr/>
          <w:p>
            <w:pPr>
              <w:pStyle w:val="Compact"/>
            </w:pPr>
            <w:r>
              <w:t xml:space="preserve">DC-002</w:t>
            </w:r>
          </w:p>
        </w:tc>
        <w:tc>
          <w:tcPr/>
          <w:p>
            <w:pPr>
              <w:pStyle w:val="Compact"/>
            </w:pPr>
            <w:r>
              <w:t xml:space="preserve">STK-002</w:t>
            </w:r>
          </w:p>
        </w:tc>
      </w:tr>
      <w:tr>
        <w:tc>
          <w:tcPr/>
          <w:p>
            <w:pPr>
              <w:pStyle w:val="Compact"/>
            </w:pPr>
            <w:r>
              <w:rPr>
                <w:b/>
                <w:bCs/>
              </w:rPr>
              <w:t xml:space="preserve">FR-INV-023</w:t>
            </w:r>
          </w:p>
        </w:tc>
        <w:tc>
          <w:tcPr/>
          <w:p>
            <w:pPr>
              <w:pStyle w:val="Compact"/>
            </w:pPr>
            <w:r>
              <w:t xml:space="preserve">BG-002</w:t>
            </w:r>
          </w:p>
        </w:tc>
        <w:tc>
          <w:tcPr/>
          <w:p>
            <w:pPr>
              <w:pStyle w:val="Compact"/>
            </w:pPr>
            <w:r>
              <w:t xml:space="preserve">-</w:t>
            </w:r>
          </w:p>
        </w:tc>
        <w:tc>
          <w:tcPr/>
          <w:p>
            <w:pPr>
              <w:pStyle w:val="Compact"/>
            </w:pPr>
            <w:r>
              <w:t xml:space="preserve">DC-002</w:t>
            </w:r>
          </w:p>
        </w:tc>
        <w:tc>
          <w:tcPr/>
          <w:p>
            <w:pPr>
              <w:pStyle w:val="Compact"/>
            </w:pPr>
            <w:r>
              <w:t xml:space="preserve">STK-002</w:t>
            </w:r>
          </w:p>
        </w:tc>
      </w:tr>
      <w:tr>
        <w:tc>
          <w:tcPr/>
          <w:p>
            <w:pPr>
              <w:pStyle w:val="Compact"/>
            </w:pPr>
            <w:r>
              <w:rPr>
                <w:b/>
                <w:bCs/>
              </w:rPr>
              <w:t xml:space="preserve">FR-INV-024</w:t>
            </w:r>
          </w:p>
        </w:tc>
        <w:tc>
          <w:tcPr/>
          <w:p>
            <w:pPr>
              <w:pStyle w:val="Compact"/>
            </w:pPr>
            <w:r>
              <w:t xml:space="preserve">BG-002</w:t>
            </w:r>
          </w:p>
        </w:tc>
        <w:tc>
          <w:tcPr/>
          <w:p>
            <w:pPr>
              <w:pStyle w:val="Compact"/>
            </w:pPr>
            <w:r>
              <w:t xml:space="preserve">-</w:t>
            </w:r>
          </w:p>
        </w:tc>
        <w:tc>
          <w:tcPr/>
          <w:p>
            <w:pPr>
              <w:pStyle w:val="Compact"/>
            </w:pPr>
            <w:r>
              <w:t xml:space="preserve">DC-001</w:t>
            </w:r>
          </w:p>
        </w:tc>
        <w:tc>
          <w:tcPr/>
          <w:p>
            <w:pPr>
              <w:pStyle w:val="Compact"/>
            </w:pPr>
            <w:r>
              <w:t xml:space="preserve">STK-002</w:t>
            </w:r>
          </w:p>
        </w:tc>
      </w:tr>
      <w:tr>
        <w:tc>
          <w:tcPr/>
          <w:p>
            <w:pPr>
              <w:pStyle w:val="Compact"/>
            </w:pPr>
            <w:r>
              <w:rPr>
                <w:b/>
                <w:bCs/>
              </w:rPr>
              <w:t xml:space="preserve">FR-INV-025</w:t>
            </w:r>
          </w:p>
        </w:tc>
        <w:tc>
          <w:tcPr/>
          <w:p>
            <w:pPr>
              <w:pStyle w:val="Compact"/>
            </w:pPr>
            <w:r>
              <w:t xml:space="preserve">BG-001</w:t>
            </w:r>
          </w:p>
        </w:tc>
        <w:tc>
          <w:tcPr/>
          <w:p>
            <w:pPr>
              <w:pStyle w:val="Compact"/>
            </w:pPr>
            <w:r>
              <w:t xml:space="preserve">-</w:t>
            </w:r>
          </w:p>
        </w:tc>
        <w:tc>
          <w:tcPr/>
          <w:p>
            <w:pPr>
              <w:pStyle w:val="Compact"/>
            </w:pPr>
            <w:r>
              <w:t xml:space="preserve">DC-005</w:t>
            </w:r>
          </w:p>
        </w:tc>
        <w:tc>
          <w:tcPr/>
          <w:p>
            <w:pPr>
              <w:pStyle w:val="Compact"/>
            </w:pPr>
            <w:r>
              <w:t xml:space="preserve">STK-017</w:t>
            </w:r>
          </w:p>
        </w:tc>
      </w:tr>
      <w:tr>
        <w:tc>
          <w:tcPr/>
          <w:p>
            <w:pPr>
              <w:pStyle w:val="Compact"/>
            </w:pPr>
            <w:r>
              <w:rPr>
                <w:b/>
                <w:bCs/>
              </w:rPr>
              <w:t xml:space="preserve">FR-INV-026</w:t>
            </w:r>
          </w:p>
        </w:tc>
        <w:tc>
          <w:tcPr/>
          <w:p>
            <w:pPr>
              <w:pStyle w:val="Compact"/>
            </w:pPr>
            <w:r>
              <w:t xml:space="preserve">BG-001</w:t>
            </w:r>
          </w:p>
        </w:tc>
        <w:tc>
          <w:tcPr/>
          <w:p>
            <w:pPr>
              <w:pStyle w:val="Compact"/>
            </w:pPr>
            <w:r>
              <w:t xml:space="preserve">BR-013</w:t>
            </w:r>
          </w:p>
        </w:tc>
        <w:tc>
          <w:tcPr/>
          <w:p>
            <w:pPr>
              <w:pStyle w:val="Compact"/>
            </w:pPr>
            <w:r>
              <w:t xml:space="preserve">DC-003</w:t>
            </w:r>
          </w:p>
        </w:tc>
        <w:tc>
          <w:tcPr/>
          <w:p>
            <w:pPr>
              <w:pStyle w:val="Compact"/>
            </w:pPr>
            <w:r>
              <w:t xml:space="preserve">STK-002, STK-026</w:t>
            </w:r>
          </w:p>
        </w:tc>
      </w:tr>
      <w:tr>
        <w:tc>
          <w:tcPr/>
          <w:p>
            <w:pPr>
              <w:pStyle w:val="Compact"/>
            </w:pPr>
            <w:r>
              <w:rPr>
                <w:b/>
                <w:bCs/>
              </w:rPr>
              <w:t xml:space="preserve">FR-INV-027</w:t>
            </w:r>
          </w:p>
        </w:tc>
        <w:tc>
          <w:tcPr/>
          <w:p>
            <w:pPr>
              <w:pStyle w:val="Compact"/>
            </w:pPr>
            <w:r>
              <w:t xml:space="preserve">BG-001</w:t>
            </w:r>
          </w:p>
        </w:tc>
        <w:tc>
          <w:tcPr/>
          <w:p>
            <w:pPr>
              <w:pStyle w:val="Compact"/>
            </w:pPr>
            <w:r>
              <w:t xml:space="preserve">BR-001</w:t>
            </w:r>
          </w:p>
        </w:tc>
        <w:tc>
          <w:tcPr/>
          <w:p>
            <w:pPr>
              <w:pStyle w:val="Compact"/>
            </w:pPr>
            <w:r>
              <w:t xml:space="preserve">DC-003</w:t>
            </w:r>
          </w:p>
        </w:tc>
        <w:tc>
          <w:tcPr/>
          <w:p>
            <w:pPr>
              <w:pStyle w:val="Compact"/>
            </w:pPr>
            <w:r>
              <w:t xml:space="preserve">STK-008, STK-001</w:t>
            </w:r>
          </w:p>
        </w:tc>
      </w:tr>
      <w:tr>
        <w:tc>
          <w:tcPr/>
          <w:p>
            <w:pPr>
              <w:pStyle w:val="Compact"/>
            </w:pPr>
            <w:r>
              <w:rPr>
                <w:b/>
                <w:bCs/>
              </w:rPr>
              <w:t xml:space="preserve">FR-INV-028</w:t>
            </w:r>
          </w:p>
        </w:tc>
        <w:tc>
          <w:tcPr/>
          <w:p>
            <w:pPr>
              <w:pStyle w:val="Compact"/>
            </w:pPr>
            <w:r>
              <w:t xml:space="preserve">BG-001</w:t>
            </w:r>
          </w:p>
        </w:tc>
        <w:tc>
          <w:tcPr/>
          <w:p>
            <w:pPr>
              <w:pStyle w:val="Compact"/>
            </w:pPr>
            <w:r>
              <w:t xml:space="preserve">-</w:t>
            </w:r>
          </w:p>
        </w:tc>
        <w:tc>
          <w:tcPr/>
          <w:p>
            <w:pPr>
              <w:pStyle w:val="Compact"/>
            </w:pPr>
            <w:r>
              <w:t xml:space="preserve">DC-002</w:t>
            </w:r>
          </w:p>
        </w:tc>
        <w:tc>
          <w:tcPr/>
          <w:p>
            <w:pPr>
              <w:pStyle w:val="Compact"/>
            </w:pPr>
            <w:r>
              <w:t xml:space="preserve">STK-002, STK-008</w:t>
            </w:r>
          </w:p>
        </w:tc>
      </w:tr>
      <w:tr>
        <w:tc>
          <w:tcPr/>
          <w:p>
            <w:pPr>
              <w:pStyle w:val="Compact"/>
            </w:pPr>
            <w:r>
              <w:rPr>
                <w:b/>
                <w:bCs/>
              </w:rPr>
              <w:t xml:space="preserve">FR-INV-029</w:t>
            </w:r>
          </w:p>
        </w:tc>
        <w:tc>
          <w:tcPr/>
          <w:p>
            <w:pPr>
              <w:pStyle w:val="Compact"/>
            </w:pPr>
            <w:r>
              <w:t xml:space="preserve">BG-002</w:t>
            </w:r>
          </w:p>
        </w:tc>
        <w:tc>
          <w:tcPr/>
          <w:p>
            <w:pPr>
              <w:pStyle w:val="Compact"/>
            </w:pPr>
            <w:r>
              <w:t xml:space="preserve">-</w:t>
            </w:r>
          </w:p>
        </w:tc>
        <w:tc>
          <w:tcPr/>
          <w:p>
            <w:pPr>
              <w:pStyle w:val="Compact"/>
            </w:pPr>
            <w:r>
              <w:t xml:space="preserve">DC-002</w:t>
            </w:r>
          </w:p>
        </w:tc>
        <w:tc>
          <w:tcPr/>
          <w:p>
            <w:pPr>
              <w:pStyle w:val="Compact"/>
            </w:pPr>
            <w:r>
              <w:t xml:space="preserve">STK-008</w:t>
            </w:r>
          </w:p>
        </w:tc>
      </w:tr>
      <w:tr>
        <w:tc>
          <w:tcPr/>
          <w:p>
            <w:pPr>
              <w:pStyle w:val="Compact"/>
            </w:pPr>
            <w:r>
              <w:rPr>
                <w:b/>
                <w:bCs/>
              </w:rPr>
              <w:t xml:space="preserve">FR-INV-030</w:t>
            </w:r>
          </w:p>
        </w:tc>
        <w:tc>
          <w:tcPr/>
          <w:p>
            <w:pPr>
              <w:pStyle w:val="Compact"/>
            </w:pPr>
            <w:r>
              <w:t xml:space="preserve">BG-004</w:t>
            </w:r>
          </w:p>
        </w:tc>
        <w:tc>
          <w:tcPr/>
          <w:p>
            <w:pPr>
              <w:pStyle w:val="Compact"/>
            </w:pPr>
            <w:r>
              <w:t xml:space="preserve">-</w:t>
            </w:r>
          </w:p>
        </w:tc>
        <w:tc>
          <w:tcPr/>
          <w:p>
            <w:pPr>
              <w:pStyle w:val="Compact"/>
            </w:pPr>
            <w:r>
              <w:t xml:space="preserve">DC-002</w:t>
            </w:r>
          </w:p>
        </w:tc>
        <w:tc>
          <w:tcPr/>
          <w:p>
            <w:pPr>
              <w:pStyle w:val="Compact"/>
            </w:pPr>
            <w:r>
              <w:t xml:space="preserve">STK-008, STK-007</w:t>
            </w:r>
          </w:p>
        </w:tc>
      </w:tr>
      <w:tr>
        <w:tc>
          <w:tcPr/>
          <w:p>
            <w:pPr>
              <w:pStyle w:val="Compact"/>
            </w:pPr>
            <w:r>
              <w:rPr>
                <w:b/>
                <w:bCs/>
              </w:rPr>
              <w:t xml:space="preserve">FR-INV-031</w:t>
            </w:r>
          </w:p>
        </w:tc>
        <w:tc>
          <w:tcPr/>
          <w:p>
            <w:pPr>
              <w:pStyle w:val="Compact"/>
            </w:pPr>
            <w:r>
              <w:t xml:space="preserve">BG-003</w:t>
            </w:r>
          </w:p>
        </w:tc>
        <w:tc>
          <w:tcPr/>
          <w:p>
            <w:pPr>
              <w:pStyle w:val="Compact"/>
            </w:pPr>
            <w:r>
              <w:t xml:space="preserve">BR-001</w:t>
            </w:r>
          </w:p>
        </w:tc>
        <w:tc>
          <w:tcPr/>
          <w:p>
            <w:pPr>
              <w:pStyle w:val="Compact"/>
            </w:pPr>
            <w:r>
              <w:t xml:space="preserve">DC-003</w:t>
            </w:r>
          </w:p>
        </w:tc>
        <w:tc>
          <w:tcPr/>
          <w:p>
            <w:pPr>
              <w:pStyle w:val="Compact"/>
            </w:pPr>
            <w:r>
              <w:t xml:space="preserve">STK-008</w:t>
            </w:r>
          </w:p>
        </w:tc>
      </w:tr>
      <w:tr>
        <w:tc>
          <w:tcPr/>
          <w:p>
            <w:pPr>
              <w:pStyle w:val="Compact"/>
            </w:pPr>
            <w:r>
              <w:rPr>
                <w:b/>
                <w:bCs/>
              </w:rPr>
              <w:t xml:space="preserve">FR-INV-032</w:t>
            </w:r>
          </w:p>
        </w:tc>
        <w:tc>
          <w:tcPr/>
          <w:p>
            <w:pPr>
              <w:pStyle w:val="Compact"/>
            </w:pPr>
            <w:r>
              <w:t xml:space="preserve">BG-002</w:t>
            </w:r>
          </w:p>
        </w:tc>
        <w:tc>
          <w:tcPr/>
          <w:p>
            <w:pPr>
              <w:pStyle w:val="Compact"/>
            </w:pPr>
            <w:r>
              <w:t xml:space="preserve">BR-004</w:t>
            </w:r>
          </w:p>
        </w:tc>
        <w:tc>
          <w:tcPr/>
          <w:p>
            <w:pPr>
              <w:pStyle w:val="Compact"/>
            </w:pPr>
            <w:r>
              <w:t xml:space="preserve">DC-003</w:t>
            </w:r>
          </w:p>
        </w:tc>
        <w:tc>
          <w:tcPr/>
          <w:p>
            <w:pPr>
              <w:pStyle w:val="Compact"/>
            </w:pPr>
            <w:r>
              <w:t xml:space="preserve">STK-008</w:t>
            </w:r>
          </w:p>
        </w:tc>
      </w:tr>
      <w:tr>
        <w:tc>
          <w:tcPr/>
          <w:p>
            <w:pPr>
              <w:pStyle w:val="Compact"/>
            </w:pPr>
            <w:r>
              <w:rPr>
                <w:b/>
                <w:bCs/>
              </w:rPr>
              <w:t xml:space="preserve">FR-INV-033</w:t>
            </w:r>
          </w:p>
        </w:tc>
        <w:tc>
          <w:tcPr/>
          <w:p>
            <w:pPr>
              <w:pStyle w:val="Compact"/>
            </w:pPr>
            <w:r>
              <w:t xml:space="preserve">BG-001</w:t>
            </w:r>
          </w:p>
        </w:tc>
        <w:tc>
          <w:tcPr/>
          <w:p>
            <w:pPr>
              <w:pStyle w:val="Compact"/>
            </w:pPr>
            <w:r>
              <w:t xml:space="preserve">-</w:t>
            </w:r>
          </w:p>
        </w:tc>
        <w:tc>
          <w:tcPr/>
          <w:p>
            <w:pPr>
              <w:pStyle w:val="Compact"/>
            </w:pPr>
            <w:r>
              <w:t xml:space="preserve">DC-001, DC-003</w:t>
            </w:r>
          </w:p>
        </w:tc>
        <w:tc>
          <w:tcPr/>
          <w:p>
            <w:pPr>
              <w:pStyle w:val="Compact"/>
            </w:pPr>
            <w:r>
              <w:t xml:space="preserve">STK-008, STK-002</w:t>
            </w:r>
          </w:p>
        </w:tc>
      </w:tr>
      <w:tr>
        <w:tc>
          <w:tcPr/>
          <w:p>
            <w:pPr>
              <w:pStyle w:val="Compact"/>
            </w:pPr>
            <w:r>
              <w:rPr>
                <w:b/>
                <w:bCs/>
              </w:rPr>
              <w:t xml:space="preserve">FR-INV-034</w:t>
            </w:r>
          </w:p>
        </w:tc>
        <w:tc>
          <w:tcPr/>
          <w:p>
            <w:pPr>
              <w:pStyle w:val="Compact"/>
            </w:pPr>
            <w:r>
              <w:t xml:space="preserve">BG-001</w:t>
            </w:r>
          </w:p>
        </w:tc>
        <w:tc>
          <w:tcPr/>
          <w:p>
            <w:pPr>
              <w:pStyle w:val="Compact"/>
            </w:pPr>
            <w:r>
              <w:t xml:space="preserve">-</w:t>
            </w:r>
          </w:p>
        </w:tc>
        <w:tc>
          <w:tcPr/>
          <w:p>
            <w:pPr>
              <w:pStyle w:val="Compact"/>
            </w:pPr>
            <w:r>
              <w:t xml:space="preserve">DC-001, DC-002</w:t>
            </w:r>
          </w:p>
        </w:tc>
        <w:tc>
          <w:tcPr/>
          <w:p>
            <w:pPr>
              <w:pStyle w:val="Compact"/>
            </w:pPr>
            <w:r>
              <w:t xml:space="preserve">STK-008, STK-007</w:t>
            </w:r>
          </w:p>
        </w:tc>
      </w:tr>
      <w:tr>
        <w:tc>
          <w:tcPr/>
          <w:p>
            <w:pPr>
              <w:pStyle w:val="Compact"/>
            </w:pPr>
            <w:r>
              <w:rPr>
                <w:b/>
                <w:bCs/>
              </w:rPr>
              <w:t xml:space="preserve">FR-INV-035</w:t>
            </w:r>
          </w:p>
        </w:tc>
        <w:tc>
          <w:tcPr/>
          <w:p>
            <w:pPr>
              <w:pStyle w:val="Compact"/>
            </w:pPr>
            <w:r>
              <w:t xml:space="preserve">BG-001</w:t>
            </w:r>
          </w:p>
        </w:tc>
        <w:tc>
          <w:tcPr/>
          <w:p>
            <w:pPr>
              <w:pStyle w:val="Compact"/>
            </w:pPr>
            <w:r>
              <w:t xml:space="preserve">-</w:t>
            </w:r>
          </w:p>
        </w:tc>
        <w:tc>
          <w:tcPr/>
          <w:p>
            <w:pPr>
              <w:pStyle w:val="Compact"/>
            </w:pPr>
            <w:r>
              <w:t xml:space="preserve">DC-002</w:t>
            </w:r>
          </w:p>
        </w:tc>
        <w:tc>
          <w:tcPr/>
          <w:p>
            <w:pPr>
              <w:pStyle w:val="Compact"/>
            </w:pPr>
            <w:r>
              <w:t xml:space="preserve">STK-008, STK-017</w:t>
            </w:r>
          </w:p>
        </w:tc>
      </w:tr>
      <w:tr>
        <w:tc>
          <w:tcPr/>
          <w:p>
            <w:pPr>
              <w:pStyle w:val="Compact"/>
            </w:pPr>
            <w:r>
              <w:rPr>
                <w:b/>
                <w:bCs/>
              </w:rPr>
              <w:t xml:space="preserve">FR-INV-036</w:t>
            </w:r>
          </w:p>
        </w:tc>
        <w:tc>
          <w:tcPr/>
          <w:p>
            <w:pPr>
              <w:pStyle w:val="Compact"/>
            </w:pPr>
            <w:r>
              <w:t xml:space="preserve">BG-003</w:t>
            </w:r>
          </w:p>
        </w:tc>
        <w:tc>
          <w:tcPr/>
          <w:p>
            <w:pPr>
              <w:pStyle w:val="Compact"/>
            </w:pPr>
            <w:r>
              <w:t xml:space="preserve">BR-001</w:t>
            </w:r>
          </w:p>
        </w:tc>
        <w:tc>
          <w:tcPr/>
          <w:p>
            <w:pPr>
              <w:pStyle w:val="Compact"/>
            </w:pPr>
            <w:r>
              <w:t xml:space="preserve">DC-001</w:t>
            </w:r>
          </w:p>
        </w:tc>
        <w:tc>
          <w:tcPr/>
          <w:p>
            <w:pPr>
              <w:pStyle w:val="Compact"/>
            </w:pPr>
            <w:r>
              <w:t xml:space="preserve">STK-015</w:t>
            </w:r>
          </w:p>
        </w:tc>
      </w:tr>
      <w:tr>
        <w:tc>
          <w:tcPr/>
          <w:p>
            <w:pPr>
              <w:pStyle w:val="Compact"/>
            </w:pPr>
            <w:r>
              <w:rPr>
                <w:b/>
                <w:bCs/>
              </w:rPr>
              <w:t xml:space="preserve">FR-INV-037</w:t>
            </w:r>
          </w:p>
        </w:tc>
        <w:tc>
          <w:tcPr/>
          <w:p>
            <w:pPr>
              <w:pStyle w:val="Compact"/>
            </w:pPr>
            <w:r>
              <w:t xml:space="preserve">BG-001</w:t>
            </w:r>
          </w:p>
        </w:tc>
        <w:tc>
          <w:tcPr/>
          <w:p>
            <w:pPr>
              <w:pStyle w:val="Compact"/>
            </w:pPr>
            <w:r>
              <w:t xml:space="preserve">-</w:t>
            </w:r>
          </w:p>
        </w:tc>
        <w:tc>
          <w:tcPr/>
          <w:p>
            <w:pPr>
              <w:pStyle w:val="Compact"/>
            </w:pPr>
            <w:r>
              <w:t xml:space="preserve">DC-003</w:t>
            </w:r>
          </w:p>
        </w:tc>
        <w:tc>
          <w:tcPr/>
          <w:p>
            <w:pPr>
              <w:pStyle w:val="Compact"/>
            </w:pPr>
            <w:r>
              <w:t xml:space="preserve">STK-008, STK-002</w:t>
            </w:r>
          </w:p>
        </w:tc>
      </w:tr>
    </w:tbl>
    <w:bookmarkEnd w:id="67"/>
    <w:bookmarkStart w:id="68" w:name="Xe4d531d190fa406445534fd00c22f9ddfea3793"/>
    <w:p>
      <w:pPr>
        <w:pStyle w:val="Heading2"/>
      </w:pPr>
      <w:r>
        <w:t xml:space="preserve">6.5 Module F-004: Agent Distribution Management —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Business Goal</w:t>
            </w:r>
          </w:p>
        </w:tc>
        <w:tc>
          <w:tcPr/>
          <w:p>
            <w:pPr>
              <w:pStyle w:val="Compact"/>
            </w:pPr>
            <w:r>
              <w:t xml:space="preserve">Business Rule</w:t>
            </w:r>
          </w:p>
        </w:tc>
        <w:tc>
          <w:tcPr/>
          <w:p>
            <w:pPr>
              <w:pStyle w:val="Compact"/>
            </w:pPr>
            <w:r>
              <w:t xml:space="preserve">Design Covenant</w:t>
            </w:r>
          </w:p>
        </w:tc>
        <w:tc>
          <w:tcPr/>
          <w:p>
            <w:pPr>
              <w:pStyle w:val="Compact"/>
            </w:pPr>
            <w:r>
              <w:t xml:space="preserve">Stakeholder</w:t>
            </w:r>
          </w:p>
        </w:tc>
      </w:tr>
      <w:tr>
        <w:tc>
          <w:tcPr/>
          <w:p>
            <w:pPr>
              <w:pStyle w:val="Compact"/>
            </w:pPr>
            <w:r>
              <w:rPr>
                <w:b/>
                <w:bCs/>
              </w:rPr>
              <w:t xml:space="preserve">FR-AGT-001</w:t>
            </w:r>
          </w:p>
        </w:tc>
        <w:tc>
          <w:tcPr/>
          <w:p>
            <w:pPr>
              <w:pStyle w:val="Compact"/>
            </w:pPr>
            <w:r>
              <w:t xml:space="preserve">BG-003</w:t>
            </w:r>
          </w:p>
        </w:tc>
        <w:tc>
          <w:tcPr/>
          <w:p>
            <w:pPr>
              <w:pStyle w:val="Compact"/>
            </w:pPr>
            <w:r>
              <w:t xml:space="preserve">-</w:t>
            </w:r>
          </w:p>
        </w:tc>
        <w:tc>
          <w:tcPr/>
          <w:p>
            <w:pPr>
              <w:pStyle w:val="Compact"/>
            </w:pPr>
            <w:r>
              <w:t xml:space="preserve">DC-002, DC-003</w:t>
            </w:r>
          </w:p>
        </w:tc>
        <w:tc>
          <w:tcPr/>
          <w:p>
            <w:pPr>
              <w:pStyle w:val="Compact"/>
            </w:pPr>
            <w:r>
              <w:t xml:space="preserve">STK-006, STK-015</w:t>
            </w:r>
          </w:p>
        </w:tc>
      </w:tr>
      <w:tr>
        <w:tc>
          <w:tcPr/>
          <w:p>
            <w:pPr>
              <w:pStyle w:val="Compact"/>
            </w:pPr>
            <w:r>
              <w:rPr>
                <w:b/>
                <w:bCs/>
              </w:rPr>
              <w:t xml:space="preserve">FR-AGT-002</w:t>
            </w:r>
          </w:p>
        </w:tc>
        <w:tc>
          <w:tcPr/>
          <w:p>
            <w:pPr>
              <w:pStyle w:val="Compact"/>
            </w:pPr>
            <w:r>
              <w:t xml:space="preserve">BG-003</w:t>
            </w:r>
          </w:p>
        </w:tc>
        <w:tc>
          <w:tcPr/>
          <w:p>
            <w:pPr>
              <w:pStyle w:val="Compact"/>
            </w:pPr>
            <w:r>
              <w:t xml:space="preserve">BR-001, BR-006</w:t>
            </w:r>
          </w:p>
        </w:tc>
        <w:tc>
          <w:tcPr/>
          <w:p>
            <w:pPr>
              <w:pStyle w:val="Compact"/>
            </w:pPr>
            <w:r>
              <w:t xml:space="preserve">DC-003</w:t>
            </w:r>
          </w:p>
        </w:tc>
        <w:tc>
          <w:tcPr/>
          <w:p>
            <w:pPr>
              <w:pStyle w:val="Compact"/>
            </w:pPr>
            <w:r>
              <w:t xml:space="preserve">STK-008</w:t>
            </w:r>
          </w:p>
        </w:tc>
      </w:tr>
      <w:tr>
        <w:tc>
          <w:tcPr/>
          <w:p>
            <w:pPr>
              <w:pStyle w:val="Compact"/>
            </w:pPr>
            <w:r>
              <w:rPr>
                <w:b/>
                <w:bCs/>
              </w:rPr>
              <w:t xml:space="preserve">FR-AGT-003</w:t>
            </w:r>
          </w:p>
        </w:tc>
        <w:tc>
          <w:tcPr/>
          <w:p>
            <w:pPr>
              <w:pStyle w:val="Compact"/>
            </w:pPr>
            <w:r>
              <w:t xml:space="preserve">BG-003</w:t>
            </w:r>
          </w:p>
        </w:tc>
        <w:tc>
          <w:tcPr/>
          <w:p>
            <w:pPr>
              <w:pStyle w:val="Compact"/>
            </w:pPr>
            <w:r>
              <w:t xml:space="preserve">BR-003</w:t>
            </w:r>
          </w:p>
        </w:tc>
        <w:tc>
          <w:tcPr/>
          <w:p>
            <w:pPr>
              <w:pStyle w:val="Compact"/>
            </w:pPr>
            <w:r>
              <w:t xml:space="preserve">DC-003</w:t>
            </w:r>
          </w:p>
        </w:tc>
        <w:tc>
          <w:tcPr/>
          <w:p>
            <w:pPr>
              <w:pStyle w:val="Compact"/>
            </w:pPr>
            <w:r>
              <w:t xml:space="preserve">STK-006</w:t>
            </w:r>
          </w:p>
        </w:tc>
      </w:tr>
      <w:tr>
        <w:tc>
          <w:tcPr/>
          <w:p>
            <w:pPr>
              <w:pStyle w:val="Compact"/>
            </w:pPr>
            <w:r>
              <w:rPr>
                <w:b/>
                <w:bCs/>
              </w:rPr>
              <w:t xml:space="preserve">FR-AGT-004</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FR-AGT-005</w:t>
            </w:r>
          </w:p>
        </w:tc>
        <w:tc>
          <w:tcPr/>
          <w:p>
            <w:pPr>
              <w:pStyle w:val="Compact"/>
            </w:pPr>
            <w:r>
              <w:t xml:space="preserve">BG-003</w:t>
            </w:r>
          </w:p>
        </w:tc>
        <w:tc>
          <w:tcPr/>
          <w:p>
            <w:pPr>
              <w:pStyle w:val="Compact"/>
            </w:pPr>
            <w:r>
              <w:t xml:space="preserve">-</w:t>
            </w:r>
          </w:p>
        </w:tc>
        <w:tc>
          <w:tcPr/>
          <w:p>
            <w:pPr>
              <w:pStyle w:val="Compact"/>
            </w:pPr>
            <w:r>
              <w:t xml:space="preserve">DC-003</w:t>
            </w:r>
          </w:p>
        </w:tc>
        <w:tc>
          <w:tcPr/>
          <w:p>
            <w:pPr>
              <w:pStyle w:val="Compact"/>
            </w:pPr>
            <w:r>
              <w:t xml:space="preserve">STK-006, STK-015</w:t>
            </w:r>
          </w:p>
        </w:tc>
      </w:tr>
      <w:tr>
        <w:tc>
          <w:tcPr/>
          <w:p>
            <w:pPr>
              <w:pStyle w:val="Compact"/>
            </w:pPr>
            <w:r>
              <w:rPr>
                <w:b/>
                <w:bCs/>
              </w:rPr>
              <w:t xml:space="preserve">FR-AGT-006</w:t>
            </w:r>
          </w:p>
        </w:tc>
        <w:tc>
          <w:tcPr/>
          <w:p>
            <w:pPr>
              <w:pStyle w:val="Compact"/>
            </w:pPr>
            <w:r>
              <w:t xml:space="preserve">BG-003</w:t>
            </w:r>
          </w:p>
        </w:tc>
        <w:tc>
          <w:tcPr/>
          <w:p>
            <w:pPr>
              <w:pStyle w:val="Compact"/>
            </w:pPr>
            <w:r>
              <w:t xml:space="preserve">-</w:t>
            </w:r>
          </w:p>
        </w:tc>
        <w:tc>
          <w:tcPr/>
          <w:p>
            <w:pPr>
              <w:pStyle w:val="Compact"/>
            </w:pPr>
            <w:r>
              <w:t xml:space="preserve">DC-001</w:t>
            </w:r>
          </w:p>
        </w:tc>
        <w:tc>
          <w:tcPr/>
          <w:p>
            <w:pPr>
              <w:pStyle w:val="Compact"/>
            </w:pPr>
            <w:r>
              <w:t xml:space="preserve">STK-015</w:t>
            </w:r>
          </w:p>
        </w:tc>
      </w:tr>
      <w:tr>
        <w:tc>
          <w:tcPr/>
          <w:p>
            <w:pPr>
              <w:pStyle w:val="Compact"/>
            </w:pPr>
            <w:r>
              <w:rPr>
                <w:b/>
                <w:bCs/>
              </w:rPr>
              <w:t xml:space="preserve">FR-AGT-007</w:t>
            </w:r>
          </w:p>
        </w:tc>
        <w:tc>
          <w:tcPr/>
          <w:p>
            <w:pPr>
              <w:pStyle w:val="Compact"/>
            </w:pPr>
            <w:r>
              <w:t xml:space="preserve">BG-003</w:t>
            </w:r>
          </w:p>
        </w:tc>
        <w:tc>
          <w:tcPr/>
          <w:p>
            <w:pPr>
              <w:pStyle w:val="Compact"/>
            </w:pPr>
            <w:r>
              <w:t xml:space="preserve">BR-006, BR-003</w:t>
            </w:r>
          </w:p>
        </w:tc>
        <w:tc>
          <w:tcPr/>
          <w:p>
            <w:pPr>
              <w:pStyle w:val="Compact"/>
            </w:pPr>
            <w:r>
              <w:t xml:space="preserve">DC-003</w:t>
            </w:r>
          </w:p>
        </w:tc>
        <w:tc>
          <w:tcPr/>
          <w:p>
            <w:pPr>
              <w:pStyle w:val="Compact"/>
            </w:pPr>
            <w:r>
              <w:t xml:space="preserve">STK-008</w:t>
            </w:r>
          </w:p>
        </w:tc>
      </w:tr>
      <w:tr>
        <w:tc>
          <w:tcPr/>
          <w:p>
            <w:pPr>
              <w:pStyle w:val="Compact"/>
            </w:pPr>
            <w:r>
              <w:rPr>
                <w:b/>
                <w:bCs/>
              </w:rPr>
              <w:t xml:space="preserve">FR-AGT-008</w:t>
            </w:r>
          </w:p>
        </w:tc>
        <w:tc>
          <w:tcPr/>
          <w:p>
            <w:pPr>
              <w:pStyle w:val="Compact"/>
            </w:pPr>
            <w:r>
              <w:t xml:space="preserve">BG-003</w:t>
            </w:r>
          </w:p>
        </w:tc>
        <w:tc>
          <w:tcPr/>
          <w:p>
            <w:pPr>
              <w:pStyle w:val="Compact"/>
            </w:pPr>
            <w:r>
              <w:t xml:space="preserve">BR-002, BR-003</w:t>
            </w:r>
          </w:p>
        </w:tc>
        <w:tc>
          <w:tcPr/>
          <w:p>
            <w:pPr>
              <w:pStyle w:val="Compact"/>
            </w:pPr>
            <w:r>
              <w:t xml:space="preserve">DC-005</w:t>
            </w:r>
          </w:p>
        </w:tc>
        <w:tc>
          <w:tcPr/>
          <w:p>
            <w:pPr>
              <w:pStyle w:val="Compact"/>
            </w:pPr>
            <w:r>
              <w:t xml:space="preserve">STK-015</w:t>
            </w:r>
          </w:p>
        </w:tc>
      </w:tr>
      <w:tr>
        <w:tc>
          <w:tcPr/>
          <w:p>
            <w:pPr>
              <w:pStyle w:val="Compact"/>
            </w:pPr>
            <w:r>
              <w:rPr>
                <w:b/>
                <w:bCs/>
              </w:rPr>
              <w:t xml:space="preserve">FR-AGT-009</w:t>
            </w:r>
          </w:p>
        </w:tc>
        <w:tc>
          <w:tcPr/>
          <w:p>
            <w:pPr>
              <w:pStyle w:val="Compact"/>
            </w:pPr>
            <w:r>
              <w:t xml:space="preserve">BG-003</w:t>
            </w:r>
          </w:p>
        </w:tc>
        <w:tc>
          <w:tcPr/>
          <w:p>
            <w:pPr>
              <w:pStyle w:val="Compact"/>
            </w:pPr>
            <w:r>
              <w:t xml:space="preserve">BR-003</w:t>
            </w:r>
          </w:p>
        </w:tc>
        <w:tc>
          <w:tcPr/>
          <w:p>
            <w:pPr>
              <w:pStyle w:val="Compact"/>
            </w:pPr>
            <w:r>
              <w:t xml:space="preserve">DC-003</w:t>
            </w:r>
          </w:p>
        </w:tc>
        <w:tc>
          <w:tcPr/>
          <w:p>
            <w:pPr>
              <w:pStyle w:val="Compact"/>
            </w:pPr>
            <w:r>
              <w:t xml:space="preserve">STK-018</w:t>
            </w:r>
          </w:p>
        </w:tc>
      </w:tr>
      <w:tr>
        <w:tc>
          <w:tcPr/>
          <w:p>
            <w:pPr>
              <w:pStyle w:val="Compact"/>
            </w:pPr>
            <w:r>
              <w:rPr>
                <w:b/>
                <w:bCs/>
              </w:rPr>
              <w:t xml:space="preserve">FR-AGT-010</w:t>
            </w:r>
          </w:p>
        </w:tc>
        <w:tc>
          <w:tcPr/>
          <w:p>
            <w:pPr>
              <w:pStyle w:val="Compact"/>
            </w:pPr>
            <w:r>
              <w:t xml:space="preserve">BG-001</w:t>
            </w:r>
          </w:p>
        </w:tc>
        <w:tc>
          <w:tcPr/>
          <w:p>
            <w:pPr>
              <w:pStyle w:val="Compact"/>
            </w:pPr>
            <w:r>
              <w:t xml:space="preserve">BR-013</w:t>
            </w:r>
          </w:p>
        </w:tc>
        <w:tc>
          <w:tcPr/>
          <w:p>
            <w:pPr>
              <w:pStyle w:val="Compact"/>
            </w:pPr>
            <w:r>
              <w:t xml:space="preserve">DC-003</w:t>
            </w:r>
          </w:p>
        </w:tc>
        <w:tc>
          <w:tcPr/>
          <w:p>
            <w:pPr>
              <w:pStyle w:val="Compact"/>
            </w:pPr>
            <w:r>
              <w:t xml:space="preserve">STK-002</w:t>
            </w:r>
          </w:p>
        </w:tc>
      </w:tr>
      <w:tr>
        <w:tc>
          <w:tcPr/>
          <w:p>
            <w:pPr>
              <w:pStyle w:val="Compact"/>
            </w:pPr>
            <w:r>
              <w:rPr>
                <w:b/>
                <w:bCs/>
              </w:rPr>
              <w:t xml:space="preserve">FR-AGT-011</w:t>
            </w:r>
          </w:p>
        </w:tc>
        <w:tc>
          <w:tcPr/>
          <w:p>
            <w:pPr>
              <w:pStyle w:val="Compact"/>
            </w:pPr>
            <w:r>
              <w:t xml:space="preserve">BG-003</w:t>
            </w:r>
          </w:p>
        </w:tc>
        <w:tc>
          <w:tcPr/>
          <w:p>
            <w:pPr>
              <w:pStyle w:val="Compact"/>
            </w:pPr>
            <w:r>
              <w:t xml:space="preserve">BR-002</w:t>
            </w:r>
          </w:p>
        </w:tc>
        <w:tc>
          <w:tcPr/>
          <w:p>
            <w:pPr>
              <w:pStyle w:val="Compact"/>
            </w:pPr>
            <w:r>
              <w:t xml:space="preserve">DC-003</w:t>
            </w:r>
          </w:p>
        </w:tc>
        <w:tc>
          <w:tcPr/>
          <w:p>
            <w:pPr>
              <w:pStyle w:val="Compact"/>
            </w:pPr>
            <w:r>
              <w:t xml:space="preserve">STK-018</w:t>
            </w:r>
          </w:p>
        </w:tc>
      </w:tr>
      <w:tr>
        <w:tc>
          <w:tcPr/>
          <w:p>
            <w:pPr>
              <w:pStyle w:val="Compact"/>
            </w:pPr>
            <w:r>
              <w:rPr>
                <w:b/>
                <w:bCs/>
              </w:rPr>
              <w:t xml:space="preserve">FR-AGT-012</w:t>
            </w:r>
          </w:p>
        </w:tc>
        <w:tc>
          <w:tcPr/>
          <w:p>
            <w:pPr>
              <w:pStyle w:val="Compact"/>
            </w:pPr>
            <w:r>
              <w:t xml:space="preserve">BG-003</w:t>
            </w:r>
          </w:p>
        </w:tc>
        <w:tc>
          <w:tcPr/>
          <w:p>
            <w:pPr>
              <w:pStyle w:val="Compact"/>
            </w:pPr>
            <w:r>
              <w:t xml:space="preserve">BR-002</w:t>
            </w:r>
          </w:p>
        </w:tc>
        <w:tc>
          <w:tcPr/>
          <w:p>
            <w:pPr>
              <w:pStyle w:val="Compact"/>
            </w:pPr>
            <w:r>
              <w:t xml:space="preserve">DC-003</w:t>
            </w:r>
          </w:p>
        </w:tc>
        <w:tc>
          <w:tcPr/>
          <w:p>
            <w:pPr>
              <w:pStyle w:val="Compact"/>
            </w:pPr>
            <w:r>
              <w:t xml:space="preserve">STK-018</w:t>
            </w:r>
          </w:p>
        </w:tc>
      </w:tr>
      <w:tr>
        <w:tc>
          <w:tcPr/>
          <w:p>
            <w:pPr>
              <w:pStyle w:val="Compact"/>
            </w:pPr>
            <w:r>
              <w:rPr>
                <w:b/>
                <w:bCs/>
              </w:rPr>
              <w:t xml:space="preserve">FR-AGT-013</w:t>
            </w:r>
          </w:p>
        </w:tc>
        <w:tc>
          <w:tcPr/>
          <w:p>
            <w:pPr>
              <w:pStyle w:val="Compact"/>
            </w:pPr>
            <w:r>
              <w:t xml:space="preserve">BG-003</w:t>
            </w:r>
          </w:p>
        </w:tc>
        <w:tc>
          <w:tcPr/>
          <w:p>
            <w:pPr>
              <w:pStyle w:val="Compact"/>
            </w:pPr>
            <w:r>
              <w:t xml:space="preserve">BR-015</w:t>
            </w:r>
          </w:p>
        </w:tc>
        <w:tc>
          <w:tcPr/>
          <w:p>
            <w:pPr>
              <w:pStyle w:val="Compact"/>
            </w:pPr>
            <w:r>
              <w:t xml:space="preserve">DC-003</w:t>
            </w:r>
          </w:p>
        </w:tc>
        <w:tc>
          <w:tcPr/>
          <w:p>
            <w:pPr>
              <w:pStyle w:val="Compact"/>
            </w:pPr>
            <w:r>
              <w:t xml:space="preserve">STK-015</w:t>
            </w:r>
          </w:p>
        </w:tc>
      </w:tr>
      <w:tr>
        <w:tc>
          <w:tcPr/>
          <w:p>
            <w:pPr>
              <w:pStyle w:val="Compact"/>
            </w:pPr>
            <w:r>
              <w:rPr>
                <w:b/>
                <w:bCs/>
              </w:rPr>
              <w:t xml:space="preserve">FR-AGT-014</w:t>
            </w:r>
          </w:p>
        </w:tc>
        <w:tc>
          <w:tcPr/>
          <w:p>
            <w:pPr>
              <w:pStyle w:val="Compact"/>
            </w:pPr>
            <w:r>
              <w:t xml:space="preserve">BG-003</w:t>
            </w:r>
          </w:p>
        </w:tc>
        <w:tc>
          <w:tcPr/>
          <w:p>
            <w:pPr>
              <w:pStyle w:val="Compact"/>
            </w:pPr>
            <w:r>
              <w:t xml:space="preserve">BR-003, BR-015</w:t>
            </w:r>
          </w:p>
        </w:tc>
        <w:tc>
          <w:tcPr/>
          <w:p>
            <w:pPr>
              <w:pStyle w:val="Compact"/>
            </w:pPr>
            <w:r>
              <w:t xml:space="preserve">DC-003</w:t>
            </w:r>
          </w:p>
        </w:tc>
        <w:tc>
          <w:tcPr/>
          <w:p>
            <w:pPr>
              <w:pStyle w:val="Compact"/>
            </w:pPr>
            <w:r>
              <w:t xml:space="preserve">STK-002</w:t>
            </w:r>
          </w:p>
        </w:tc>
      </w:tr>
      <w:tr>
        <w:tc>
          <w:tcPr/>
          <w:p>
            <w:pPr>
              <w:pStyle w:val="Compact"/>
            </w:pPr>
            <w:r>
              <w:rPr>
                <w:b/>
                <w:bCs/>
              </w:rPr>
              <w:t xml:space="preserve">FR-AGT-015</w:t>
            </w:r>
          </w:p>
        </w:tc>
        <w:tc>
          <w:tcPr/>
          <w:p>
            <w:pPr>
              <w:pStyle w:val="Compact"/>
            </w:pPr>
            <w:r>
              <w:t xml:space="preserve">BG-003</w:t>
            </w:r>
          </w:p>
        </w:tc>
        <w:tc>
          <w:tcPr/>
          <w:p>
            <w:pPr>
              <w:pStyle w:val="Compact"/>
            </w:pPr>
            <w:r>
              <w:t xml:space="preserve">BR-015</w:t>
            </w:r>
          </w:p>
        </w:tc>
        <w:tc>
          <w:tcPr/>
          <w:p>
            <w:pPr>
              <w:pStyle w:val="Compact"/>
            </w:pPr>
            <w:r>
              <w:t xml:space="preserve">DC-001</w:t>
            </w:r>
          </w:p>
        </w:tc>
        <w:tc>
          <w:tcPr/>
          <w:p>
            <w:pPr>
              <w:pStyle w:val="Compact"/>
            </w:pPr>
            <w:r>
              <w:t xml:space="preserve">STK-015</w:t>
            </w:r>
          </w:p>
        </w:tc>
      </w:tr>
      <w:tr>
        <w:tc>
          <w:tcPr/>
          <w:p>
            <w:pPr>
              <w:pStyle w:val="Compact"/>
            </w:pPr>
            <w:r>
              <w:rPr>
                <w:b/>
                <w:bCs/>
              </w:rPr>
              <w:t xml:space="preserve">FR-AGT-016</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FR-AGT-017</w:t>
            </w:r>
          </w:p>
        </w:tc>
        <w:tc>
          <w:tcPr/>
          <w:p>
            <w:pPr>
              <w:pStyle w:val="Compact"/>
            </w:pPr>
            <w:r>
              <w:t xml:space="preserve">BG-003</w:t>
            </w:r>
          </w:p>
        </w:tc>
        <w:tc>
          <w:tcPr/>
          <w:p>
            <w:pPr>
              <w:pStyle w:val="Compact"/>
            </w:pPr>
            <w:r>
              <w:t xml:space="preserve">BR-003</w:t>
            </w:r>
          </w:p>
        </w:tc>
        <w:tc>
          <w:tcPr/>
          <w:p>
            <w:pPr>
              <w:pStyle w:val="Compact"/>
            </w:pPr>
            <w:r>
              <w:t xml:space="preserve">DC-003</w:t>
            </w:r>
          </w:p>
        </w:tc>
        <w:tc>
          <w:tcPr/>
          <w:p>
            <w:pPr>
              <w:pStyle w:val="Compact"/>
            </w:pPr>
            <w:r>
              <w:t xml:space="preserve">STK-006</w:t>
            </w:r>
          </w:p>
        </w:tc>
      </w:tr>
      <w:tr>
        <w:tc>
          <w:tcPr/>
          <w:p>
            <w:pPr>
              <w:pStyle w:val="Compact"/>
            </w:pPr>
            <w:r>
              <w:rPr>
                <w:b/>
                <w:bCs/>
              </w:rPr>
              <w:t xml:space="preserve">FR-AGT-018</w:t>
            </w:r>
          </w:p>
        </w:tc>
        <w:tc>
          <w:tcPr/>
          <w:p>
            <w:pPr>
              <w:pStyle w:val="Compact"/>
            </w:pPr>
            <w:r>
              <w:t xml:space="preserve">BG-003</w:t>
            </w:r>
          </w:p>
        </w:tc>
        <w:tc>
          <w:tcPr/>
          <w:p>
            <w:pPr>
              <w:pStyle w:val="Compact"/>
            </w:pPr>
            <w:r>
              <w:t xml:space="preserve">BR-003</w:t>
            </w:r>
          </w:p>
        </w:tc>
        <w:tc>
          <w:tcPr/>
          <w:p>
            <w:pPr>
              <w:pStyle w:val="Compact"/>
            </w:pPr>
            <w:r>
              <w:t xml:space="preserve">DC-003</w:t>
            </w:r>
          </w:p>
        </w:tc>
        <w:tc>
          <w:tcPr/>
          <w:p>
            <w:pPr>
              <w:pStyle w:val="Compact"/>
            </w:pPr>
            <w:r>
              <w:t xml:space="preserve">STK-006, STK-002</w:t>
            </w:r>
          </w:p>
        </w:tc>
      </w:tr>
      <w:tr>
        <w:tc>
          <w:tcPr/>
          <w:p>
            <w:pPr>
              <w:pStyle w:val="Compact"/>
            </w:pPr>
            <w:r>
              <w:rPr>
                <w:b/>
                <w:bCs/>
              </w:rPr>
              <w:t xml:space="preserve">FR-AGT-019</w:t>
            </w:r>
          </w:p>
        </w:tc>
        <w:tc>
          <w:tcPr/>
          <w:p>
            <w:pPr>
              <w:pStyle w:val="Compact"/>
            </w:pPr>
            <w:r>
              <w:t xml:space="preserve">BG-003</w:t>
            </w:r>
          </w:p>
        </w:tc>
        <w:tc>
          <w:tcPr/>
          <w:p>
            <w:pPr>
              <w:pStyle w:val="Compact"/>
            </w:pPr>
            <w:r>
              <w:t xml:space="preserve">-</w:t>
            </w:r>
          </w:p>
        </w:tc>
        <w:tc>
          <w:tcPr/>
          <w:p>
            <w:pPr>
              <w:pStyle w:val="Compact"/>
            </w:pPr>
            <w:r>
              <w:t xml:space="preserve">DC-001</w:t>
            </w:r>
          </w:p>
        </w:tc>
        <w:tc>
          <w:tcPr/>
          <w:p>
            <w:pPr>
              <w:pStyle w:val="Compact"/>
            </w:pPr>
            <w:r>
              <w:t xml:space="preserve">STK-006, STK-002</w:t>
            </w:r>
          </w:p>
        </w:tc>
      </w:tr>
      <w:tr>
        <w:tc>
          <w:tcPr/>
          <w:p>
            <w:pPr>
              <w:pStyle w:val="Compact"/>
            </w:pPr>
            <w:r>
              <w:rPr>
                <w:b/>
                <w:bCs/>
              </w:rPr>
              <w:t xml:space="preserve">FR-AGT-020</w:t>
            </w:r>
          </w:p>
        </w:tc>
        <w:tc>
          <w:tcPr/>
          <w:p>
            <w:pPr>
              <w:pStyle w:val="Compact"/>
            </w:pPr>
            <w:r>
              <w:t xml:space="preserve">BG-003</w:t>
            </w:r>
          </w:p>
        </w:tc>
        <w:tc>
          <w:tcPr/>
          <w:p>
            <w:pPr>
              <w:pStyle w:val="Compact"/>
            </w:pPr>
            <w:r>
              <w:t xml:space="preserve">-</w:t>
            </w:r>
          </w:p>
        </w:tc>
        <w:tc>
          <w:tcPr/>
          <w:p>
            <w:pPr>
              <w:pStyle w:val="Compact"/>
            </w:pPr>
            <w:r>
              <w:t xml:space="preserve">DC-001</w:t>
            </w:r>
          </w:p>
        </w:tc>
        <w:tc>
          <w:tcPr/>
          <w:p>
            <w:pPr>
              <w:pStyle w:val="Compact"/>
            </w:pPr>
            <w:r>
              <w:t xml:space="preserve">STK-006</w:t>
            </w:r>
          </w:p>
        </w:tc>
      </w:tr>
      <w:tr>
        <w:tc>
          <w:tcPr/>
          <w:p>
            <w:pPr>
              <w:pStyle w:val="Compact"/>
            </w:pPr>
            <w:r>
              <w:rPr>
                <w:b/>
                <w:bCs/>
              </w:rPr>
              <w:t xml:space="preserve">FR-AGT-021</w:t>
            </w:r>
          </w:p>
        </w:tc>
        <w:tc>
          <w:tcPr/>
          <w:p>
            <w:pPr>
              <w:pStyle w:val="Compact"/>
            </w:pPr>
            <w:r>
              <w:t xml:space="preserve">BG-003</w:t>
            </w:r>
          </w:p>
        </w:tc>
        <w:tc>
          <w:tcPr/>
          <w:p>
            <w:pPr>
              <w:pStyle w:val="Compact"/>
            </w:pPr>
            <w:r>
              <w:t xml:space="preserve">-</w:t>
            </w:r>
          </w:p>
        </w:tc>
        <w:tc>
          <w:tcPr/>
          <w:p>
            <w:pPr>
              <w:pStyle w:val="Compact"/>
            </w:pPr>
            <w:r>
              <w:t xml:space="preserve">DC-001</w:t>
            </w:r>
          </w:p>
        </w:tc>
        <w:tc>
          <w:tcPr/>
          <w:p>
            <w:pPr>
              <w:pStyle w:val="Compact"/>
            </w:pPr>
            <w:r>
              <w:t xml:space="preserve">STK-006</w:t>
            </w:r>
          </w:p>
        </w:tc>
      </w:tr>
      <w:tr>
        <w:tc>
          <w:tcPr/>
          <w:p>
            <w:pPr>
              <w:pStyle w:val="Compact"/>
            </w:pPr>
            <w:r>
              <w:rPr>
                <w:b/>
                <w:bCs/>
              </w:rPr>
              <w:t xml:space="preserve">FR-AGT-022</w:t>
            </w:r>
          </w:p>
        </w:tc>
        <w:tc>
          <w:tcPr/>
          <w:p>
            <w:pPr>
              <w:pStyle w:val="Compact"/>
            </w:pPr>
            <w:r>
              <w:t xml:space="preserve">BG-003</w:t>
            </w:r>
          </w:p>
        </w:tc>
        <w:tc>
          <w:tcPr/>
          <w:p>
            <w:pPr>
              <w:pStyle w:val="Compact"/>
            </w:pPr>
            <w:r>
              <w:t xml:space="preserve">BR-001, BR-006</w:t>
            </w:r>
          </w:p>
        </w:tc>
        <w:tc>
          <w:tcPr/>
          <w:p>
            <w:pPr>
              <w:pStyle w:val="Compact"/>
            </w:pPr>
            <w:r>
              <w:t xml:space="preserve">DC-001</w:t>
            </w:r>
          </w:p>
        </w:tc>
        <w:tc>
          <w:tcPr/>
          <w:p>
            <w:pPr>
              <w:pStyle w:val="Compact"/>
            </w:pPr>
            <w:r>
              <w:t xml:space="preserve">STK-008</w:t>
            </w:r>
          </w:p>
        </w:tc>
      </w:tr>
      <w:tr>
        <w:tc>
          <w:tcPr/>
          <w:p>
            <w:pPr>
              <w:pStyle w:val="Compact"/>
            </w:pPr>
            <w:r>
              <w:rPr>
                <w:b/>
                <w:bCs/>
              </w:rPr>
              <w:t xml:space="preserve">FR-AGT-023</w:t>
            </w:r>
          </w:p>
        </w:tc>
        <w:tc>
          <w:tcPr/>
          <w:p>
            <w:pPr>
              <w:pStyle w:val="Compact"/>
            </w:pPr>
            <w:r>
              <w:t xml:space="preserve">BG-003</w:t>
            </w:r>
          </w:p>
        </w:tc>
        <w:tc>
          <w:tcPr/>
          <w:p>
            <w:pPr>
              <w:pStyle w:val="Compact"/>
            </w:pPr>
            <w:r>
              <w:t xml:space="preserve">-</w:t>
            </w:r>
          </w:p>
        </w:tc>
        <w:tc>
          <w:tcPr/>
          <w:p>
            <w:pPr>
              <w:pStyle w:val="Compact"/>
            </w:pPr>
            <w:r>
              <w:t xml:space="preserve">DC-003</w:t>
            </w:r>
          </w:p>
        </w:tc>
        <w:tc>
          <w:tcPr/>
          <w:p>
            <w:pPr>
              <w:pStyle w:val="Compact"/>
            </w:pPr>
            <w:r>
              <w:t xml:space="preserve">STK-006, STK-002</w:t>
            </w:r>
          </w:p>
        </w:tc>
      </w:tr>
      <w:tr>
        <w:tc>
          <w:tcPr/>
          <w:p>
            <w:pPr>
              <w:pStyle w:val="Compact"/>
            </w:pPr>
            <w:r>
              <w:rPr>
                <w:b/>
                <w:bCs/>
              </w:rPr>
              <w:t xml:space="preserve">FR-AGT-024</w:t>
            </w:r>
          </w:p>
        </w:tc>
        <w:tc>
          <w:tcPr/>
          <w:p>
            <w:pPr>
              <w:pStyle w:val="Compact"/>
            </w:pPr>
            <w:r>
              <w:t xml:space="preserve">BG-003</w:t>
            </w:r>
          </w:p>
        </w:tc>
        <w:tc>
          <w:tcPr/>
          <w:p>
            <w:pPr>
              <w:pStyle w:val="Compact"/>
            </w:pPr>
            <w:r>
              <w:t xml:space="preserve">BR-002</w:t>
            </w:r>
          </w:p>
        </w:tc>
        <w:tc>
          <w:tcPr/>
          <w:p>
            <w:pPr>
              <w:pStyle w:val="Compact"/>
            </w:pPr>
            <w:r>
              <w:t xml:space="preserve">DC-003</w:t>
            </w:r>
          </w:p>
        </w:tc>
        <w:tc>
          <w:tcPr/>
          <w:p>
            <w:pPr>
              <w:pStyle w:val="Compact"/>
            </w:pPr>
            <w:r>
              <w:t xml:space="preserve">STK-018</w:t>
            </w:r>
          </w:p>
        </w:tc>
      </w:tr>
      <w:tr>
        <w:tc>
          <w:tcPr/>
          <w:p>
            <w:pPr>
              <w:pStyle w:val="Compact"/>
            </w:pPr>
            <w:r>
              <w:rPr>
                <w:b/>
                <w:bCs/>
              </w:rPr>
              <w:t xml:space="preserve">FR-AGT-025</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FR-AGT-026</w:t>
            </w:r>
          </w:p>
        </w:tc>
        <w:tc>
          <w:tcPr/>
          <w:p>
            <w:pPr>
              <w:pStyle w:val="Compact"/>
            </w:pPr>
            <w:r>
              <w:t xml:space="preserve">BG-003</w:t>
            </w:r>
          </w:p>
        </w:tc>
        <w:tc>
          <w:tcPr/>
          <w:p>
            <w:pPr>
              <w:pStyle w:val="Compact"/>
            </w:pPr>
            <w:r>
              <w:t xml:space="preserve">BR-001</w:t>
            </w:r>
          </w:p>
        </w:tc>
        <w:tc>
          <w:tcPr/>
          <w:p>
            <w:pPr>
              <w:pStyle w:val="Compact"/>
            </w:pPr>
            <w:r>
              <w:t xml:space="preserve">DC-003</w:t>
            </w:r>
          </w:p>
        </w:tc>
        <w:tc>
          <w:tcPr/>
          <w:p>
            <w:pPr>
              <w:pStyle w:val="Compact"/>
            </w:pPr>
            <w:r>
              <w:t xml:space="preserve">STK-015</w:t>
            </w:r>
          </w:p>
        </w:tc>
      </w:tr>
      <w:tr>
        <w:tc>
          <w:tcPr/>
          <w:p>
            <w:pPr>
              <w:pStyle w:val="Compact"/>
            </w:pPr>
            <w:r>
              <w:rPr>
                <w:b/>
                <w:bCs/>
              </w:rPr>
              <w:t xml:space="preserve">FR-AGT-027</w:t>
            </w:r>
          </w:p>
        </w:tc>
        <w:tc>
          <w:tcPr/>
          <w:p>
            <w:pPr>
              <w:pStyle w:val="Compact"/>
            </w:pPr>
            <w:r>
              <w:t xml:space="preserve">BG-003</w:t>
            </w:r>
          </w:p>
        </w:tc>
        <w:tc>
          <w:tcPr/>
          <w:p>
            <w:pPr>
              <w:pStyle w:val="Compact"/>
            </w:pPr>
            <w:r>
              <w:t xml:space="preserve">BR-002</w:t>
            </w:r>
          </w:p>
        </w:tc>
        <w:tc>
          <w:tcPr/>
          <w:p>
            <w:pPr>
              <w:pStyle w:val="Compact"/>
            </w:pPr>
            <w:r>
              <w:t xml:space="preserve">DC-003</w:t>
            </w:r>
          </w:p>
        </w:tc>
        <w:tc>
          <w:tcPr/>
          <w:p>
            <w:pPr>
              <w:pStyle w:val="Compact"/>
            </w:pPr>
            <w:r>
              <w:t xml:space="preserve">STK-018</w:t>
            </w:r>
          </w:p>
        </w:tc>
      </w:tr>
      <w:tr>
        <w:tc>
          <w:tcPr/>
          <w:p>
            <w:pPr>
              <w:pStyle w:val="Compact"/>
            </w:pPr>
            <w:r>
              <w:rPr>
                <w:b/>
                <w:bCs/>
              </w:rPr>
              <w:t xml:space="preserve">FR-AGT-028</w:t>
            </w:r>
          </w:p>
        </w:tc>
        <w:tc>
          <w:tcPr/>
          <w:p>
            <w:pPr>
              <w:pStyle w:val="Compact"/>
            </w:pPr>
            <w:r>
              <w:t xml:space="preserve">BG-003</w:t>
            </w:r>
          </w:p>
        </w:tc>
        <w:tc>
          <w:tcPr/>
          <w:p>
            <w:pPr>
              <w:pStyle w:val="Compact"/>
            </w:pPr>
            <w:r>
              <w:t xml:space="preserve">-</w:t>
            </w:r>
          </w:p>
        </w:tc>
        <w:tc>
          <w:tcPr/>
          <w:p>
            <w:pPr>
              <w:pStyle w:val="Compact"/>
            </w:pPr>
            <w:r>
              <w:t xml:space="preserve">DC-005</w:t>
            </w:r>
          </w:p>
        </w:tc>
        <w:tc>
          <w:tcPr/>
          <w:p>
            <w:pPr>
              <w:pStyle w:val="Compact"/>
            </w:pPr>
            <w:r>
              <w:t xml:space="preserve">STK-015</w:t>
            </w:r>
          </w:p>
        </w:tc>
      </w:tr>
      <w:tr>
        <w:tc>
          <w:tcPr/>
          <w:p>
            <w:pPr>
              <w:pStyle w:val="Compact"/>
            </w:pPr>
            <w:r>
              <w:rPr>
                <w:b/>
                <w:bCs/>
              </w:rPr>
              <w:t xml:space="preserve">FR-AGT-029</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FR-AGT-030</w:t>
            </w:r>
          </w:p>
        </w:tc>
        <w:tc>
          <w:tcPr/>
          <w:p>
            <w:pPr>
              <w:pStyle w:val="Compact"/>
            </w:pPr>
            <w:r>
              <w:t xml:space="preserve">BG-003</w:t>
            </w:r>
          </w:p>
        </w:tc>
        <w:tc>
          <w:tcPr/>
          <w:p>
            <w:pPr>
              <w:pStyle w:val="Compact"/>
            </w:pPr>
            <w:r>
              <w:t xml:space="preserve">-</w:t>
            </w:r>
          </w:p>
        </w:tc>
        <w:tc>
          <w:tcPr/>
          <w:p>
            <w:pPr>
              <w:pStyle w:val="Compact"/>
            </w:pPr>
            <w:r>
              <w:t xml:space="preserve">DC-003</w:t>
            </w:r>
          </w:p>
        </w:tc>
        <w:tc>
          <w:tcPr/>
          <w:p>
            <w:pPr>
              <w:pStyle w:val="Compact"/>
            </w:pPr>
            <w:r>
              <w:t xml:space="preserve">STK-006</w:t>
            </w:r>
          </w:p>
        </w:tc>
      </w:tr>
      <w:tr>
        <w:tc>
          <w:tcPr/>
          <w:p>
            <w:pPr>
              <w:pStyle w:val="Compact"/>
            </w:pPr>
            <w:r>
              <w:rPr>
                <w:b/>
                <w:bCs/>
              </w:rPr>
              <w:t xml:space="preserve">FR-AGT-031</w:t>
            </w:r>
          </w:p>
        </w:tc>
        <w:tc>
          <w:tcPr/>
          <w:p>
            <w:pPr>
              <w:pStyle w:val="Compact"/>
            </w:pPr>
            <w:r>
              <w:t xml:space="preserve">BG-003</w:t>
            </w:r>
          </w:p>
        </w:tc>
        <w:tc>
          <w:tcPr/>
          <w:p>
            <w:pPr>
              <w:pStyle w:val="Compact"/>
            </w:pPr>
            <w:r>
              <w:t xml:space="preserve">BR-003</w:t>
            </w:r>
          </w:p>
        </w:tc>
        <w:tc>
          <w:tcPr/>
          <w:p>
            <w:pPr>
              <w:pStyle w:val="Compact"/>
            </w:pPr>
            <w:r>
              <w:t xml:space="preserve">DC-003</w:t>
            </w:r>
          </w:p>
        </w:tc>
        <w:tc>
          <w:tcPr/>
          <w:p>
            <w:pPr>
              <w:pStyle w:val="Compact"/>
            </w:pPr>
            <w:r>
              <w:t xml:space="preserve">STK-006, STK-002</w:t>
            </w:r>
          </w:p>
        </w:tc>
      </w:tr>
      <w:tr>
        <w:tc>
          <w:tcPr/>
          <w:p>
            <w:pPr>
              <w:pStyle w:val="Compact"/>
            </w:pPr>
            <w:r>
              <w:rPr>
                <w:b/>
                <w:bCs/>
              </w:rPr>
              <w:t xml:space="preserve">FR-AGT-032</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FR-AGT-033</w:t>
            </w:r>
          </w:p>
        </w:tc>
        <w:tc>
          <w:tcPr/>
          <w:p>
            <w:pPr>
              <w:pStyle w:val="Compact"/>
            </w:pPr>
            <w:r>
              <w:t xml:space="preserve">BG-003</w:t>
            </w:r>
          </w:p>
        </w:tc>
        <w:tc>
          <w:tcPr/>
          <w:p>
            <w:pPr>
              <w:pStyle w:val="Compact"/>
            </w:pPr>
            <w:r>
              <w:t xml:space="preserve">-</w:t>
            </w:r>
          </w:p>
        </w:tc>
        <w:tc>
          <w:tcPr/>
          <w:p>
            <w:pPr>
              <w:pStyle w:val="Compact"/>
            </w:pPr>
            <w:r>
              <w:t xml:space="preserve">DC-002</w:t>
            </w:r>
          </w:p>
        </w:tc>
        <w:tc>
          <w:tcPr/>
          <w:p>
            <w:pPr>
              <w:pStyle w:val="Compact"/>
            </w:pPr>
            <w:r>
              <w:t xml:space="preserve">STK-006</w:t>
            </w:r>
          </w:p>
        </w:tc>
      </w:tr>
      <w:tr>
        <w:tc>
          <w:tcPr/>
          <w:p>
            <w:pPr>
              <w:pStyle w:val="Compact"/>
            </w:pPr>
            <w:r>
              <w:rPr>
                <w:b/>
                <w:bCs/>
              </w:rPr>
              <w:t xml:space="preserve">FR-AGT-034</w:t>
            </w:r>
          </w:p>
        </w:tc>
        <w:tc>
          <w:tcPr/>
          <w:p>
            <w:pPr>
              <w:pStyle w:val="Compact"/>
            </w:pPr>
            <w:r>
              <w:t xml:space="preserve">BG-001, BG-003</w:t>
            </w:r>
          </w:p>
        </w:tc>
        <w:tc>
          <w:tcPr/>
          <w:p>
            <w:pPr>
              <w:pStyle w:val="Compact"/>
            </w:pPr>
            <w:r>
              <w:t xml:space="preserve">-</w:t>
            </w:r>
          </w:p>
        </w:tc>
        <w:tc>
          <w:tcPr/>
          <w:p>
            <w:pPr>
              <w:pStyle w:val="Compact"/>
            </w:pPr>
            <w:r>
              <w:t xml:space="preserve">DC-003</w:t>
            </w:r>
          </w:p>
        </w:tc>
        <w:tc>
          <w:tcPr/>
          <w:p>
            <w:pPr>
              <w:pStyle w:val="Compact"/>
            </w:pPr>
            <w:r>
              <w:t xml:space="preserve">STK-002</w:t>
            </w:r>
          </w:p>
        </w:tc>
      </w:tr>
    </w:tbl>
    <w:bookmarkEnd w:id="68"/>
    <w:bookmarkStart w:id="69" w:name="Xa516c2b682728bb5e7a1b421ed0e006a56805e5"/>
    <w:p>
      <w:pPr>
        <w:pStyle w:val="Heading2"/>
      </w:pPr>
      <w:r>
        <w:t xml:space="preserve">6.6 Requirements Count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FR Count</w:t>
            </w:r>
          </w:p>
        </w:tc>
      </w:tr>
      <w:tr>
        <w:tc>
          <w:tcPr/>
          <w:p>
            <w:pPr>
              <w:pStyle w:val="Compact"/>
            </w:pPr>
            <w:r>
              <w:t xml:space="preserve">F-001: Sales and Distribution</w:t>
            </w:r>
          </w:p>
        </w:tc>
        <w:tc>
          <w:tcPr/>
          <w:p>
            <w:pPr>
              <w:pStyle w:val="Compact"/>
            </w:pPr>
            <w:r>
              <w:t xml:space="preserve">35</w:t>
            </w:r>
          </w:p>
        </w:tc>
      </w:tr>
      <w:tr>
        <w:tc>
          <w:tcPr/>
          <w:p>
            <w:pPr>
              <w:pStyle w:val="Compact"/>
            </w:pPr>
            <w:r>
              <w:t xml:space="preserve">F-002: Point of Sale</w:t>
            </w:r>
          </w:p>
        </w:tc>
        <w:tc>
          <w:tcPr/>
          <w:p>
            <w:pPr>
              <w:pStyle w:val="Compact"/>
            </w:pPr>
            <w:r>
              <w:t xml:space="preserve">32</w:t>
            </w:r>
          </w:p>
        </w:tc>
      </w:tr>
      <w:tr>
        <w:tc>
          <w:tcPr/>
          <w:p>
            <w:pPr>
              <w:pStyle w:val="Compact"/>
            </w:pPr>
            <w:r>
              <w:t xml:space="preserve">F-003: Inventory and Warehouse Management</w:t>
            </w:r>
          </w:p>
        </w:tc>
        <w:tc>
          <w:tcPr/>
          <w:p>
            <w:pPr>
              <w:pStyle w:val="Compact"/>
            </w:pPr>
            <w:r>
              <w:t xml:space="preserve">37</w:t>
            </w:r>
          </w:p>
        </w:tc>
      </w:tr>
      <w:tr>
        <w:tc>
          <w:tcPr/>
          <w:p>
            <w:pPr>
              <w:pStyle w:val="Compact"/>
            </w:pPr>
            <w:r>
              <w:t xml:space="preserve">F-004: Agent Distribution Management</w:t>
            </w:r>
          </w:p>
        </w:tc>
        <w:tc>
          <w:tcPr/>
          <w:p>
            <w:pPr>
              <w:pStyle w:val="Compact"/>
            </w:pPr>
            <w:r>
              <w:t xml:space="preserve">34</w:t>
            </w:r>
          </w:p>
        </w:tc>
      </w:tr>
      <w:tr>
        <w:tc>
          <w:tcPr/>
          <w:p>
            <w:pPr>
              <w:pStyle w:val="Compact"/>
            </w:pPr>
            <w:r>
              <w:rPr>
                <w:b/>
                <w:bCs/>
              </w:rPr>
              <w:t xml:space="preserve">Total</w:t>
            </w:r>
          </w:p>
        </w:tc>
        <w:tc>
          <w:tcPr/>
          <w:p>
            <w:pPr>
              <w:pStyle w:val="Compact"/>
            </w:pPr>
            <w:r>
              <w:rPr>
                <w:b/>
                <w:bCs/>
              </w:rPr>
              <w:t xml:space="preserve">138</w:t>
            </w:r>
          </w:p>
        </w:tc>
      </w:tr>
    </w:tbl>
    <w:bookmarkEnd w:id="69"/>
    <w:bookmarkEnd w:id="70"/>
    <w:bookmarkStart w:id="75" w:name="X4be4848ec19316e1f3fe392efb919ebe55d4a30"/>
    <w:p>
      <w:pPr>
        <w:pStyle w:val="Heading1"/>
      </w:pPr>
      <w:r>
        <w:t xml:space="preserve">Appendix A: Open Items, Context Gaps, and V&amp;V Flags</w:t>
      </w:r>
    </w:p>
    <w:bookmarkStart w:id="71" w:name="a1-context-gaps"/>
    <w:p>
      <w:pPr>
        <w:pStyle w:val="Heading2"/>
      </w:pPr>
      <w:r>
        <w:t xml:space="preserve">A.1 Context Gaps</w:t>
      </w:r>
    </w:p>
    <w:p>
      <w:pPr>
        <w:pStyle w:val="FirstParagraph"/>
      </w:pPr>
      <w:r>
        <w:t xml:space="preserve">The following items are unresolved at the time of this document's drafting. No requirement that depends on these gaps may pass acceptance testing until the gap is resolved.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Severity</w:t>
            </w:r>
          </w:p>
        </w:tc>
        <w:tc>
          <w:tcPr/>
          <w:p>
            <w:pPr>
              <w:pStyle w:val="Compact"/>
            </w:pPr>
            <w:r>
              <w:t xml:space="preserve">Blocking Requirement(s)</w:t>
            </w:r>
          </w:p>
        </w:tc>
        <w:tc>
          <w:tcPr/>
          <w:p>
            <w:pPr>
              <w:pStyle w:val="Compact"/>
            </w:pPr>
            <w:r>
              <w:t xml:space="preserve">Owner</w:t>
            </w:r>
          </w:p>
        </w:tc>
      </w:tr>
      <w:tr>
        <w:tc>
          <w:tcPr/>
          <w:p>
            <w:pPr>
              <w:pStyle w:val="Compact"/>
            </w:pPr>
            <w:r>
              <w:rPr>
                <w:b/>
                <w:bCs/>
              </w:rPr>
              <w:t xml:space="preserve">GAP-001</w:t>
            </w:r>
          </w:p>
        </w:tc>
        <w:tc>
          <w:tcPr/>
          <w:p>
            <w:pPr>
              <w:pStyle w:val="Compact"/>
            </w:pPr>
            <w:r>
              <w:t xml:space="preserve">URA EFRIS API sandbox credentials for development and testing</w:t>
            </w:r>
          </w:p>
        </w:tc>
        <w:tc>
          <w:tcPr/>
          <w:p>
            <w:pPr>
              <w:pStyle w:val="Compact"/>
            </w:pPr>
            <w:r>
              <w:t xml:space="preserve">High</w:t>
            </w:r>
          </w:p>
        </w:tc>
        <w:tc>
          <w:tcPr/>
          <w:p>
            <w:pPr>
              <w:pStyle w:val="Compact"/>
            </w:pPr>
            <w:r>
              <w:t xml:space="preserve">FR-SAL-011, FR-SAL-012, FR-SAL-015, FR-SAL-033, FR-POS-014, FR-POS-015, FR-POS-017, FR-SAL-030, FR-SAL-035</w:t>
            </w:r>
          </w:p>
        </w:tc>
        <w:tc>
          <w:tcPr/>
          <w:p>
            <w:pPr>
              <w:pStyle w:val="Compact"/>
            </w:pPr>
            <w:r>
              <w:t xml:space="preserve">BIRDC IT / Peter</w:t>
            </w:r>
          </w:p>
        </w:tc>
      </w:tr>
      <w:tr>
        <w:tc>
          <w:tcPr/>
          <w:p>
            <w:pPr>
              <w:pStyle w:val="Compact"/>
            </w:pPr>
            <w:r>
              <w:rPr>
                <w:b/>
                <w:bCs/>
              </w:rPr>
              <w:t xml:space="preserve">GAP-002</w:t>
            </w:r>
          </w:p>
        </w:tc>
        <w:tc>
          <w:tcPr/>
          <w:p>
            <w:pPr>
              <w:pStyle w:val="Compact"/>
            </w:pPr>
            <w:r>
              <w:t xml:space="preserve">MTN MoMo Business API sandbox credentials</w:t>
            </w:r>
          </w:p>
        </w:tc>
        <w:tc>
          <w:tcPr/>
          <w:p>
            <w:pPr>
              <w:pStyle w:val="Compact"/>
            </w:pPr>
            <w:r>
              <w:t xml:space="preserve">High</w:t>
            </w:r>
          </w:p>
        </w:tc>
        <w:tc>
          <w:tcPr/>
          <w:p>
            <w:pPr>
              <w:pStyle w:val="Compact"/>
            </w:pPr>
            <w:r>
              <w:t xml:space="preserve">FR-POS-009, FR-AGT-028</w:t>
            </w:r>
          </w:p>
        </w:tc>
        <w:tc>
          <w:tcPr/>
          <w:p>
            <w:pPr>
              <w:pStyle w:val="Compact"/>
            </w:pPr>
            <w:r>
              <w:t xml:space="preserve">Peter / BIRDC Finance</w:t>
            </w:r>
          </w:p>
        </w:tc>
      </w:tr>
      <w:tr>
        <w:tc>
          <w:tcPr/>
          <w:p>
            <w:pPr>
              <w:pStyle w:val="Compact"/>
            </w:pPr>
            <w:r>
              <w:rPr>
                <w:b/>
                <w:bCs/>
              </w:rPr>
              <w:t xml:space="preserve">GAP-003</w:t>
            </w:r>
          </w:p>
        </w:tc>
        <w:tc>
          <w:tcPr/>
          <w:p>
            <w:pPr>
              <w:pStyle w:val="Compact"/>
            </w:pPr>
            <w:r>
              <w:t xml:space="preserve">Airtel Money API sandbox credentials</w:t>
            </w:r>
          </w:p>
        </w:tc>
        <w:tc>
          <w:tcPr/>
          <w:p>
            <w:pPr>
              <w:pStyle w:val="Compact"/>
            </w:pPr>
            <w:r>
              <w:t xml:space="preserve">Medium</w:t>
            </w:r>
          </w:p>
        </w:tc>
        <w:tc>
          <w:tcPr/>
          <w:p>
            <w:pPr>
              <w:pStyle w:val="Compact"/>
            </w:pPr>
            <w:r>
              <w:t xml:space="preserve">FR-POS-010</w:t>
            </w:r>
          </w:p>
        </w:tc>
        <w:tc>
          <w:tcPr/>
          <w:p>
            <w:pPr>
              <w:pStyle w:val="Compact"/>
            </w:pPr>
            <w:r>
              <w:t xml:space="preserve">Peter / BIRDC Finance</w:t>
            </w:r>
          </w:p>
        </w:tc>
      </w:tr>
      <w:tr>
        <w:tc>
          <w:tcPr/>
          <w:p>
            <w:pPr>
              <w:pStyle w:val="Compact"/>
            </w:pPr>
            <w:r>
              <w:rPr>
                <w:b/>
                <w:bCs/>
              </w:rPr>
              <w:t xml:space="preserve">GAP-004</w:t>
            </w:r>
          </w:p>
        </w:tc>
        <w:tc>
          <w:tcPr/>
          <w:p>
            <w:pPr>
              <w:pStyle w:val="Compact"/>
            </w:pPr>
            <w:r>
              <w:t xml:space="preserve">Uganda Data Protection and Privacy Act 2019 legal review for agent NIN, photo, GPS, and mobile money data</w:t>
            </w:r>
          </w:p>
        </w:tc>
        <w:tc>
          <w:tcPr/>
          <w:p>
            <w:pPr>
              <w:pStyle w:val="Compact"/>
            </w:pPr>
            <w:r>
              <w:t xml:space="preserve">Critical</w:t>
            </w:r>
          </w:p>
        </w:tc>
        <w:tc>
          <w:tcPr/>
          <w:p>
            <w:pPr>
              <w:pStyle w:val="Compact"/>
            </w:pPr>
            <w:r>
              <w:t xml:space="preserve">FR-AGT-001 (agent NIN/photo)</w:t>
            </w:r>
          </w:p>
        </w:tc>
        <w:tc>
          <w:tcPr/>
          <w:p>
            <w:pPr>
              <w:pStyle w:val="Compact"/>
            </w:pPr>
            <w:r>
              <w:t xml:space="preserve">BIRDC Legal / Peter</w:t>
            </w:r>
          </w:p>
        </w:tc>
      </w:tr>
      <w:tr>
        <w:tc>
          <w:tcPr/>
          <w:p>
            <w:pPr>
              <w:pStyle w:val="Compact"/>
            </w:pPr>
            <w:r>
              <w:rPr>
                <w:b/>
                <w:bCs/>
              </w:rPr>
              <w:t xml:space="preserve">GAP-012</w:t>
            </w:r>
          </w:p>
        </w:tc>
        <w:tc>
          <w:tcPr/>
          <w:p>
            <w:pPr>
              <w:pStyle w:val="Compact"/>
            </w:pPr>
            <w:r>
              <w:t xml:space="preserve">Confirm whether BIRDC holds an existing Chart of Accounts (1,307 accounts) or this requires design from scratch</w:t>
            </w:r>
          </w:p>
        </w:tc>
        <w:tc>
          <w:tcPr/>
          <w:p>
            <w:pPr>
              <w:pStyle w:val="Compact"/>
            </w:pPr>
            <w:r>
              <w:t xml:space="preserve">High</w:t>
            </w:r>
          </w:p>
        </w:tc>
        <w:tc>
          <w:tcPr/>
          <w:p>
            <w:pPr>
              <w:pStyle w:val="Compact"/>
            </w:pPr>
            <w:r>
              <w:t xml:space="preserve">FR-SAL-013, FR-AGT-010, FR-AGT-034, FR-INV-020, FR-INV-028</w:t>
            </w:r>
          </w:p>
        </w:tc>
        <w:tc>
          <w:tcPr/>
          <w:p>
            <w:pPr>
              <w:pStyle w:val="Compact"/>
            </w:pPr>
            <w:r>
              <w:t xml:space="preserve">BIRDC Finance Director</w:t>
            </w:r>
          </w:p>
        </w:tc>
      </w:tr>
      <w:tr>
        <w:tc>
          <w:tcPr/>
          <w:p>
            <w:pPr>
              <w:pStyle w:val="Compact"/>
            </w:pPr>
            <w:r>
              <w:rPr>
                <w:b/>
                <w:bCs/>
              </w:rPr>
              <w:t xml:space="preserve">GAP-013</w:t>
            </w:r>
          </w:p>
        </w:tc>
        <w:tc>
          <w:tcPr/>
          <w:p>
            <w:pPr>
              <w:pStyle w:val="Compact"/>
            </w:pPr>
            <w:r>
              <w:t xml:space="preserve">Cold store temperature sensor capability at BIRDC Nyaruzinga (automated or manual)</w:t>
            </w:r>
          </w:p>
        </w:tc>
        <w:tc>
          <w:tcPr/>
          <w:p>
            <w:pPr>
              <w:pStyle w:val="Compact"/>
            </w:pPr>
            <w:r>
              <w:t xml:space="preserve">Medium</w:t>
            </w:r>
          </w:p>
        </w:tc>
        <w:tc>
          <w:tcPr/>
          <w:p>
            <w:pPr>
              <w:pStyle w:val="Compact"/>
            </w:pPr>
            <w:r>
              <w:t xml:space="preserve">FR-INV-029</w:t>
            </w:r>
          </w:p>
        </w:tc>
        <w:tc>
          <w:tcPr/>
          <w:p>
            <w:pPr>
              <w:pStyle w:val="Compact"/>
            </w:pPr>
            <w:r>
              <w:t xml:space="preserve">BIRDC IT</w:t>
            </w:r>
          </w:p>
        </w:tc>
      </w:tr>
      <w:tr>
        <w:tc>
          <w:tcPr/>
          <w:p>
            <w:pPr>
              <w:pStyle w:val="Compact"/>
            </w:pPr>
            <w:r>
              <w:rPr>
                <w:b/>
                <w:bCs/>
              </w:rPr>
              <w:t xml:space="preserve">GAP-014</w:t>
            </w:r>
          </w:p>
        </w:tc>
        <w:tc>
          <w:tcPr/>
          <w:p>
            <w:pPr>
              <w:pStyle w:val="Compact"/>
            </w:pPr>
            <w:r>
              <w:t xml:space="preserve">Packaging material item codes and existing legacy data migration requirements</w:t>
            </w:r>
          </w:p>
        </w:tc>
        <w:tc>
          <w:tcPr/>
          <w:p>
            <w:pPr>
              <w:pStyle w:val="Compact"/>
            </w:pPr>
            <w:r>
              <w:t xml:space="preserve">High</w:t>
            </w:r>
          </w:p>
        </w:tc>
        <w:tc>
          <w:tcPr/>
          <w:p>
            <w:pPr>
              <w:pStyle w:val="Compact"/>
            </w:pPr>
            <w:r>
              <w:t xml:space="preserve">FR-INV-030, phase go-live planning</w:t>
            </w:r>
          </w:p>
        </w:tc>
        <w:tc>
          <w:tcPr/>
          <w:p>
            <w:pPr>
              <w:pStyle w:val="Compact"/>
            </w:pPr>
            <w:r>
              <w:t xml:space="preserve">BIRDC Finance / Procurement</w:t>
            </w:r>
          </w:p>
        </w:tc>
      </w:tr>
    </w:tbl>
    <w:bookmarkEnd w:id="71"/>
    <w:bookmarkStart w:id="72" w:name="a2-vv-flags-and-verification-notes"/>
    <w:p>
      <w:pPr>
        <w:pStyle w:val="Heading2"/>
      </w:pPr>
      <w:r>
        <w:t xml:space="preserve">A.2 V&amp;V Flags and Verification Notes</w:t>
      </w:r>
    </w:p>
    <w:p>
      <w:pPr>
        <w:pStyle w:val="FirstParagraph"/>
      </w:pPr>
      <w:r>
        <w:t xml:space="preserve">The following requirements require additional detail or stakeholder confirmation before they can be marked "verified" per the IEEE 1012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Location</w:t>
            </w:r>
          </w:p>
        </w:tc>
        <w:tc>
          <w:tcPr/>
          <w:p>
            <w:pPr>
              <w:pStyle w:val="Compact"/>
            </w:pPr>
            <w:r>
              <w:t xml:space="preserve">Description</w:t>
            </w:r>
          </w:p>
        </w:tc>
      </w:tr>
      <w:tr>
        <w:tc>
          <w:tcPr/>
          <w:p>
            <w:pPr>
              <w:pStyle w:val="Compact"/>
            </w:pPr>
            <w:r>
              <w:rPr>
                <w:rStyle w:val="VerbatimChar"/>
              </w:rPr>
              <w:t xml:space="preserve">[CONTEXT-GAP: GAP-001]</w:t>
            </w:r>
          </w:p>
        </w:tc>
        <w:tc>
          <w:tcPr/>
          <w:p>
            <w:pPr>
              <w:pStyle w:val="Compact"/>
            </w:pPr>
            <w:r>
              <w:t xml:space="preserve">FR-SAL-011, FR-SAL-030, FR-SAL-035, FR-POS-014, FR-POS-017</w:t>
            </w:r>
          </w:p>
        </w:tc>
        <w:tc>
          <w:tcPr/>
          <w:p>
            <w:pPr>
              <w:pStyle w:val="Compact"/>
            </w:pPr>
            <w:r>
              <w:t xml:space="preserve">EFRIS sandbox not yet available; EFRIS submission logic cannot be integration-tested until credentials are provided</w:t>
            </w:r>
          </w:p>
        </w:tc>
      </w:tr>
      <w:tr>
        <w:tc>
          <w:tcPr/>
          <w:p>
            <w:pPr>
              <w:pStyle w:val="Compact"/>
            </w:pPr>
            <w:r>
              <w:rPr>
                <w:rStyle w:val="VerbatimChar"/>
              </w:rPr>
              <w:t xml:space="preserve">[CONTEXT-GAP: GAP-002]</w:t>
            </w:r>
          </w:p>
        </w:tc>
        <w:tc>
          <w:tcPr/>
          <w:p>
            <w:pPr>
              <w:pStyle w:val="Compact"/>
            </w:pPr>
            <w:r>
              <w:t xml:space="preserve">FR-POS-009, FR-AGT-028</w:t>
            </w:r>
          </w:p>
        </w:tc>
        <w:tc>
          <w:tcPr/>
          <w:p>
            <w:pPr>
              <w:pStyle w:val="Compact"/>
            </w:pPr>
            <w:r>
              <w:t xml:space="preserve">MTN MoMo API integration cannot be tested until sandbox credentials are confirmed</w:t>
            </w:r>
          </w:p>
        </w:tc>
      </w:tr>
      <w:tr>
        <w:tc>
          <w:tcPr/>
          <w:p>
            <w:pPr>
              <w:pStyle w:val="Compact"/>
            </w:pPr>
            <w:r>
              <w:rPr>
                <w:rStyle w:val="VerbatimChar"/>
              </w:rPr>
              <w:t xml:space="preserve">[CONTEXT-GAP: GAP-003]</w:t>
            </w:r>
          </w:p>
        </w:tc>
        <w:tc>
          <w:tcPr/>
          <w:p>
            <w:pPr>
              <w:pStyle w:val="Compact"/>
            </w:pPr>
            <w:r>
              <w:t xml:space="preserve">FR-POS-010</w:t>
            </w:r>
          </w:p>
        </w:tc>
        <w:tc>
          <w:tcPr/>
          <w:p>
            <w:pPr>
              <w:pStyle w:val="Compact"/>
            </w:pPr>
            <w:r>
              <w:t xml:space="preserve">Airtel Money integration cannot be tested</w:t>
            </w:r>
          </w:p>
        </w:tc>
      </w:tr>
      <w:tr>
        <w:tc>
          <w:tcPr/>
          <w:p>
            <w:pPr>
              <w:pStyle w:val="Compact"/>
            </w:pPr>
            <w:r>
              <w:rPr>
                <w:rStyle w:val="VerbatimChar"/>
              </w:rPr>
              <w:t xml:space="preserve">[CONTEXT-GAP: GAP-004]</w:t>
            </w:r>
          </w:p>
        </w:tc>
        <w:tc>
          <w:tcPr/>
          <w:p>
            <w:pPr>
              <w:pStyle w:val="Compact"/>
            </w:pPr>
            <w:r>
              <w:t xml:space="preserve">FR-AGT-001</w:t>
            </w:r>
          </w:p>
        </w:tc>
        <w:tc>
          <w:tcPr/>
          <w:p>
            <w:pPr>
              <w:pStyle w:val="Compact"/>
            </w:pPr>
            <w:r>
              <w:t xml:space="preserve">Agent personal data collection (NIN, photo) requires legal sign-off before implementation</w:t>
            </w:r>
          </w:p>
        </w:tc>
      </w:tr>
      <w:tr>
        <w:tc>
          <w:tcPr/>
          <w:p>
            <w:pPr>
              <w:pStyle w:val="Compact"/>
            </w:pPr>
            <w:r>
              <w:rPr>
                <w:rStyle w:val="VerbatimChar"/>
              </w:rPr>
              <w:t xml:space="preserve">[CONTEXT-GAP: GAP-012]</w:t>
            </w:r>
          </w:p>
        </w:tc>
        <w:tc>
          <w:tcPr/>
          <w:p>
            <w:pPr>
              <w:pStyle w:val="Compact"/>
            </w:pPr>
            <w:r>
              <w:t xml:space="preserve">FR-INV-028, FR-AGT-034</w:t>
            </w:r>
          </w:p>
        </w:tc>
        <w:tc>
          <w:tcPr/>
          <w:p>
            <w:pPr>
              <w:pStyle w:val="Compact"/>
            </w:pPr>
            <w:r>
              <w:t xml:space="preserve">GL account mapping for product categories and agent AR sub-accounts depends on Chart of Accounts availability</w:t>
            </w:r>
          </w:p>
        </w:tc>
      </w:tr>
      <w:tr>
        <w:tc>
          <w:tcPr/>
          <w:p>
            <w:pPr>
              <w:pStyle w:val="Compact"/>
            </w:pPr>
            <w:r>
              <w:rPr>
                <w:rStyle w:val="VerbatimChar"/>
              </w:rPr>
              <w:t xml:space="preserve">[VERIFIABILITY-FAIL: FR-POS-017]</w:t>
            </w:r>
          </w:p>
        </w:tc>
        <w:tc>
          <w:tcPr/>
          <w:p>
            <w:pPr>
              <w:pStyle w:val="Compact"/>
            </w:pPr>
            <w:r>
              <w:t xml:space="preserve">FR-POS-017</w:t>
            </w:r>
          </w:p>
        </w:tc>
        <w:tc>
          <w:tcPr/>
          <w:p>
            <w:pPr>
              <w:pStyle w:val="Compact"/>
            </w:pPr>
            <w:r>
              <w:t xml:space="preserve">SMS/WhatsApp gateway provider not confirmed; receipt delivery mechanism cannot be fully specified until provider is named</w:t>
            </w:r>
          </w:p>
        </w:tc>
      </w:tr>
      <w:tr>
        <w:tc>
          <w:tcPr/>
          <w:p>
            <w:pPr>
              <w:pStyle w:val="Compact"/>
            </w:pPr>
            <w:r>
              <w:rPr>
                <w:rStyle w:val="VerbatimChar"/>
              </w:rPr>
              <w:t xml:space="preserve">[CONTEXT-GAP: GAP-013]</w:t>
            </w:r>
          </w:p>
        </w:tc>
        <w:tc>
          <w:tcPr/>
          <w:p>
            <w:pPr>
              <w:pStyle w:val="Compact"/>
            </w:pPr>
            <w:r>
              <w:t xml:space="preserve">FR-INV-029</w:t>
            </w:r>
          </w:p>
        </w:tc>
        <w:tc>
          <w:tcPr/>
          <w:p>
            <w:pPr>
              <w:pStyle w:val="Compact"/>
            </w:pPr>
            <w:r>
              <w:t xml:space="preserve">Cold store temperature logging mechanism depends on hardware confirmation</w:t>
            </w:r>
          </w:p>
        </w:tc>
      </w:tr>
    </w:tbl>
    <w:bookmarkEnd w:id="72"/>
    <w:bookmarkStart w:id="73" w:name="a3-glossary-gaps"/>
    <w:p>
      <w:pPr>
        <w:pStyle w:val="Heading2"/>
      </w:pPr>
      <w:r>
        <w:t xml:space="preserve">A.3 Glossary Gaps</w:t>
      </w:r>
    </w:p>
    <w:p>
      <w:pPr>
        <w:pStyle w:val="FirstParagraph"/>
      </w:pPr>
      <w:r>
        <w:t xml:space="preserve">All domain terms used in this document are defined in</w:t>
      </w:r>
      <w:r>
        <w:t xml:space="preserve"> </w:t>
      </w:r>
      <w:r>
        <w:rPr>
          <w:rStyle w:val="VerbatimChar"/>
        </w:rPr>
        <w:t xml:space="preserve">_context/glossary.md</w:t>
      </w:r>
      <w:r>
        <w:t xml:space="preserve">. The following terms are used in this document and are confirmed present in the glossary:</w:t>
      </w:r>
    </w:p>
    <w:p>
      <w:pPr>
        <w:pStyle w:val="BodyText"/>
      </w:pPr>
      <w:r>
        <w:t xml:space="preserve">BIRDC, PIBID, Tooke, Agent, Agent Cash Balance, Agent Stock Balance, CoA, Cooperative, Circular Economy, DC, Dual-Mode Accounting, Dual-Track Inventory, EFRIS, FEFO, FDN, Float Limit, GL, GRN, Hash Chain, ICPAU, Imprest, JE, LPO, LST, Mass Balance, Matooke, NCR, NIN, NSSF, OAG, PAYE, POS, PPDA, PRD, QC, Remittance, RFQ, SPC, TIN, URA, Vote, WHT, WIP, ZKTeco.</w:t>
      </w:r>
    </w:p>
    <w:p>
      <w:pPr>
        <w:pStyle w:val="BodyText"/>
      </w:pPr>
      <w:r>
        <w:t xml:space="preserve">No</w:t>
      </w:r>
      <w:r>
        <w:t xml:space="preserve"> </w:t>
      </w:r>
      <w:r>
        <w:rPr>
          <w:rStyle w:val="VerbatimChar"/>
        </w:rPr>
        <w:t xml:space="preserve">[GLOSSARY-GAP]</w:t>
      </w:r>
      <w:r>
        <w:t xml:space="preserve"> </w:t>
      </w:r>
      <w:r>
        <w:t xml:space="preserve">flags at this time.</w:t>
      </w:r>
    </w:p>
    <w:bookmarkEnd w:id="73"/>
    <w:bookmarkStart w:id="74" w:name="Xe966db5dadd575ef24ebe93f3f8f9a41540edbd"/>
    <w:p>
      <w:pPr>
        <w:pStyle w:val="Heading2"/>
      </w:pPr>
      <w:r>
        <w:t xml:space="preserve">A.4 Human Review Gate — Required Stakeholder Acknowledgements</w:t>
      </w:r>
    </w:p>
    <w:p>
      <w:pPr>
        <w:pStyle w:val="FirstParagraph"/>
      </w:pPr>
      <w:r>
        <w:t xml:space="preserve">Per the PRIME Methodology (Inspect step), the following items require explicit stakeholder acknowledgement before this document is baselined for development:</w:t>
      </w:r>
    </w:p>
    <w:p>
      <w:pPr>
        <w:pStyle w:val="Compact"/>
        <w:numPr>
          <w:ilvl w:val="0"/>
          <w:numId w:val="1010"/>
        </w:numPr>
      </w:pPr>
      <w:r>
        <w:rPr>
          <w:b/>
          <w:bCs/>
        </w:rPr>
        <w:t xml:space="preserve">Finance Director (STK-002)</w:t>
      </w:r>
      <w:r>
        <w:t xml:space="preserve"> </w:t>
      </w:r>
      <w:r>
        <w:t xml:space="preserve">shall confirm the GL account structure for FR-SAL-013, FR-SAL-018, FR-INV-020, FR-AGT-010, and FR-AGT-014 (dependent on GAP-012 resolution).</w:t>
      </w:r>
    </w:p>
    <w:p>
      <w:pPr>
        <w:pStyle w:val="Compact"/>
        <w:numPr>
          <w:ilvl w:val="0"/>
          <w:numId w:val="1010"/>
        </w:numPr>
      </w:pPr>
      <w:r>
        <w:rPr>
          <w:b/>
          <w:bCs/>
        </w:rPr>
        <w:t xml:space="preserve">Sales and Marketing Manager (STK-006)</w:t>
      </w:r>
      <w:r>
        <w:t xml:space="preserve"> </w:t>
      </w:r>
      <w:r>
        <w:t xml:space="preserve">shall confirm the daily sales summary content (FR-SAL-025) and the automatic agent suspension threshold (FR-AGT-016).</w:t>
      </w:r>
    </w:p>
    <w:p>
      <w:pPr>
        <w:pStyle w:val="Compact"/>
        <w:numPr>
          <w:ilvl w:val="0"/>
          <w:numId w:val="1010"/>
        </w:numPr>
      </w:pPr>
      <w:r>
        <w:rPr>
          <w:b/>
          <w:bCs/>
        </w:rPr>
        <w:t xml:space="preserve">BIRDC Director (STK-001)</w:t>
      </w:r>
      <w:r>
        <w:t xml:space="preserve"> </w:t>
      </w:r>
      <w:r>
        <w:t xml:space="preserve">shall confirm the push notification recipients and escalation thresholds.</w:t>
      </w:r>
    </w:p>
    <w:p>
      <w:pPr>
        <w:pStyle w:val="Compact"/>
        <w:numPr>
          <w:ilvl w:val="0"/>
          <w:numId w:val="1010"/>
        </w:numPr>
      </w:pPr>
      <w:r>
        <w:rPr>
          <w:b/>
          <w:bCs/>
        </w:rPr>
        <w:t xml:space="preserve">IT Administrator (STK-003)</w:t>
      </w:r>
      <w:r>
        <w:t xml:space="preserve"> </w:t>
      </w:r>
      <w:r>
        <w:t xml:space="preserve">shall confirm server hardware availability (</w:t>
      </w:r>
      <w:r>
        <w:rPr>
          <w:b/>
          <w:bCs/>
        </w:rPr>
        <w:t xml:space="preserve">GAP-013</w:t>
      </w:r>
      <w:r>
        <w:t xml:space="preserve">) and EFRIS API access.</w:t>
      </w:r>
    </w:p>
    <w:p>
      <w:pPr>
        <w:pStyle w:val="Compact"/>
        <w:numPr>
          <w:ilvl w:val="0"/>
          <w:numId w:val="1010"/>
        </w:numPr>
      </w:pPr>
      <w:r>
        <w:rPr>
          <w:b/>
          <w:bCs/>
        </w:rPr>
        <w:t xml:space="preserve">BIRDC Legal</w:t>
      </w:r>
      <w:r>
        <w:t xml:space="preserve"> </w:t>
      </w:r>
      <w:r>
        <w:t xml:space="preserve">shall confirm data protection compliance posture (</w:t>
      </w:r>
      <w:r>
        <w:rPr>
          <w:b/>
          <w:bCs/>
        </w:rPr>
        <w:t xml:space="preserve">GAP-004</w:t>
      </w:r>
      <w:r>
        <w:t xml:space="preserve">) before FR-AGT-001 is implemented.</w:t>
      </w:r>
    </w:p>
    <w:p>
      <w:r>
        <w:pict>
          <v:rect style="width:0;height:1.5pt" o:hralign="center" o:hrstd="t" o:hr="t"/>
        </w:pict>
      </w:r>
    </w:p>
    <w:p>
      <w:pPr>
        <w:pStyle w:val="FirstParagraph"/>
      </w:pPr>
      <w:r>
        <w:rPr>
          <w:i/>
          <w:iCs/>
        </w:rPr>
        <w:t xml:space="preserve">End of Appendix A</w:t>
      </w:r>
    </w:p>
    <w:p>
      <w:r>
        <w:pict>
          <v:rect style="width:0;height:1.5pt" o:hralign="center" o:hrstd="t" o:hr="t"/>
        </w:pict>
      </w:r>
    </w:p>
    <w:p>
      <w:pPr>
        <w:pStyle w:val="FirstParagraph"/>
      </w:pPr>
      <w:r>
        <w:rPr>
          <w:i/>
          <w:iCs/>
        </w:rPr>
        <w:t xml:space="preserve">End of Document</w:t>
      </w:r>
    </w:p>
    <w:p>
      <w:pPr>
        <w:pStyle w:val="BodyText"/>
      </w:pPr>
      <w:r>
        <w:rPr>
          <w:i/>
          <w:iCs/>
        </w:rPr>
        <w:t xml:space="preserve">SRS Version 1.0 DRAFT — BIRDC ERP Phase 1: Commerce Foundation</w:t>
      </w:r>
    </w:p>
    <w:p>
      <w:pPr>
        <w:pStyle w:val="BodyText"/>
      </w:pPr>
      <w:r>
        <w:rPr>
          <w:i/>
          <w:iCs/>
        </w:rPr>
        <w:t xml:space="preserve">Prepared by Peter Bamuhigire, ICT Consultant (techguypeter.com) for PIBID/BIRDC</w:t>
      </w:r>
    </w:p>
    <w:p>
      <w:pPr>
        <w:pStyle w:val="BodyText"/>
      </w:pPr>
      <w:r>
        <w:rPr>
          <w:i/>
          <w:iCs/>
        </w:rPr>
        <w:t xml:space="preserve">2026-04-05</w:t>
      </w:r>
    </w:p>
    <w:bookmarkEnd w:id="74"/>
    <w:bookmarkEnd w:id="7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BIRDC ERP Phase 1: Commerce Foundation</dc:title>
  <dc:creator>Peter Bamuhigire, ICT Consultant (techguypeter.com) for PIBID/BIRDC</dc:creator>
  <cp:keywords/>
  <dcterms:created xsi:type="dcterms:W3CDTF">2026-04-05T16:44:06Z</dcterms:created>
  <dcterms:modified xsi:type="dcterms:W3CDTF">2026-04-05T16:44:06Z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 DRAFT</vt:lpwstr>
  </property>
</Properties>
</file>