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Analysis — BIRDC ERP</w:t>
      </w:r>
    </w:p>
    <w:p>
      <w:pPr>
        <w:pStyle w:val="Subtitle"/>
      </w:pPr>
      <w:r>
        <w:t xml:space="preserve">Requirements Engineering | Document 08</w:t>
      </w:r>
    </w:p>
    <w:p>
      <w:pPr>
        <w:pStyle w:val="Author"/>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takeholder-analysis--birdc-erp"/>
    <w:p>
      <w:pPr>
        <w:pStyle w:val="Heading1"/>
      </w:pPr>
      <w:r>
        <w:t xml:space="preserve">Stakeholder Analysis — BIRDC ERP</w:t>
      </w:r>
    </w:p>
    <w:p>
      <w:pPr>
        <w:pStyle w:val="FirstParagraph"/>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w:t>
      </w:r>
    </w:p>
    <w:p>
      <w:pPr>
        <w:pStyle w:val="BodyText"/>
      </w:pPr>
      <w:r>
        <w:rPr>
          <w:b/>
          <w:bCs/>
        </w:rPr>
        <w:t xml:space="preserve">Date:</w:t>
      </w:r>
      <w:r>
        <w:t xml:space="preserve"> </w:t>
      </w:r>
      <w:r>
        <w:t xml:space="preserve">2026-04-05</w:t>
      </w:r>
    </w:p>
    <w:p>
      <w:pPr>
        <w:pStyle w:val="BodyText"/>
      </w:pPr>
      <w:r>
        <w:rPr>
          <w:b/>
          <w:bCs/>
        </w:rPr>
        <w:t xml:space="preserve">Classification:</w:t>
      </w:r>
      <w:r>
        <w:t xml:space="preserve"> </w:t>
      </w:r>
      <w:r>
        <w:t xml:space="preserve">Requirements Engineering — Document 08</w:t>
      </w:r>
    </w:p>
    <w:p>
      <w:r>
        <w:pict>
          <v:rect style="width:0;height:1.5pt" o:hralign="center" o:hrstd="t" o:hr="t"/>
        </w:pict>
      </w:r>
    </w:p>
    <w:bookmarkStart w:id="19" w:name="purpose"/>
    <w:p>
      <w:pPr>
        <w:pStyle w:val="Heading2"/>
      </w:pPr>
      <w:r>
        <w:t xml:space="preserve">Purpose</w:t>
      </w:r>
    </w:p>
    <w:p>
      <w:pPr>
        <w:pStyle w:val="FirstParagraph"/>
      </w:pPr>
      <w:r>
        <w:t xml:space="preserve">This document provides a comprehensive stakeholder analysis for the BIRDC ERP system. It establishes the identity, influence, interest, and engagement strategy for all 29 identified stakeholders, and provides the planning artefacts — Power/Interest Grid, RACI Matrix, Communication Plan, and Risk/Concern Register — required to manage stakeholder engagement throughout the 7-phase delivery programme.</w:t>
      </w:r>
    </w:p>
    <w:p>
      <w:pPr>
        <w:pStyle w:val="BodyText"/>
      </w:pPr>
      <w:r>
        <w:t xml:space="preserve">The analysis is used by the consultant (Peter Bamuhigire) and BIRDC project leadership to ensure that every stakeholder receives the right information, at the right time, through the right channel, and that no stakeholder's requirements or concerns are overlooked during the specification, build, or deployment phases.</w:t>
      </w:r>
    </w:p>
    <w:p>
      <w:r>
        <w:pict>
          <v:rect style="width:0;height:1.5pt" o:hralign="center" o:hrstd="t" o:hr="t"/>
        </w:pict>
      </w:r>
    </w:p>
    <w:bookmarkEnd w:id="19"/>
    <w:bookmarkStart w:id="20" w:name="contents"/>
    <w:p>
      <w:pPr>
        <w:pStyle w:val="Heading2"/>
      </w:pPr>
      <w:r>
        <w:t xml:space="preserve">Contents</w:t>
      </w:r>
    </w:p>
    <w:p>
      <w:pPr>
        <w:pStyle w:val="Compact"/>
        <w:numPr>
          <w:ilvl w:val="0"/>
          <w:numId w:val="1001"/>
        </w:numPr>
      </w:pPr>
      <w:r>
        <w:t xml:space="preserve">Stakeholder Register</w:t>
      </w:r>
    </w:p>
    <w:p>
      <w:pPr>
        <w:pStyle w:val="Compact"/>
        <w:numPr>
          <w:ilvl w:val="0"/>
          <w:numId w:val="1001"/>
        </w:numPr>
      </w:pPr>
      <w:r>
        <w:t xml:space="preserve">Power/Interest Grid</w:t>
      </w:r>
    </w:p>
    <w:p>
      <w:pPr>
        <w:pStyle w:val="Compact"/>
        <w:numPr>
          <w:ilvl w:val="0"/>
          <w:numId w:val="1001"/>
        </w:numPr>
      </w:pPr>
      <w:r>
        <w:t xml:space="preserve">RACI Matrix by Delivery Phase</w:t>
      </w:r>
    </w:p>
    <w:p>
      <w:pPr>
        <w:pStyle w:val="Compact"/>
        <w:numPr>
          <w:ilvl w:val="0"/>
          <w:numId w:val="1001"/>
        </w:numPr>
      </w:pPr>
      <w:r>
        <w:t xml:space="preserve">Stakeholder Communication Plan</w:t>
      </w:r>
    </w:p>
    <w:p>
      <w:pPr>
        <w:pStyle w:val="Compact"/>
        <w:numPr>
          <w:ilvl w:val="0"/>
          <w:numId w:val="1001"/>
        </w:numPr>
      </w:pPr>
      <w:r>
        <w:t xml:space="preserve">Key Stakeholder Concerns and Mitigation</w:t>
      </w:r>
    </w:p>
    <w:p>
      <w:pPr>
        <w:pStyle w:val="Compact"/>
        <w:numPr>
          <w:ilvl w:val="0"/>
          <w:numId w:val="1001"/>
        </w:numPr>
      </w:pPr>
      <w:r>
        <w:t xml:space="preserve">Consultant Engagement Model</w:t>
      </w:r>
    </w:p>
    <w:bookmarkEnd w:id="20"/>
    <w:bookmarkEnd w:id="21"/>
    <w:bookmarkStart w:id="26" w:name="section-1-stakeholder-register"/>
    <w:p>
      <w:pPr>
        <w:pStyle w:val="Heading1"/>
      </w:pPr>
      <w:r>
        <w:t xml:space="preserve">Section 1: Stakeholder Register</w:t>
      </w:r>
    </w:p>
    <w:p>
      <w:pPr>
        <w:pStyle w:val="FirstParagraph"/>
      </w:pPr>
      <w:r>
        <w:t xml:space="preserve">The register below identifies all 29 stakeholders to the BIRDC ERP programme. Influence Level and Interest Level are scored on a 1–5 scale where 1 = minimal and 5 = critical.</w:t>
      </w:r>
    </w:p>
    <w:p>
      <w:pPr>
        <w:pStyle w:val="BodyText"/>
      </w:pPr>
      <w:r>
        <w:rPr>
          <w:b/>
          <w:bCs/>
        </w:rPr>
        <w:t xml:space="preserve">Influence Level</w:t>
      </w:r>
      <w:r>
        <w:t xml:space="preserve"> </w:t>
      </w:r>
      <w:r>
        <w:t xml:space="preserve">measures the stakeholder's formal authority or practical ability to affect the project outcome (approve funding, block delivery, or redirect scope).</w:t>
      </w:r>
    </w:p>
    <w:p>
      <w:pPr>
        <w:pStyle w:val="BodyText"/>
      </w:pPr>
      <w:r>
        <w:rPr>
          <w:b/>
          <w:bCs/>
        </w:rPr>
        <w:t xml:space="preserve">Interest Level</w:t>
      </w:r>
      <w:r>
        <w:t xml:space="preserve"> </w:t>
      </w:r>
      <w:r>
        <w:t xml:space="preserve">measures how directly and materially the stakeholder's daily work or organisational mandate is affected by the system.</w:t>
      </w:r>
    </w:p>
    <w:p>
      <w:r>
        <w:pict>
          <v:rect style="width:0;height:1.5pt" o:hralign="center" o:hrstd="t" o:hr="t"/>
        </w:pict>
      </w:r>
    </w:p>
    <w:bookmarkStart w:id="22" w:name="X1f39657d954af1b1a3d53513151ae9e85bd4c27"/>
    <w:p>
      <w:pPr>
        <w:pStyle w:val="Heading2"/>
      </w:pPr>
      <w:r>
        <w:t xml:space="preserve">1.1 Primary Stakeholders — Decision Makers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Name / Role</w:t>
            </w:r>
          </w:p>
        </w:tc>
        <w:tc>
          <w:tcPr/>
          <w:p>
            <w:pPr>
              <w:pStyle w:val="Compact"/>
            </w:pPr>
            <w:r>
              <w:t xml:space="preserve">Organisation</w:t>
            </w:r>
          </w:p>
        </w:tc>
        <w:tc>
          <w:tcPr/>
          <w:p>
            <w:pPr>
              <w:pStyle w:val="Compact"/>
            </w:pPr>
            <w:r>
              <w:t xml:space="preserve">Primary Interest</w:t>
            </w:r>
          </w:p>
        </w:tc>
        <w:tc>
          <w:tcPr/>
          <w:p>
            <w:pPr>
              <w:pStyle w:val="Compact"/>
            </w:pPr>
            <w:r>
              <w:t xml:space="preserve">Influence (1–5)</w:t>
            </w:r>
          </w:p>
        </w:tc>
        <w:tc>
          <w:tcPr/>
          <w:p>
            <w:pPr>
              <w:pStyle w:val="Compact"/>
            </w:pPr>
            <w:r>
              <w:t xml:space="preserve">Interest (1–5)</w:t>
            </w:r>
          </w:p>
        </w:tc>
        <w:tc>
          <w:tcPr/>
          <w:p>
            <w:pPr>
              <w:pStyle w:val="Compact"/>
            </w:pPr>
            <w:r>
              <w:t xml:space="preserve">Engagement Strategy</w:t>
            </w:r>
          </w:p>
        </w:tc>
      </w:tr>
      <w:tr>
        <w:tc>
          <w:tcPr/>
          <w:p>
            <w:pPr>
              <w:pStyle w:val="Compact"/>
            </w:pPr>
            <w:r>
              <w:t xml:space="preserve">STK-001</w:t>
            </w:r>
          </w:p>
        </w:tc>
        <w:tc>
          <w:tcPr/>
          <w:p>
            <w:pPr>
              <w:pStyle w:val="Compact"/>
            </w:pPr>
            <w:r>
              <w:t xml:space="preserve">BIRDC Director</w:t>
            </w:r>
          </w:p>
        </w:tc>
        <w:tc>
          <w:tcPr/>
          <w:p>
            <w:pPr>
              <w:pStyle w:val="Compact"/>
            </w:pPr>
            <w:r>
              <w:t xml:space="preserve">BIRDC</w:t>
            </w:r>
          </w:p>
        </w:tc>
        <w:tc>
          <w:tcPr/>
          <w:p>
            <w:pPr>
              <w:pStyle w:val="Compact"/>
            </w:pPr>
            <w:r>
              <w:t xml:space="preserve">System meets all operational needs; government accountability satisfied</w:t>
            </w:r>
          </w:p>
        </w:tc>
        <w:tc>
          <w:tcPr/>
          <w:p>
            <w:pPr>
              <w:pStyle w:val="Compact"/>
            </w:pPr>
            <w:r>
              <w:t xml:space="preserve">5</w:t>
            </w:r>
          </w:p>
        </w:tc>
        <w:tc>
          <w:tcPr/>
          <w:p>
            <w:pPr>
              <w:pStyle w:val="Compact"/>
            </w:pPr>
            <w:r>
              <w:t xml:space="preserve">5</w:t>
            </w:r>
          </w:p>
        </w:tc>
        <w:tc>
          <w:tcPr/>
          <w:p>
            <w:pPr>
              <w:pStyle w:val="Compact"/>
            </w:pPr>
            <w:r>
              <w:t xml:space="preserve">Manage Closely. Monthly steering meeting. Bi-weekly progress brief. Direct access to consultant. Final sign-off at each phase gate.</w:t>
            </w:r>
          </w:p>
        </w:tc>
      </w:tr>
      <w:tr>
        <w:tc>
          <w:tcPr/>
          <w:p>
            <w:pPr>
              <w:pStyle w:val="Compact"/>
            </w:pPr>
            <w:r>
              <w:t xml:space="preserve">STK-002</w:t>
            </w:r>
          </w:p>
        </w:tc>
        <w:tc>
          <w:tcPr/>
          <w:p>
            <w:pPr>
              <w:pStyle w:val="Compact"/>
            </w:pPr>
            <w:r>
              <w:t xml:space="preserve">Finance Director</w:t>
            </w:r>
          </w:p>
        </w:tc>
        <w:tc>
          <w:tcPr/>
          <w:p>
            <w:pPr>
              <w:pStyle w:val="Compact"/>
            </w:pPr>
            <w:r>
              <w:t xml:space="preserve">BIRDC / PIBID</w:t>
            </w:r>
          </w:p>
        </w:tc>
        <w:tc>
          <w:tcPr/>
          <w:p>
            <w:pPr>
              <w:pStyle w:val="Compact"/>
            </w:pPr>
            <w:r>
              <w:t xml:space="preserve">Dual-mode accounting correctness; ICPAU compliance; audit readiness; payroll accuracy</w:t>
            </w:r>
          </w:p>
        </w:tc>
        <w:tc>
          <w:tcPr/>
          <w:p>
            <w:pPr>
              <w:pStyle w:val="Compact"/>
            </w:pPr>
            <w:r>
              <w:t xml:space="preserve">5</w:t>
            </w:r>
          </w:p>
        </w:tc>
        <w:tc>
          <w:tcPr/>
          <w:p>
            <w:pPr>
              <w:pStyle w:val="Compact"/>
            </w:pPr>
            <w:r>
              <w:t xml:space="preserve">5</w:t>
            </w:r>
          </w:p>
        </w:tc>
        <w:tc>
          <w:tcPr/>
          <w:p>
            <w:pPr>
              <w:pStyle w:val="Compact"/>
            </w:pPr>
            <w:r>
              <w:t xml:space="preserve">Manage Closely. Weekly requirements review sessions. Approval required for all financial module specifications. Sign-off on each financial deliverable.</w:t>
            </w:r>
          </w:p>
        </w:tc>
      </w:tr>
      <w:tr>
        <w:tc>
          <w:tcPr/>
          <w:p>
            <w:pPr>
              <w:pStyle w:val="Compact"/>
            </w:pPr>
            <w:r>
              <w:t xml:space="preserve">STK-003</w:t>
            </w:r>
          </w:p>
        </w:tc>
        <w:tc>
          <w:tcPr/>
          <w:p>
            <w:pPr>
              <w:pStyle w:val="Compact"/>
            </w:pPr>
            <w:r>
              <w:t xml:space="preserve">IT Administrator</w:t>
            </w:r>
          </w:p>
        </w:tc>
        <w:tc>
          <w:tcPr/>
          <w:p>
            <w:pPr>
              <w:pStyle w:val="Compact"/>
            </w:pPr>
            <w:r>
              <w:t xml:space="preserve">BIRDC</w:t>
            </w:r>
          </w:p>
        </w:tc>
        <w:tc>
          <w:tcPr/>
          <w:p>
            <w:pPr>
              <w:pStyle w:val="Compact"/>
            </w:pPr>
            <w:r>
              <w:t xml:space="preserve">Deployable and maintainable on BIRDC infrastructure; security; uptime</w:t>
            </w:r>
          </w:p>
        </w:tc>
        <w:tc>
          <w:tcPr/>
          <w:p>
            <w:pPr>
              <w:pStyle w:val="Compact"/>
            </w:pPr>
            <w:r>
              <w:t xml:space="preserve">4</w:t>
            </w:r>
          </w:p>
        </w:tc>
        <w:tc>
          <w:tcPr/>
          <w:p>
            <w:pPr>
              <w:pStyle w:val="Compact"/>
            </w:pPr>
            <w:r>
              <w:t xml:space="preserve">5</w:t>
            </w:r>
          </w:p>
        </w:tc>
        <w:tc>
          <w:tcPr/>
          <w:p>
            <w:pPr>
              <w:pStyle w:val="Compact"/>
            </w:pPr>
            <w:r>
              <w:t xml:space="preserve">Manage Closely. Technical architecture review sessions. Infrastructure planning co-ownership. Primary technical contact for integration configuration.</w:t>
            </w:r>
          </w:p>
        </w:tc>
      </w:tr>
      <w:tr>
        <w:tc>
          <w:tcPr/>
          <w:p>
            <w:pPr>
              <w:pStyle w:val="Compact"/>
            </w:pPr>
            <w:r>
              <w:t xml:space="preserve">STK-004</w:t>
            </w:r>
          </w:p>
        </w:tc>
        <w:tc>
          <w:tcPr/>
          <w:p>
            <w:pPr>
              <w:pStyle w:val="Compact"/>
            </w:pPr>
            <w:r>
              <w:t xml:space="preserve">Parliament Budget Committee</w:t>
            </w:r>
          </w:p>
        </w:tc>
        <w:tc>
          <w:tcPr/>
          <w:p>
            <w:pPr>
              <w:pStyle w:val="Compact"/>
            </w:pPr>
            <w:r>
              <w:t xml:space="preserve">PIBID / Parliament</w:t>
            </w:r>
          </w:p>
        </w:tc>
        <w:tc>
          <w:tcPr/>
          <w:p>
            <w:pPr>
              <w:pStyle w:val="Compact"/>
            </w:pPr>
            <w:r>
              <w:t xml:space="preserve">Parliamentary accountability for UGX 200B investment; audit compliance; value for money</w:t>
            </w:r>
          </w:p>
        </w:tc>
        <w:tc>
          <w:tcPr/>
          <w:p>
            <w:pPr>
              <w:pStyle w:val="Compact"/>
            </w:pPr>
            <w:r>
              <w:t xml:space="preserve">5</w:t>
            </w:r>
          </w:p>
        </w:tc>
        <w:tc>
          <w:tcPr/>
          <w:p>
            <w:pPr>
              <w:pStyle w:val="Compact"/>
            </w:pPr>
            <w:r>
              <w:t xml:space="preserve">3</w:t>
            </w:r>
          </w:p>
        </w:tc>
        <w:tc>
          <w:tcPr/>
          <w:p>
            <w:pPr>
              <w:pStyle w:val="Compact"/>
            </w:pPr>
            <w:r>
              <w:t xml:space="preserve">Keep Satisfied. Formal progress reports at parliamentary financial year milestones. Finance Director is primary interface. Audit-ready documentation maintained at all times.</w:t>
            </w:r>
          </w:p>
        </w:tc>
      </w:tr>
      <w:tr>
        <w:tc>
          <w:tcPr/>
          <w:p>
            <w:pPr>
              <w:pStyle w:val="Compact"/>
            </w:pPr>
            <w:r>
              <w:t xml:space="preserve">STK-005</w:t>
            </w:r>
          </w:p>
        </w:tc>
        <w:tc>
          <w:tcPr/>
          <w:p>
            <w:pPr>
              <w:pStyle w:val="Compact"/>
            </w:pPr>
            <w:r>
              <w:t xml:space="preserve">Peter Bamuhigire (Consultant)</w:t>
            </w:r>
          </w:p>
        </w:tc>
        <w:tc>
          <w:tcPr/>
          <w:p>
            <w:pPr>
              <w:pStyle w:val="Compact"/>
            </w:pPr>
            <w:r>
              <w:t xml:space="preserve">techguypeter.com</w:t>
            </w:r>
          </w:p>
        </w:tc>
        <w:tc>
          <w:tcPr/>
          <w:p>
            <w:pPr>
              <w:pStyle w:val="Compact"/>
            </w:pPr>
            <w:r>
              <w:t xml:space="preserve">Deliver complete, compliant, on-time documentation and specification</w:t>
            </w:r>
          </w:p>
        </w:tc>
        <w:tc>
          <w:tcPr/>
          <w:p>
            <w:pPr>
              <w:pStyle w:val="Compact"/>
            </w:pPr>
            <w:r>
              <w:t xml:space="preserve">4</w:t>
            </w:r>
          </w:p>
        </w:tc>
        <w:tc>
          <w:tcPr/>
          <w:p>
            <w:pPr>
              <w:pStyle w:val="Compact"/>
            </w:pPr>
            <w:r>
              <w:t xml:space="preserve">5</w:t>
            </w:r>
          </w:p>
        </w:tc>
        <w:tc>
          <w:tcPr/>
          <w:p>
            <w:pPr>
              <w:pStyle w:val="Compact"/>
            </w:pPr>
            <w:r>
              <w:t xml:space="preserve">Architect and author. Responsible for all deliverables. Accountable to BIRDC Director and Finance Director.</w:t>
            </w:r>
          </w:p>
        </w:tc>
      </w:tr>
    </w:tbl>
    <w:p>
      <w:r>
        <w:pict>
          <v:rect style="width:0;height:1.5pt" o:hralign="center" o:hrstd="t" o:hr="t"/>
        </w:pict>
      </w:r>
    </w:p>
    <w:bookmarkEnd w:id="22"/>
    <w:bookmarkStart w:id="23" w:name="X011051e78ce97561d03823cf5ea5483f8e0e5fe"/>
    <w:p>
      <w:pPr>
        <w:pStyle w:val="Heading2"/>
      </w:pPr>
      <w:r>
        <w:t xml:space="preserve">1.2 Operational Stakeholders — Department Heads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Name / Role</w:t>
            </w:r>
          </w:p>
        </w:tc>
        <w:tc>
          <w:tcPr/>
          <w:p>
            <w:pPr>
              <w:pStyle w:val="Compact"/>
            </w:pPr>
            <w:r>
              <w:t xml:space="preserve">Department</w:t>
            </w:r>
          </w:p>
        </w:tc>
        <w:tc>
          <w:tcPr/>
          <w:p>
            <w:pPr>
              <w:pStyle w:val="Compact"/>
            </w:pPr>
            <w:r>
              <w:t xml:space="preserve">Primary Need</w:t>
            </w:r>
          </w:p>
        </w:tc>
        <w:tc>
          <w:tcPr/>
          <w:p>
            <w:pPr>
              <w:pStyle w:val="Compact"/>
            </w:pPr>
            <w:r>
              <w:t xml:space="preserve">Influence (1–5)</w:t>
            </w:r>
          </w:p>
        </w:tc>
        <w:tc>
          <w:tcPr/>
          <w:p>
            <w:pPr>
              <w:pStyle w:val="Compact"/>
            </w:pPr>
            <w:r>
              <w:t xml:space="preserve">Interest (1–5)</w:t>
            </w:r>
          </w:p>
        </w:tc>
        <w:tc>
          <w:tcPr/>
          <w:p>
            <w:pPr>
              <w:pStyle w:val="Compact"/>
            </w:pPr>
            <w:r>
              <w:t xml:space="preserve">Engagement Strategy</w:t>
            </w:r>
          </w:p>
        </w:tc>
      </w:tr>
      <w:tr>
        <w:tc>
          <w:tcPr/>
          <w:p>
            <w:pPr>
              <w:pStyle w:val="Compact"/>
            </w:pPr>
            <w:r>
              <w:t xml:space="preserve">STK-006</w:t>
            </w:r>
          </w:p>
        </w:tc>
        <w:tc>
          <w:tcPr/>
          <w:p>
            <w:pPr>
              <w:pStyle w:val="Compact"/>
            </w:pPr>
            <w:r>
              <w:t xml:space="preserve">Sales and Marketing Manager</w:t>
            </w:r>
          </w:p>
        </w:tc>
        <w:tc>
          <w:tcPr/>
          <w:p>
            <w:pPr>
              <w:pStyle w:val="Compact"/>
            </w:pPr>
            <w:r>
              <w:t xml:space="preserve">Sales (SAL)</w:t>
            </w:r>
          </w:p>
        </w:tc>
        <w:tc>
          <w:tcPr/>
          <w:p>
            <w:pPr>
              <w:pStyle w:val="Compact"/>
            </w:pPr>
            <w:r>
              <w:t xml:space="preserve">Real-time agent performance; territory revenue; EFRIS compliance; commission accuracy</w:t>
            </w:r>
          </w:p>
        </w:tc>
        <w:tc>
          <w:tcPr/>
          <w:p>
            <w:pPr>
              <w:pStyle w:val="Compact"/>
            </w:pPr>
            <w:r>
              <w:t xml:space="preserve">3</w:t>
            </w:r>
          </w:p>
        </w:tc>
        <w:tc>
          <w:tcPr/>
          <w:p>
            <w:pPr>
              <w:pStyle w:val="Compact"/>
            </w:pPr>
            <w:r>
              <w:t xml:space="preserve">5</w:t>
            </w:r>
          </w:p>
        </w:tc>
        <w:tc>
          <w:tcPr/>
          <w:p>
            <w:pPr>
              <w:pStyle w:val="Compact"/>
            </w:pPr>
            <w:r>
              <w:t xml:space="preserve">Keep Informed. Monthly requirements workshop for Sales modules. Phase 1 sign-off authority for F-001 and F-002.</w:t>
            </w:r>
          </w:p>
        </w:tc>
      </w:tr>
      <w:tr>
        <w:tc>
          <w:tcPr/>
          <w:p>
            <w:pPr>
              <w:pStyle w:val="Compact"/>
            </w:pPr>
            <w:r>
              <w:t xml:space="preserve">STK-007</w:t>
            </w:r>
          </w:p>
        </w:tc>
        <w:tc>
          <w:tcPr/>
          <w:p>
            <w:pPr>
              <w:pStyle w:val="Compact"/>
            </w:pPr>
            <w:r>
              <w:t xml:space="preserve">Procurement Manager</w:t>
            </w:r>
          </w:p>
        </w:tc>
        <w:tc>
          <w:tcPr/>
          <w:p>
            <w:pPr>
              <w:pStyle w:val="Compact"/>
            </w:pPr>
            <w:r>
              <w:t xml:space="preserve">Procurement (PRO)</w:t>
            </w:r>
          </w:p>
        </w:tc>
        <w:tc>
          <w:tcPr/>
          <w:p>
            <w:pPr>
              <w:pStyle w:val="Compact"/>
            </w:pPr>
            <w:r>
              <w:t xml:space="preserve">PPDA compliance; cooperative farmer procurement; supplier performance</w:t>
            </w:r>
          </w:p>
        </w:tc>
        <w:tc>
          <w:tcPr/>
          <w:p>
            <w:pPr>
              <w:pStyle w:val="Compact"/>
            </w:pPr>
            <w:r>
              <w:t xml:space="preserve">3</w:t>
            </w:r>
          </w:p>
        </w:tc>
        <w:tc>
          <w:tcPr/>
          <w:p>
            <w:pPr>
              <w:pStyle w:val="Compact"/>
            </w:pPr>
            <w:r>
              <w:t xml:space="preserve">5</w:t>
            </w:r>
          </w:p>
        </w:tc>
        <w:tc>
          <w:tcPr/>
          <w:p>
            <w:pPr>
              <w:pStyle w:val="Compact"/>
            </w:pPr>
            <w:r>
              <w:t xml:space="preserve">Keep Informed. Dedicated Phase 3 requirements sessions. Sign-off authority for F-009 and F-010.</w:t>
            </w:r>
          </w:p>
        </w:tc>
      </w:tr>
      <w:tr>
        <w:tc>
          <w:tcPr/>
          <w:p>
            <w:pPr>
              <w:pStyle w:val="Compact"/>
            </w:pPr>
            <w:r>
              <w:t xml:space="preserve">STK-008</w:t>
            </w:r>
          </w:p>
        </w:tc>
        <w:tc>
          <w:tcPr/>
          <w:p>
            <w:pPr>
              <w:pStyle w:val="Compact"/>
            </w:pPr>
            <w:r>
              <w:t xml:space="preserve">Store Manager</w:t>
            </w:r>
          </w:p>
        </w:tc>
        <w:tc>
          <w:tcPr/>
          <w:p>
            <w:pPr>
              <w:pStyle w:val="Compact"/>
            </w:pPr>
            <w:r>
              <w:t xml:space="preserve">Inventory (INV)</w:t>
            </w:r>
          </w:p>
        </w:tc>
        <w:tc>
          <w:tcPr/>
          <w:p>
            <w:pPr>
              <w:pStyle w:val="Compact"/>
            </w:pPr>
            <w:r>
              <w:t xml:space="preserve">Dual-track inventory accuracy; FEFO enforcement; stock valuation</w:t>
            </w:r>
          </w:p>
        </w:tc>
        <w:tc>
          <w:tcPr/>
          <w:p>
            <w:pPr>
              <w:pStyle w:val="Compact"/>
            </w:pPr>
            <w:r>
              <w:t xml:space="preserve">2</w:t>
            </w:r>
          </w:p>
        </w:tc>
        <w:tc>
          <w:tcPr/>
          <w:p>
            <w:pPr>
              <w:pStyle w:val="Compact"/>
            </w:pPr>
            <w:r>
              <w:t xml:space="preserve">5</w:t>
            </w:r>
          </w:p>
        </w:tc>
        <w:tc>
          <w:tcPr/>
          <w:p>
            <w:pPr>
              <w:pStyle w:val="Compact"/>
            </w:pPr>
            <w:r>
              <w:t xml:space="preserve">Keep Informed. Phase 1 UAT lead for F-003. Weekly check-in during Phase 1 build.</w:t>
            </w:r>
          </w:p>
        </w:tc>
      </w:tr>
      <w:tr>
        <w:tc>
          <w:tcPr/>
          <w:p>
            <w:pPr>
              <w:pStyle w:val="Compact"/>
            </w:pPr>
            <w:r>
              <w:t xml:space="preserve">STK-009</w:t>
            </w:r>
          </w:p>
        </w:tc>
        <w:tc>
          <w:tcPr/>
          <w:p>
            <w:pPr>
              <w:pStyle w:val="Compact"/>
            </w:pPr>
            <w:r>
              <w:t xml:space="preserve">Factory / Production Manager</w:t>
            </w:r>
          </w:p>
        </w:tc>
        <w:tc>
          <w:tcPr/>
          <w:p>
            <w:pPr>
              <w:pStyle w:val="Compact"/>
            </w:pPr>
            <w:r>
              <w:t xml:space="preserve">Manufacturing (MFG)</w:t>
            </w:r>
          </w:p>
        </w:tc>
        <w:tc>
          <w:tcPr/>
          <w:p>
            <w:pPr>
              <w:pStyle w:val="Compact"/>
            </w:pPr>
            <w:r>
              <w:t xml:space="preserve">Production order management; circular economy mass balance; yield variance</w:t>
            </w:r>
          </w:p>
        </w:tc>
        <w:tc>
          <w:tcPr/>
          <w:p>
            <w:pPr>
              <w:pStyle w:val="Compact"/>
            </w:pPr>
            <w:r>
              <w:t xml:space="preserve">3</w:t>
            </w:r>
          </w:p>
        </w:tc>
        <w:tc>
          <w:tcPr/>
          <w:p>
            <w:pPr>
              <w:pStyle w:val="Compact"/>
            </w:pPr>
            <w:r>
              <w:t xml:space="preserve">5</w:t>
            </w:r>
          </w:p>
        </w:tc>
        <w:tc>
          <w:tcPr/>
          <w:p>
            <w:pPr>
              <w:pStyle w:val="Compact"/>
            </w:pPr>
            <w:r>
              <w:t xml:space="preserve">Keep Informed. Phase 4 requirements lead for F-011. Mass balance specification sign-off.</w:t>
            </w:r>
          </w:p>
        </w:tc>
      </w:tr>
      <w:tr>
        <w:tc>
          <w:tcPr/>
          <w:p>
            <w:pPr>
              <w:pStyle w:val="Compact"/>
            </w:pPr>
            <w:r>
              <w:t xml:space="preserve">STK-010</w:t>
            </w:r>
          </w:p>
        </w:tc>
        <w:tc>
          <w:tcPr/>
          <w:p>
            <w:pPr>
              <w:pStyle w:val="Compact"/>
            </w:pPr>
            <w:r>
              <w:t xml:space="preserve">QC Manager (Dr. Amara)</w:t>
            </w:r>
          </w:p>
        </w:tc>
        <w:tc>
          <w:tcPr/>
          <w:p>
            <w:pPr>
              <w:pStyle w:val="Compact"/>
            </w:pPr>
            <w:r>
              <w:t xml:space="preserve">Quality Control (QC)</w:t>
            </w:r>
          </w:p>
        </w:tc>
        <w:tc>
          <w:tcPr/>
          <w:p>
            <w:pPr>
              <w:pStyle w:val="Compact"/>
            </w:pPr>
            <w:r>
              <w:t xml:space="preserve">Inspection template management; CoA generation; SPC charts; export market compliance</w:t>
            </w:r>
          </w:p>
        </w:tc>
        <w:tc>
          <w:tcPr/>
          <w:p>
            <w:pPr>
              <w:pStyle w:val="Compact"/>
            </w:pPr>
            <w:r>
              <w:t xml:space="preserve">3</w:t>
            </w:r>
          </w:p>
        </w:tc>
        <w:tc>
          <w:tcPr/>
          <w:p>
            <w:pPr>
              <w:pStyle w:val="Compact"/>
            </w:pPr>
            <w:r>
              <w:t xml:space="preserve">5</w:t>
            </w:r>
          </w:p>
        </w:tc>
        <w:tc>
          <w:tcPr/>
          <w:p>
            <w:pPr>
              <w:pStyle w:val="Compact"/>
            </w:pPr>
            <w:r>
              <w:t xml:space="preserve">Keep Informed. Phase 4 requirements sessions. CoA template design collaboration.</w:t>
            </w:r>
          </w:p>
        </w:tc>
      </w:tr>
      <w:tr>
        <w:tc>
          <w:tcPr/>
          <w:p>
            <w:pPr>
              <w:pStyle w:val="Compact"/>
            </w:pPr>
            <w:r>
              <w:t xml:space="preserve">STK-011</w:t>
            </w:r>
          </w:p>
        </w:tc>
        <w:tc>
          <w:tcPr/>
          <w:p>
            <w:pPr>
              <w:pStyle w:val="Compact"/>
            </w:pPr>
            <w:r>
              <w:t xml:space="preserve">HR Manager</w:t>
            </w:r>
          </w:p>
        </w:tc>
        <w:tc>
          <w:tcPr/>
          <w:p>
            <w:pPr>
              <w:pStyle w:val="Compact"/>
            </w:pPr>
            <w:r>
              <w:t xml:space="preserve">Human Resources (HR)</w:t>
            </w:r>
          </w:p>
        </w:tc>
        <w:tc>
          <w:tcPr/>
          <w:p>
            <w:pPr>
              <w:pStyle w:val="Compact"/>
            </w:pPr>
            <w:r>
              <w:t xml:space="preserve">Employee lifecycle; biometric attendance; leave management; payroll accuracy</w:t>
            </w:r>
          </w:p>
        </w:tc>
        <w:tc>
          <w:tcPr/>
          <w:p>
            <w:pPr>
              <w:pStyle w:val="Compact"/>
            </w:pPr>
            <w:r>
              <w:t xml:space="preserve">2</w:t>
            </w:r>
          </w:p>
        </w:tc>
        <w:tc>
          <w:tcPr/>
          <w:p>
            <w:pPr>
              <w:pStyle w:val="Compact"/>
            </w:pPr>
            <w:r>
              <w:t xml:space="preserve">4</w:t>
            </w:r>
          </w:p>
        </w:tc>
        <w:tc>
          <w:tcPr/>
          <w:p>
            <w:pPr>
              <w:pStyle w:val="Compact"/>
            </w:pPr>
            <w:r>
              <w:t xml:space="preserve">Keep Informed. Phase 5 requirements sessions for F-013. ZKTeco integration specification co-owner.</w:t>
            </w:r>
          </w:p>
        </w:tc>
      </w:tr>
      <w:tr>
        <w:tc>
          <w:tcPr/>
          <w:p>
            <w:pPr>
              <w:pStyle w:val="Compact"/>
            </w:pPr>
            <w:r>
              <w:t xml:space="preserve">STK-012</w:t>
            </w:r>
          </w:p>
        </w:tc>
        <w:tc>
          <w:tcPr/>
          <w:p>
            <w:pPr>
              <w:pStyle w:val="Compact"/>
            </w:pPr>
            <w:r>
              <w:t xml:space="preserve">Payroll Officer</w:t>
            </w:r>
          </w:p>
        </w:tc>
        <w:tc>
          <w:tcPr/>
          <w:p>
            <w:pPr>
              <w:pStyle w:val="Compact"/>
            </w:pPr>
            <w:r>
              <w:t xml:space="preserve">Payroll (PAY)</w:t>
            </w:r>
          </w:p>
        </w:tc>
        <w:tc>
          <w:tcPr/>
          <w:p>
            <w:pPr>
              <w:pStyle w:val="Compact"/>
            </w:pPr>
            <w:r>
              <w:t xml:space="preserve">Accurate PAYE/NSSF/LST computation; payroll lock integrity; payslip delivery</w:t>
            </w:r>
          </w:p>
        </w:tc>
        <w:tc>
          <w:tcPr/>
          <w:p>
            <w:pPr>
              <w:pStyle w:val="Compact"/>
            </w:pPr>
            <w:r>
              <w:t xml:space="preserve">2</w:t>
            </w:r>
          </w:p>
        </w:tc>
        <w:tc>
          <w:tcPr/>
          <w:p>
            <w:pPr>
              <w:pStyle w:val="Compact"/>
            </w:pPr>
            <w:r>
              <w:t xml:space="preserve">5</w:t>
            </w:r>
          </w:p>
        </w:tc>
        <w:tc>
          <w:tcPr/>
          <w:p>
            <w:pPr>
              <w:pStyle w:val="Compact"/>
            </w:pPr>
            <w:r>
              <w:t xml:space="preserve">Keep Informed. Payroll specification review. Phase 5 UAT lead for F-014.</w:t>
            </w:r>
          </w:p>
        </w:tc>
      </w:tr>
      <w:tr>
        <w:tc>
          <w:tcPr/>
          <w:p>
            <w:pPr>
              <w:pStyle w:val="Compact"/>
            </w:pPr>
            <w:r>
              <w:t xml:space="preserve">STK-013</w:t>
            </w:r>
          </w:p>
        </w:tc>
        <w:tc>
          <w:tcPr/>
          <w:p>
            <w:pPr>
              <w:pStyle w:val="Compact"/>
            </w:pPr>
            <w:r>
              <w:t xml:space="preserve">Research Coordinator</w:t>
            </w:r>
          </w:p>
        </w:tc>
        <w:tc>
          <w:tcPr/>
          <w:p>
            <w:pPr>
              <w:pStyle w:val="Compact"/>
            </w:pPr>
            <w:r>
              <w:t xml:space="preserve">Research (RES)</w:t>
            </w:r>
          </w:p>
        </w:tc>
        <w:tc>
          <w:tcPr/>
          <w:p>
            <w:pPr>
              <w:pStyle w:val="Compact"/>
            </w:pPr>
            <w:r>
              <w:t xml:space="preserve">Banana variety performance data; field trial management</w:t>
            </w:r>
          </w:p>
        </w:tc>
        <w:tc>
          <w:tcPr/>
          <w:p>
            <w:pPr>
              <w:pStyle w:val="Compact"/>
            </w:pPr>
            <w:r>
              <w:t xml:space="preserve">1</w:t>
            </w:r>
          </w:p>
        </w:tc>
        <w:tc>
          <w:tcPr/>
          <w:p>
            <w:pPr>
              <w:pStyle w:val="Compact"/>
            </w:pPr>
            <w:r>
              <w:t xml:space="preserve">4</w:t>
            </w:r>
          </w:p>
        </w:tc>
        <w:tc>
          <w:tcPr/>
          <w:p>
            <w:pPr>
              <w:pStyle w:val="Compact"/>
            </w:pPr>
            <w:r>
              <w:t xml:space="preserve">Monitor. Phase 6 requirements input. Quarterly check-in.</w:t>
            </w:r>
          </w:p>
        </w:tc>
      </w:tr>
      <w:tr>
        <w:tc>
          <w:tcPr/>
          <w:p>
            <w:pPr>
              <w:pStyle w:val="Compact"/>
            </w:pPr>
            <w:r>
              <w:t xml:space="preserve">STK-014</w:t>
            </w:r>
          </w:p>
        </w:tc>
        <w:tc>
          <w:tcPr/>
          <w:p>
            <w:pPr>
              <w:pStyle w:val="Compact"/>
            </w:pPr>
            <w:r>
              <w:t xml:space="preserve">Administration Officer</w:t>
            </w:r>
          </w:p>
        </w:tc>
        <w:tc>
          <w:tcPr/>
          <w:p>
            <w:pPr>
              <w:pStyle w:val="Compact"/>
            </w:pPr>
            <w:r>
              <w:t xml:space="preserve">Administration (ADM)</w:t>
            </w:r>
          </w:p>
        </w:tc>
        <w:tc>
          <w:tcPr/>
          <w:p>
            <w:pPr>
              <w:pStyle w:val="Compact"/>
            </w:pPr>
            <w:r>
              <w:t xml:space="preserve">PPDA document management; asset register; vehicle logbook</w:t>
            </w:r>
          </w:p>
        </w:tc>
        <w:tc>
          <w:tcPr/>
          <w:p>
            <w:pPr>
              <w:pStyle w:val="Compact"/>
            </w:pPr>
            <w:r>
              <w:t xml:space="preserve">2</w:t>
            </w:r>
          </w:p>
        </w:tc>
        <w:tc>
          <w:tcPr/>
          <w:p>
            <w:pPr>
              <w:pStyle w:val="Compact"/>
            </w:pPr>
            <w:r>
              <w:t xml:space="preserve">4</w:t>
            </w:r>
          </w:p>
        </w:tc>
        <w:tc>
          <w:tcPr/>
          <w:p>
            <w:pPr>
              <w:pStyle w:val="Compact"/>
            </w:pPr>
            <w:r>
              <w:t xml:space="preserve">Keep Informed. Phase 6 requirements input. PPDA document management specification.</w:t>
            </w:r>
          </w:p>
        </w:tc>
      </w:tr>
    </w:tbl>
    <w:p>
      <w:r>
        <w:pict>
          <v:rect style="width:0;height:1.5pt" o:hralign="center" o:hrstd="t" o:hr="t"/>
        </w:pict>
      </w:r>
    </w:p>
    <w:bookmarkEnd w:id="23"/>
    <w:bookmarkStart w:id="24" w:name="Xa3c34028e17a6505f837f64e17d2da30070c57c"/>
    <w:p>
      <w:pPr>
        <w:pStyle w:val="Heading2"/>
      </w:pPr>
      <w:r>
        <w:t xml:space="preserve">1.3 End Users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Role</w:t>
            </w:r>
          </w:p>
        </w:tc>
        <w:tc>
          <w:tcPr/>
          <w:p>
            <w:pPr>
              <w:pStyle w:val="Compact"/>
            </w:pPr>
            <w:r>
              <w:t xml:space="preserve">Count</w:t>
            </w:r>
          </w:p>
        </w:tc>
        <w:tc>
          <w:tcPr/>
          <w:p>
            <w:pPr>
              <w:pStyle w:val="Compact"/>
            </w:pPr>
            <w:r>
              <w:t xml:space="preserve">Primary System Touch</w:t>
            </w:r>
          </w:p>
        </w:tc>
        <w:tc>
          <w:tcPr/>
          <w:p>
            <w:pPr>
              <w:pStyle w:val="Compact"/>
            </w:pPr>
            <w:r>
              <w:t xml:space="preserve">Influence (1–5)</w:t>
            </w:r>
          </w:p>
        </w:tc>
        <w:tc>
          <w:tcPr/>
          <w:p>
            <w:pPr>
              <w:pStyle w:val="Compact"/>
            </w:pPr>
            <w:r>
              <w:t xml:space="preserve">Interest (1–5)</w:t>
            </w:r>
          </w:p>
        </w:tc>
        <w:tc>
          <w:tcPr/>
          <w:p>
            <w:pPr>
              <w:pStyle w:val="Compact"/>
            </w:pPr>
            <w:r>
              <w:t xml:space="preserve">Engagement Strategy</w:t>
            </w:r>
          </w:p>
        </w:tc>
      </w:tr>
      <w:tr>
        <w:tc>
          <w:tcPr/>
          <w:p>
            <w:pPr>
              <w:pStyle w:val="Compact"/>
            </w:pPr>
            <w:r>
              <w:t xml:space="preserve">STK-015</w:t>
            </w:r>
          </w:p>
        </w:tc>
        <w:tc>
          <w:tcPr/>
          <w:p>
            <w:pPr>
              <w:pStyle w:val="Compact"/>
            </w:pPr>
            <w:r>
              <w:t xml:space="preserve">Field Sales Agents</w:t>
            </w:r>
          </w:p>
        </w:tc>
        <w:tc>
          <w:tcPr/>
          <w:p>
            <w:pPr>
              <w:pStyle w:val="Compact"/>
            </w:pPr>
            <w:r>
              <w:t xml:space="preserve">1,071</w:t>
            </w:r>
          </w:p>
        </w:tc>
        <w:tc>
          <w:tcPr/>
          <w:p>
            <w:pPr>
              <w:pStyle w:val="Compact"/>
            </w:pPr>
            <w:r>
              <w:t xml:space="preserve">Sales Agent App — POS, remittance, commission</w:t>
            </w:r>
          </w:p>
        </w:tc>
        <w:tc>
          <w:tcPr/>
          <w:p>
            <w:pPr>
              <w:pStyle w:val="Compact"/>
            </w:pPr>
            <w:r>
              <w:t xml:space="preserve">2</w:t>
            </w:r>
          </w:p>
        </w:tc>
        <w:tc>
          <w:tcPr/>
          <w:p>
            <w:pPr>
              <w:pStyle w:val="Compact"/>
            </w:pPr>
            <w:r>
              <w:t xml:space="preserve">5</w:t>
            </w:r>
          </w:p>
        </w:tc>
        <w:tc>
          <w:tcPr/>
          <w:p>
            <w:pPr>
              <w:pStyle w:val="Compact"/>
            </w:pPr>
            <w:r>
              <w:t xml:space="preserve">Keep Informed. Persona represented by Samuel. Pilot group of 10 agents for UAT in Phase 1. Training materials issued at go-live.</w:t>
            </w:r>
          </w:p>
        </w:tc>
      </w:tr>
      <w:tr>
        <w:tc>
          <w:tcPr/>
          <w:p>
            <w:pPr>
              <w:pStyle w:val="Compact"/>
            </w:pPr>
            <w:r>
              <w:t xml:space="preserve">STK-016</w:t>
            </w:r>
          </w:p>
        </w:tc>
        <w:tc>
          <w:tcPr/>
          <w:p>
            <w:pPr>
              <w:pStyle w:val="Compact"/>
            </w:pPr>
            <w:r>
              <w:t xml:space="preserve">Factory Floor Workers / Supervisors</w:t>
            </w:r>
          </w:p>
        </w:tc>
        <w:tc>
          <w:tcPr/>
          <w:p>
            <w:pPr>
              <w:pStyle w:val="Compact"/>
            </w:pPr>
            <w:r>
              <w:t xml:space="preserve">~80</w:t>
            </w:r>
          </w:p>
        </w:tc>
        <w:tc>
          <w:tcPr/>
          <w:p>
            <w:pPr>
              <w:pStyle w:val="Compact"/>
            </w:pPr>
            <w:r>
              <w:t xml:space="preserve">Factory Floor App — production orders, attendance, output</w:t>
            </w:r>
          </w:p>
        </w:tc>
        <w:tc>
          <w:tcPr/>
          <w:p>
            <w:pPr>
              <w:pStyle w:val="Compact"/>
            </w:pPr>
            <w:r>
              <w:t xml:space="preserve">1</w:t>
            </w:r>
          </w:p>
        </w:tc>
        <w:tc>
          <w:tcPr/>
          <w:p>
            <w:pPr>
              <w:pStyle w:val="Compact"/>
            </w:pPr>
            <w:r>
              <w:t xml:space="preserve">5</w:t>
            </w:r>
          </w:p>
        </w:tc>
        <w:tc>
          <w:tcPr/>
          <w:p>
            <w:pPr>
              <w:pStyle w:val="Compact"/>
            </w:pPr>
            <w:r>
              <w:t xml:space="preserve">Monitor. Persona represented by Moses. Supervisor-led UAT in Phase 4. Simple on-site training at go-live.</w:t>
            </w:r>
          </w:p>
        </w:tc>
      </w:tr>
      <w:tr>
        <w:tc>
          <w:tcPr/>
          <w:p>
            <w:pPr>
              <w:pStyle w:val="Compact"/>
            </w:pPr>
            <w:r>
              <w:t xml:space="preserve">STK-017</w:t>
            </w:r>
          </w:p>
        </w:tc>
        <w:tc>
          <w:tcPr/>
          <w:p>
            <w:pPr>
              <w:pStyle w:val="Compact"/>
            </w:pPr>
            <w:r>
              <w:t xml:space="preserve">Warehouse Staff</w:t>
            </w:r>
          </w:p>
        </w:tc>
        <w:tc>
          <w:tcPr/>
          <w:p>
            <w:pPr>
              <w:pStyle w:val="Compact"/>
            </w:pPr>
            <w:r>
              <w:t xml:space="preserve">~15</w:t>
            </w:r>
          </w:p>
        </w:tc>
        <w:tc>
          <w:tcPr/>
          <w:p>
            <w:pPr>
              <w:pStyle w:val="Compact"/>
            </w:pPr>
            <w:r>
              <w:t xml:space="preserve">Warehouse App — stock receipt, transfers, physical count</w:t>
            </w:r>
          </w:p>
        </w:tc>
        <w:tc>
          <w:tcPr/>
          <w:p>
            <w:pPr>
              <w:pStyle w:val="Compact"/>
            </w:pPr>
            <w:r>
              <w:t xml:space="preserve">1</w:t>
            </w:r>
          </w:p>
        </w:tc>
        <w:tc>
          <w:tcPr/>
          <w:p>
            <w:pPr>
              <w:pStyle w:val="Compact"/>
            </w:pPr>
            <w:r>
              <w:t xml:space="preserve">5</w:t>
            </w:r>
          </w:p>
        </w:tc>
        <w:tc>
          <w:tcPr/>
          <w:p>
            <w:pPr>
              <w:pStyle w:val="Compact"/>
            </w:pPr>
            <w:r>
              <w:t xml:space="preserve">Monitor. Persona represented by David. UAT in Phase 1. On-site training at go-live.</w:t>
            </w:r>
          </w:p>
        </w:tc>
      </w:tr>
      <w:tr>
        <w:tc>
          <w:tcPr/>
          <w:p>
            <w:pPr>
              <w:pStyle w:val="Compact"/>
            </w:pPr>
            <w:r>
              <w:t xml:space="preserve">STK-018</w:t>
            </w:r>
          </w:p>
        </w:tc>
        <w:tc>
          <w:tcPr/>
          <w:p>
            <w:pPr>
              <w:pStyle w:val="Compact"/>
            </w:pPr>
            <w:r>
              <w:t xml:space="preserve">Accounts Assistants</w:t>
            </w:r>
          </w:p>
        </w:tc>
        <w:tc>
          <w:tcPr/>
          <w:p>
            <w:pPr>
              <w:pStyle w:val="Compact"/>
            </w:pPr>
            <w:r>
              <w:t xml:space="preserve">~8</w:t>
            </w:r>
          </w:p>
        </w:tc>
        <w:tc>
          <w:tcPr/>
          <w:p>
            <w:pPr>
              <w:pStyle w:val="Compact"/>
            </w:pPr>
            <w:r>
              <w:t xml:space="preserve">Web ERP — AR, AP, journal entries</w:t>
            </w:r>
          </w:p>
        </w:tc>
        <w:tc>
          <w:tcPr/>
          <w:p>
            <w:pPr>
              <w:pStyle w:val="Compact"/>
            </w:pPr>
            <w:r>
              <w:t xml:space="preserve">2</w:t>
            </w:r>
          </w:p>
        </w:tc>
        <w:tc>
          <w:tcPr/>
          <w:p>
            <w:pPr>
              <w:pStyle w:val="Compact"/>
            </w:pPr>
            <w:r>
              <w:t xml:space="preserve">5</w:t>
            </w:r>
          </w:p>
        </w:tc>
        <w:tc>
          <w:tcPr/>
          <w:p>
            <w:pPr>
              <w:pStyle w:val="Compact"/>
            </w:pPr>
            <w:r>
              <w:t xml:space="preserve">Keep Informed. Included in Phase 2 UAT. Finance Director supervises.</w:t>
            </w:r>
          </w:p>
        </w:tc>
      </w:tr>
      <w:tr>
        <w:tc>
          <w:tcPr/>
          <w:p>
            <w:pPr>
              <w:pStyle w:val="Compact"/>
            </w:pPr>
            <w:r>
              <w:t xml:space="preserve">STK-019</w:t>
            </w:r>
          </w:p>
        </w:tc>
        <w:tc>
          <w:tcPr/>
          <w:p>
            <w:pPr>
              <w:pStyle w:val="Compact"/>
            </w:pPr>
            <w:r>
              <w:t xml:space="preserve">Cashiers (Factory Gate)</w:t>
            </w:r>
          </w:p>
        </w:tc>
        <w:tc>
          <w:tcPr/>
          <w:p>
            <w:pPr>
              <w:pStyle w:val="Compact"/>
            </w:pPr>
            <w:r>
              <w:t xml:space="preserve">~5</w:t>
            </w:r>
          </w:p>
        </w:tc>
        <w:tc>
          <w:tcPr/>
          <w:p>
            <w:pPr>
              <w:pStyle w:val="Compact"/>
            </w:pPr>
            <w:r>
              <w:t xml:space="preserve">Web ERP POS terminal; factory gate retail</w:t>
            </w:r>
          </w:p>
        </w:tc>
        <w:tc>
          <w:tcPr/>
          <w:p>
            <w:pPr>
              <w:pStyle w:val="Compact"/>
            </w:pPr>
            <w:r>
              <w:t xml:space="preserve">1</w:t>
            </w:r>
          </w:p>
        </w:tc>
        <w:tc>
          <w:tcPr/>
          <w:p>
            <w:pPr>
              <w:pStyle w:val="Compact"/>
            </w:pPr>
            <w:r>
              <w:t xml:space="preserve">5</w:t>
            </w:r>
          </w:p>
        </w:tc>
        <w:tc>
          <w:tcPr/>
          <w:p>
            <w:pPr>
              <w:pStyle w:val="Compact"/>
            </w:pPr>
            <w:r>
              <w:t xml:space="preserve">Monitor. DC-001 test performed with Prossy (cashier persona).</w:t>
            </w:r>
          </w:p>
        </w:tc>
      </w:tr>
      <w:tr>
        <w:tc>
          <w:tcPr/>
          <w:p>
            <w:pPr>
              <w:pStyle w:val="Compact"/>
            </w:pPr>
            <w:r>
              <w:t xml:space="preserve">STK-020</w:t>
            </w:r>
          </w:p>
        </w:tc>
        <w:tc>
          <w:tcPr/>
          <w:p>
            <w:pPr>
              <w:pStyle w:val="Compact"/>
            </w:pPr>
            <w:r>
              <w:t xml:space="preserve">Cooperative Farmers</w:t>
            </w:r>
          </w:p>
        </w:tc>
        <w:tc>
          <w:tcPr/>
          <w:p>
            <w:pPr>
              <w:pStyle w:val="Compact"/>
            </w:pPr>
            <w:r>
              <w:t xml:space="preserve">6,440+</w:t>
            </w:r>
          </w:p>
        </w:tc>
        <w:tc>
          <w:tcPr/>
          <w:p>
            <w:pPr>
              <w:pStyle w:val="Compact"/>
            </w:pPr>
            <w:r>
              <w:t xml:space="preserve">Farmer Delivery App (via field officer); farmer payment SMS</w:t>
            </w:r>
          </w:p>
        </w:tc>
        <w:tc>
          <w:tcPr/>
          <w:p>
            <w:pPr>
              <w:pStyle w:val="Compact"/>
            </w:pPr>
            <w:r>
              <w:t xml:space="preserve">1</w:t>
            </w:r>
          </w:p>
        </w:tc>
        <w:tc>
          <w:tcPr/>
          <w:p>
            <w:pPr>
              <w:pStyle w:val="Compact"/>
            </w:pPr>
            <w:r>
              <w:t xml:space="preserve">4</w:t>
            </w:r>
          </w:p>
        </w:tc>
        <w:tc>
          <w:tcPr/>
          <w:p>
            <w:pPr>
              <w:pStyle w:val="Compact"/>
            </w:pPr>
            <w:r>
              <w:t xml:space="preserve">Monitor. Represented through Patrick (collections officer persona). Farmer concerns captured through cooperative unions (STK-029).</w:t>
            </w:r>
          </w:p>
        </w:tc>
      </w:tr>
      <w:tr>
        <w:tc>
          <w:tcPr/>
          <w:p>
            <w:pPr>
              <w:pStyle w:val="Compact"/>
            </w:pPr>
            <w:r>
              <w:t xml:space="preserve">STK-021</w:t>
            </w:r>
          </w:p>
        </w:tc>
        <w:tc>
          <w:tcPr/>
          <w:p>
            <w:pPr>
              <w:pStyle w:val="Compact"/>
            </w:pPr>
            <w:r>
              <w:t xml:space="preserve">All Staff</w:t>
            </w:r>
          </w:p>
        </w:tc>
        <w:tc>
          <w:tcPr/>
          <w:p>
            <w:pPr>
              <w:pStyle w:val="Compact"/>
            </w:pPr>
            <w:r>
              <w:t xml:space="preserve">150+</w:t>
            </w:r>
          </w:p>
        </w:tc>
        <w:tc>
          <w:tcPr/>
          <w:p>
            <w:pPr>
              <w:pStyle w:val="Compact"/>
            </w:pPr>
            <w:r>
              <w:t xml:space="preserve">HR Self-Service App — leave, payslips</w:t>
            </w:r>
          </w:p>
        </w:tc>
        <w:tc>
          <w:tcPr/>
          <w:p>
            <w:pPr>
              <w:pStyle w:val="Compact"/>
            </w:pPr>
            <w:r>
              <w:t xml:space="preserve">1</w:t>
            </w:r>
          </w:p>
        </w:tc>
        <w:tc>
          <w:tcPr/>
          <w:p>
            <w:pPr>
              <w:pStyle w:val="Compact"/>
            </w:pPr>
            <w:r>
              <w:t xml:space="preserve">4</w:t>
            </w:r>
          </w:p>
        </w:tc>
        <w:tc>
          <w:tcPr/>
          <w:p>
            <w:pPr>
              <w:pStyle w:val="Compact"/>
            </w:pPr>
            <w:r>
              <w:t xml:space="preserve">Monitor. HR Manager oversees HR Self-Service rollout. On-site training at Phase 5 go-live.</w:t>
            </w:r>
          </w:p>
        </w:tc>
      </w:tr>
    </w:tbl>
    <w:p>
      <w:r>
        <w:pict>
          <v:rect style="width:0;height:1.5pt" o:hralign="center" o:hrstd="t" o:hr="t"/>
        </w:pict>
      </w:r>
    </w:p>
    <w:bookmarkEnd w:id="24"/>
    <w:bookmarkStart w:id="25" w:name="Xef4c4844af20353bcf7a757746c8418263e4607"/>
    <w:p>
      <w:pPr>
        <w:pStyle w:val="Heading2"/>
      </w:pPr>
      <w:r>
        <w:t xml:space="preserve">1.4 External Stakeholders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Role</w:t>
            </w:r>
          </w:p>
        </w:tc>
        <w:tc>
          <w:tcPr/>
          <w:p>
            <w:pPr>
              <w:pStyle w:val="Compact"/>
            </w:pPr>
            <w:r>
              <w:t xml:space="preserve">Primary Interface</w:t>
            </w:r>
          </w:p>
        </w:tc>
        <w:tc>
          <w:tcPr/>
          <w:p>
            <w:pPr>
              <w:pStyle w:val="Compact"/>
            </w:pPr>
            <w:r>
              <w:t xml:space="preserve">Influence (1–5)</w:t>
            </w:r>
          </w:p>
        </w:tc>
        <w:tc>
          <w:tcPr/>
          <w:p>
            <w:pPr>
              <w:pStyle w:val="Compact"/>
            </w:pPr>
            <w:r>
              <w:t xml:space="preserve">Interest (1–5)</w:t>
            </w:r>
          </w:p>
        </w:tc>
        <w:tc>
          <w:tcPr/>
          <w:p>
            <w:pPr>
              <w:pStyle w:val="Compact"/>
            </w:pPr>
            <w:r>
              <w:t xml:space="preserve">Engagement Strategy</w:t>
            </w:r>
          </w:p>
        </w:tc>
      </w:tr>
      <w:tr>
        <w:tc>
          <w:tcPr/>
          <w:p>
            <w:pPr>
              <w:pStyle w:val="Compact"/>
            </w:pPr>
            <w:r>
              <w:t xml:space="preserve">STK-022</w:t>
            </w:r>
          </w:p>
        </w:tc>
        <w:tc>
          <w:tcPr/>
          <w:p>
            <w:pPr>
              <w:pStyle w:val="Compact"/>
            </w:pPr>
            <w:r>
              <w:t xml:space="preserve">Uganda Revenue Authority (URA)</w:t>
            </w:r>
          </w:p>
        </w:tc>
        <w:tc>
          <w:tcPr/>
          <w:p>
            <w:pPr>
              <w:pStyle w:val="Compact"/>
            </w:pPr>
            <w:r>
              <w:t xml:space="preserve">EFRIS API — real-time fiscal document submission</w:t>
            </w:r>
          </w:p>
        </w:tc>
        <w:tc>
          <w:tcPr/>
          <w:p>
            <w:pPr>
              <w:pStyle w:val="Compact"/>
            </w:pPr>
            <w:r>
              <w:t xml:space="preserve">5</w:t>
            </w:r>
          </w:p>
        </w:tc>
        <w:tc>
          <w:tcPr/>
          <w:p>
            <w:pPr>
              <w:pStyle w:val="Compact"/>
            </w:pPr>
            <w:r>
              <w:t xml:space="preserve">3</w:t>
            </w:r>
          </w:p>
        </w:tc>
        <w:tc>
          <w:tcPr/>
          <w:p>
            <w:pPr>
              <w:pStyle w:val="Compact"/>
            </w:pPr>
            <w:r>
              <w:t xml:space="preserve">Keep Satisfied. EFRIS compliance is non-negotiable. IT Administrator manages API credentials. Finance Director ensures submission accuracy. Annual EFRIS compliance review.</w:t>
            </w:r>
          </w:p>
        </w:tc>
      </w:tr>
      <w:tr>
        <w:tc>
          <w:tcPr/>
          <w:p>
            <w:pPr>
              <w:pStyle w:val="Compact"/>
            </w:pPr>
            <w:r>
              <w:t xml:space="preserve">STK-023</w:t>
            </w:r>
          </w:p>
        </w:tc>
        <w:tc>
          <w:tcPr/>
          <w:p>
            <w:pPr>
              <w:pStyle w:val="Compact"/>
            </w:pPr>
            <w:r>
              <w:t xml:space="preserve">MTN Uganda / Airtel Uganda</w:t>
            </w:r>
          </w:p>
        </w:tc>
        <w:tc>
          <w:tcPr/>
          <w:p>
            <w:pPr>
              <w:pStyle w:val="Compact"/>
            </w:pPr>
            <w:r>
              <w:t xml:space="preserve">Mobile money bulk payment API — farmer payments, agent remittances, salary</w:t>
            </w:r>
          </w:p>
        </w:tc>
        <w:tc>
          <w:tcPr/>
          <w:p>
            <w:pPr>
              <w:pStyle w:val="Compact"/>
            </w:pPr>
            <w:r>
              <w:t xml:space="preserve">3</w:t>
            </w:r>
          </w:p>
        </w:tc>
        <w:tc>
          <w:tcPr/>
          <w:p>
            <w:pPr>
              <w:pStyle w:val="Compact"/>
            </w:pPr>
            <w:r>
              <w:t xml:space="preserve">3</w:t>
            </w:r>
          </w:p>
        </w:tc>
        <w:tc>
          <w:tcPr/>
          <w:p>
            <w:pPr>
              <w:pStyle w:val="Compact"/>
            </w:pPr>
            <w:r>
              <w:t xml:space="preserve">Keep Satisfied. API integration documentation obtained from MTN/Airtel. IT Administrator manages API keys. Tested in Phase 1 (agent remittances) and Phase 3 (farmer payments).</w:t>
            </w:r>
          </w:p>
        </w:tc>
      </w:tr>
      <w:tr>
        <w:tc>
          <w:tcPr/>
          <w:p>
            <w:pPr>
              <w:pStyle w:val="Compact"/>
            </w:pPr>
            <w:r>
              <w:t xml:space="preserve">STK-024</w:t>
            </w:r>
          </w:p>
        </w:tc>
        <w:tc>
          <w:tcPr/>
          <w:p>
            <w:pPr>
              <w:pStyle w:val="Compact"/>
            </w:pPr>
            <w:r>
              <w:t xml:space="preserve">Export Market Buyers (South Korea, Saudi Arabia, Qatar, Italy, USA)</w:t>
            </w:r>
          </w:p>
        </w:tc>
        <w:tc>
          <w:tcPr/>
          <w:p>
            <w:pPr>
              <w:pStyle w:val="Compact"/>
            </w:pPr>
            <w:r>
              <w:t xml:space="preserve">Certificate of Analysis (CoA) documents</w:t>
            </w:r>
          </w:p>
        </w:tc>
        <w:tc>
          <w:tcPr/>
          <w:p>
            <w:pPr>
              <w:pStyle w:val="Compact"/>
            </w:pPr>
            <w:r>
              <w:t xml:space="preserve">3</w:t>
            </w:r>
          </w:p>
        </w:tc>
        <w:tc>
          <w:tcPr/>
          <w:p>
            <w:pPr>
              <w:pStyle w:val="Compact"/>
            </w:pPr>
            <w:r>
              <w:t xml:space="preserve">3</w:t>
            </w:r>
          </w:p>
        </w:tc>
        <w:tc>
          <w:tcPr/>
          <w:p>
            <w:pPr>
              <w:pStyle w:val="Compact"/>
            </w:pPr>
            <w:r>
              <w:t xml:space="preserve">Keep Satisfied. CoA template requirements gathered from export contracts. Dr. Amara owns CoA template configuration.</w:t>
            </w:r>
          </w:p>
        </w:tc>
      </w:tr>
      <w:tr>
        <w:tc>
          <w:tcPr/>
          <w:p>
            <w:pPr>
              <w:pStyle w:val="Compact"/>
            </w:pPr>
            <w:r>
              <w:t xml:space="preserve">STK-025</w:t>
            </w:r>
          </w:p>
        </w:tc>
        <w:tc>
          <w:tcPr/>
          <w:p>
            <w:pPr>
              <w:pStyle w:val="Compact"/>
            </w:pPr>
            <w:r>
              <w:t xml:space="preserve">NSSF Uganda</w:t>
            </w:r>
          </w:p>
        </w:tc>
        <w:tc>
          <w:tcPr/>
          <w:p>
            <w:pPr>
              <w:pStyle w:val="Compact"/>
            </w:pPr>
            <w:r>
              <w:t xml:space="preserve">NSSF contribution schedule in required format</w:t>
            </w:r>
          </w:p>
        </w:tc>
        <w:tc>
          <w:tcPr/>
          <w:p>
            <w:pPr>
              <w:pStyle w:val="Compact"/>
            </w:pPr>
            <w:r>
              <w:t xml:space="preserve">3</w:t>
            </w:r>
          </w:p>
        </w:tc>
        <w:tc>
          <w:tcPr/>
          <w:p>
            <w:pPr>
              <w:pStyle w:val="Compact"/>
            </w:pPr>
            <w:r>
              <w:t xml:space="preserve">3</w:t>
            </w:r>
          </w:p>
        </w:tc>
        <w:tc>
          <w:tcPr/>
          <w:p>
            <w:pPr>
              <w:pStyle w:val="Compact"/>
            </w:pPr>
            <w:r>
              <w:t xml:space="preserve">Keep Satisfied. NSSF file format specification obtained from NSSF Uganda. Finance Director reviews before each submission.</w:t>
            </w:r>
          </w:p>
        </w:tc>
      </w:tr>
      <w:tr>
        <w:tc>
          <w:tcPr/>
          <w:p>
            <w:pPr>
              <w:pStyle w:val="Compact"/>
            </w:pPr>
            <w:r>
              <w:t xml:space="preserve">STK-026</w:t>
            </w:r>
          </w:p>
        </w:tc>
        <w:tc>
          <w:tcPr/>
          <w:p>
            <w:pPr>
              <w:pStyle w:val="Compact"/>
            </w:pPr>
            <w:r>
              <w:t xml:space="preserve">Auditor General (OAG Uganda)</w:t>
            </w:r>
          </w:p>
        </w:tc>
        <w:tc>
          <w:tcPr/>
          <w:p>
            <w:pPr>
              <w:pStyle w:val="Compact"/>
            </w:pPr>
            <w:r>
              <w:t xml:space="preserve">Audit trail; financial statements; GL hash chain integrity</w:t>
            </w:r>
          </w:p>
        </w:tc>
        <w:tc>
          <w:tcPr/>
          <w:p>
            <w:pPr>
              <w:pStyle w:val="Compact"/>
            </w:pPr>
            <w:r>
              <w:t xml:space="preserve">5</w:t>
            </w:r>
          </w:p>
        </w:tc>
        <w:tc>
          <w:tcPr/>
          <w:p>
            <w:pPr>
              <w:pStyle w:val="Compact"/>
            </w:pPr>
            <w:r>
              <w:t xml:space="preserve">4</w:t>
            </w:r>
          </w:p>
        </w:tc>
        <w:tc>
          <w:tcPr/>
          <w:p>
            <w:pPr>
              <w:pStyle w:val="Compact"/>
            </w:pPr>
            <w:r>
              <w:t xml:space="preserve">Manage Closely. OAG is the ultimate assurance authority. Audit-readiness built into every module (DC-003). Finance Director is primary interface. Audit trail accessible at any time.</w:t>
            </w:r>
          </w:p>
        </w:tc>
      </w:tr>
      <w:tr>
        <w:tc>
          <w:tcPr/>
          <w:p>
            <w:pPr>
              <w:pStyle w:val="Compact"/>
            </w:pPr>
            <w:r>
              <w:t xml:space="preserve">STK-027</w:t>
            </w:r>
          </w:p>
        </w:tc>
        <w:tc>
          <w:tcPr/>
          <w:p>
            <w:pPr>
              <w:pStyle w:val="Compact"/>
            </w:pPr>
            <w:r>
              <w:t xml:space="preserve">PPDA</w:t>
            </w:r>
          </w:p>
        </w:tc>
        <w:tc>
          <w:tcPr/>
          <w:p>
            <w:pPr>
              <w:pStyle w:val="Compact"/>
            </w:pPr>
            <w:r>
              <w:t xml:space="preserve">Procurement documentation and compliance records</w:t>
            </w:r>
          </w:p>
        </w:tc>
        <w:tc>
          <w:tcPr/>
          <w:p>
            <w:pPr>
              <w:pStyle w:val="Compact"/>
            </w:pPr>
            <w:r>
              <w:t xml:space="preserve">4</w:t>
            </w:r>
          </w:p>
        </w:tc>
        <w:tc>
          <w:tcPr/>
          <w:p>
            <w:pPr>
              <w:pStyle w:val="Compact"/>
            </w:pPr>
            <w:r>
              <w:t xml:space="preserve">3</w:t>
            </w:r>
          </w:p>
        </w:tc>
        <w:tc>
          <w:tcPr/>
          <w:p>
            <w:pPr>
              <w:pStyle w:val="Compact"/>
            </w:pPr>
            <w:r>
              <w:t xml:space="preserve">Keep Satisfied. All PPDA document requirements encoded in the procurement checklist. Robert (Procurement Manager) is primary compliance owner. Annual PPDA compliance report generated from system.</w:t>
            </w:r>
          </w:p>
        </w:tc>
      </w:tr>
      <w:tr>
        <w:tc>
          <w:tcPr/>
          <w:p>
            <w:pPr>
              <w:pStyle w:val="Compact"/>
            </w:pPr>
            <w:r>
              <w:t xml:space="preserve">STK-028</w:t>
            </w:r>
          </w:p>
        </w:tc>
        <w:tc>
          <w:tcPr/>
          <w:p>
            <w:pPr>
              <w:pStyle w:val="Compact"/>
            </w:pPr>
            <w:r>
              <w:t xml:space="preserve">ZKTeco (Biometric Device Vendor)</w:t>
            </w:r>
          </w:p>
        </w:tc>
        <w:tc>
          <w:tcPr/>
          <w:p>
            <w:pPr>
              <w:pStyle w:val="Compact"/>
            </w:pPr>
            <w:r>
              <w:t xml:space="preserve">Biometric attendance device API integration</w:t>
            </w:r>
          </w:p>
        </w:tc>
        <w:tc>
          <w:tcPr/>
          <w:p>
            <w:pPr>
              <w:pStyle w:val="Compact"/>
            </w:pPr>
            <w:r>
              <w:t xml:space="preserve">2</w:t>
            </w:r>
          </w:p>
        </w:tc>
        <w:tc>
          <w:tcPr/>
          <w:p>
            <w:pPr>
              <w:pStyle w:val="Compact"/>
            </w:pPr>
            <w:r>
              <w:t xml:space="preserve">3</w:t>
            </w:r>
          </w:p>
        </w:tc>
        <w:tc>
          <w:tcPr/>
          <w:p>
            <w:pPr>
              <w:pStyle w:val="Compact"/>
            </w:pPr>
            <w:r>
              <w:t xml:space="preserve">Monitor. IT Administrator obtains ZKTeco device API documentation. Integration specification completed in Phase 5.</w:t>
            </w:r>
          </w:p>
        </w:tc>
      </w:tr>
      <w:tr>
        <w:tc>
          <w:tcPr/>
          <w:p>
            <w:pPr>
              <w:pStyle w:val="Compact"/>
            </w:pPr>
            <w:r>
              <w:t xml:space="preserve">STK-029</w:t>
            </w:r>
          </w:p>
        </w:tc>
        <w:tc>
          <w:tcPr/>
          <w:p>
            <w:pPr>
              <w:pStyle w:val="Compact"/>
            </w:pPr>
            <w:r>
              <w:t xml:space="preserve">BIRDC Cooperative Farmers' Unions</w:t>
            </w:r>
          </w:p>
        </w:tc>
        <w:tc>
          <w:tcPr/>
          <w:p>
            <w:pPr>
              <w:pStyle w:val="Compact"/>
            </w:pPr>
            <w:r>
              <w:t xml:space="preserve">Cooperative aggregation reporting; farmer payment statements</w:t>
            </w:r>
          </w:p>
        </w:tc>
        <w:tc>
          <w:tcPr/>
          <w:p>
            <w:pPr>
              <w:pStyle w:val="Compact"/>
            </w:pPr>
            <w:r>
              <w:t xml:space="preserve">2</w:t>
            </w:r>
          </w:p>
        </w:tc>
        <w:tc>
          <w:tcPr/>
          <w:p>
            <w:pPr>
              <w:pStyle w:val="Compact"/>
            </w:pPr>
            <w:r>
              <w:t xml:space="preserve">4</w:t>
            </w:r>
          </w:p>
        </w:tc>
        <w:tc>
          <w:tcPr/>
          <w:p>
            <w:pPr>
              <w:pStyle w:val="Compact"/>
            </w:pPr>
            <w:r>
              <w:t xml:space="preserve">Keep Informed. Farmers' unions receive aggregate cooperative payment reports. Concerns about individual farmer payment accuracy are routed through Robert (Procurement Manager).</w:t>
            </w:r>
          </w:p>
        </w:tc>
      </w:tr>
    </w:tbl>
    <w:bookmarkEnd w:id="25"/>
    <w:bookmarkEnd w:id="26"/>
    <w:bookmarkStart w:id="34" w:name="section-2-powerinterest-grid"/>
    <w:p>
      <w:pPr>
        <w:pStyle w:val="Heading1"/>
      </w:pPr>
      <w:r>
        <w:t xml:space="preserve">Section 2: Power/Interest Grid</w:t>
      </w:r>
    </w:p>
    <w:p>
      <w:pPr>
        <w:pStyle w:val="FirstParagraph"/>
      </w:pPr>
      <w:r>
        <w:t xml:space="preserve">The Power/Interest Grid plots all 29 stakeholders across two dimensions:</w:t>
      </w:r>
    </w:p>
    <w:p>
      <w:pPr>
        <w:pStyle w:val="Compact"/>
        <w:numPr>
          <w:ilvl w:val="0"/>
          <w:numId w:val="1002"/>
        </w:numPr>
      </w:pPr>
      <w:r>
        <w:rPr>
          <w:b/>
          <w:bCs/>
        </w:rPr>
        <w:t xml:space="preserve">Power (vertical axis):</w:t>
      </w:r>
      <w:r>
        <w:t xml:space="preserve"> </w:t>
      </w:r>
      <w:r>
        <w:t xml:space="preserve">the stakeholder's authority to affect the project direction, approve or block funding, or mandate compliance. Scored 1–5; plotted as High (≥ 3) or Low (&lt; 3).</w:t>
      </w:r>
    </w:p>
    <w:p>
      <w:pPr>
        <w:pStyle w:val="Compact"/>
        <w:numPr>
          <w:ilvl w:val="0"/>
          <w:numId w:val="1002"/>
        </w:numPr>
      </w:pPr>
      <w:r>
        <w:rPr>
          <w:b/>
          <w:bCs/>
        </w:rPr>
        <w:t xml:space="preserve">Interest (horizontal axis):</w:t>
      </w:r>
      <w:r>
        <w:t xml:space="preserve"> </w:t>
      </w:r>
      <w:r>
        <w:t xml:space="preserve">the degree to which the stakeholder's day-to-day operations or mandate is affected by the BIRDC ERP system. Scored 1–5; plotted as High (≥ 3) or Low (&lt; 3).</w:t>
      </w:r>
    </w:p>
    <w:p>
      <w:pPr>
        <w:pStyle w:val="FirstParagraph"/>
      </w:pPr>
      <w:r>
        <w:t xml:space="preserve">The grid produces 4 quadrants, each with a defined engagement strategy.</w:t>
      </w:r>
    </w:p>
    <w:p>
      <w:r>
        <w:pict>
          <v:rect style="width:0;height:1.5pt" o:hralign="center" o:hrstd="t" o:hr="t"/>
        </w:pict>
      </w:r>
    </w:p>
    <w:bookmarkStart w:id="27" w:name="Xe21917926c7db3a75c3a5ee06b8574d9172ee4c"/>
    <w:p>
      <w:pPr>
        <w:pStyle w:val="Heading2"/>
      </w:pPr>
      <w:r>
        <w:t xml:space="preserve">2.1 Quadrant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Quadrant</w:t>
            </w:r>
          </w:p>
        </w:tc>
        <w:tc>
          <w:tcPr/>
          <w:p>
            <w:pPr>
              <w:pStyle w:val="Compact"/>
            </w:pPr>
            <w:r>
              <w:t xml:space="preserve">Power</w:t>
            </w:r>
          </w:p>
        </w:tc>
        <w:tc>
          <w:tcPr/>
          <w:p>
            <w:pPr>
              <w:pStyle w:val="Compact"/>
            </w:pPr>
            <w:r>
              <w:t xml:space="preserve">Interest</w:t>
            </w:r>
          </w:p>
        </w:tc>
        <w:tc>
          <w:tcPr/>
          <w:p>
            <w:pPr>
              <w:pStyle w:val="Compact"/>
            </w:pPr>
            <w:r>
              <w:t xml:space="preserve">Strategy</w:t>
            </w:r>
          </w:p>
        </w:tc>
        <w:tc>
          <w:tcPr/>
          <w:p>
            <w:pPr>
              <w:pStyle w:val="Compact"/>
            </w:pPr>
            <w:r>
              <w:t xml:space="preserve">Rationale</w:t>
            </w:r>
          </w:p>
        </w:tc>
      </w:tr>
      <w:tr>
        <w:tc>
          <w:tcPr/>
          <w:p>
            <w:pPr>
              <w:pStyle w:val="Compact"/>
            </w:pPr>
            <w:r>
              <w:rPr>
                <w:b/>
                <w:bCs/>
              </w:rPr>
              <w:t xml:space="preserve">Manage Closely</w:t>
            </w:r>
          </w:p>
        </w:tc>
        <w:tc>
          <w:tcPr/>
          <w:p>
            <w:pPr>
              <w:pStyle w:val="Compact"/>
            </w:pPr>
            <w:r>
              <w:t xml:space="preserve">High</w:t>
            </w:r>
          </w:p>
        </w:tc>
        <w:tc>
          <w:tcPr/>
          <w:p>
            <w:pPr>
              <w:pStyle w:val="Compact"/>
            </w:pPr>
            <w:r>
              <w:t xml:space="preserve">High</w:t>
            </w:r>
          </w:p>
        </w:tc>
        <w:tc>
          <w:tcPr/>
          <w:p>
            <w:pPr>
              <w:pStyle w:val="Compact"/>
            </w:pPr>
            <w:r>
              <w:t xml:space="preserve">Maximum engagement. Involve in requirements sign-off, phase-gate reviews, and issue resolution.</w:t>
            </w:r>
          </w:p>
        </w:tc>
        <w:tc>
          <w:tcPr/>
          <w:p>
            <w:pPr>
              <w:pStyle w:val="Compact"/>
            </w:pPr>
            <w:r>
              <w:t xml:space="preserve">These stakeholders can both derail the project and provide the most valuable requirements input.</w:t>
            </w:r>
          </w:p>
        </w:tc>
      </w:tr>
      <w:tr>
        <w:tc>
          <w:tcPr/>
          <w:p>
            <w:pPr>
              <w:pStyle w:val="Compact"/>
            </w:pPr>
            <w:r>
              <w:rPr>
                <w:b/>
                <w:bCs/>
              </w:rPr>
              <w:t xml:space="preserve">Keep Satisfied</w:t>
            </w:r>
          </w:p>
        </w:tc>
        <w:tc>
          <w:tcPr/>
          <w:p>
            <w:pPr>
              <w:pStyle w:val="Compact"/>
            </w:pPr>
            <w:r>
              <w:t xml:space="preserve">High</w:t>
            </w:r>
          </w:p>
        </w:tc>
        <w:tc>
          <w:tcPr/>
          <w:p>
            <w:pPr>
              <w:pStyle w:val="Compact"/>
            </w:pPr>
            <w:r>
              <w:t xml:space="preserve">Low</w:t>
            </w:r>
          </w:p>
        </w:tc>
        <w:tc>
          <w:tcPr/>
          <w:p>
            <w:pPr>
              <w:pStyle w:val="Compact"/>
            </w:pPr>
            <w:r>
              <w:t xml:space="preserve">Regular structured updates. Address concerns proactively. Avoid over-involving in daily detail.</w:t>
            </w:r>
          </w:p>
        </w:tc>
        <w:tc>
          <w:tcPr/>
          <w:p>
            <w:pPr>
              <w:pStyle w:val="Compact"/>
            </w:pPr>
            <w:r>
              <w:t xml:space="preserve">These stakeholders can block or redirect the project despite limited operational interest; keeping them informed prevents escalation.</w:t>
            </w:r>
          </w:p>
        </w:tc>
      </w:tr>
      <w:tr>
        <w:tc>
          <w:tcPr/>
          <w:p>
            <w:pPr>
              <w:pStyle w:val="Compact"/>
            </w:pPr>
            <w:r>
              <w:rPr>
                <w:b/>
                <w:bCs/>
              </w:rPr>
              <w:t xml:space="preserve">Keep Informed</w:t>
            </w:r>
          </w:p>
        </w:tc>
        <w:tc>
          <w:tcPr/>
          <w:p>
            <w:pPr>
              <w:pStyle w:val="Compact"/>
            </w:pPr>
            <w:r>
              <w:t xml:space="preserve">Low</w:t>
            </w:r>
          </w:p>
        </w:tc>
        <w:tc>
          <w:tcPr/>
          <w:p>
            <w:pPr>
              <w:pStyle w:val="Compact"/>
            </w:pPr>
            <w:r>
              <w:t xml:space="preserve">High</w:t>
            </w:r>
          </w:p>
        </w:tc>
        <w:tc>
          <w:tcPr/>
          <w:p>
            <w:pPr>
              <w:pStyle w:val="Compact"/>
            </w:pPr>
            <w:r>
              <w:t xml:space="preserve">Regular operational-level communication. Include in UAT and training. Capture detailed requirements.</w:t>
            </w:r>
          </w:p>
        </w:tc>
        <w:tc>
          <w:tcPr/>
          <w:p>
            <w:pPr>
              <w:pStyle w:val="Compact"/>
            </w:pPr>
            <w:r>
              <w:t xml:space="preserve">Deep operational knowledge, critical for requirements quality. Limited formal authority but high impact on adoption.</w:t>
            </w:r>
          </w:p>
        </w:tc>
      </w:tr>
      <w:tr>
        <w:tc>
          <w:tcPr/>
          <w:p>
            <w:pPr>
              <w:pStyle w:val="Compact"/>
            </w:pPr>
            <w:r>
              <w:rPr>
                <w:b/>
                <w:bCs/>
              </w:rPr>
              <w:t xml:space="preserve">Monitor</w:t>
            </w:r>
          </w:p>
        </w:tc>
        <w:tc>
          <w:tcPr/>
          <w:p>
            <w:pPr>
              <w:pStyle w:val="Compact"/>
            </w:pPr>
            <w:r>
              <w:t xml:space="preserve">Low</w:t>
            </w:r>
          </w:p>
        </w:tc>
        <w:tc>
          <w:tcPr/>
          <w:p>
            <w:pPr>
              <w:pStyle w:val="Compact"/>
            </w:pPr>
            <w:r>
              <w:t xml:space="preserve">Low</w:t>
            </w:r>
          </w:p>
        </w:tc>
        <w:tc>
          <w:tcPr/>
          <w:p>
            <w:pPr>
              <w:pStyle w:val="Compact"/>
            </w:pPr>
            <w:r>
              <w:t xml:space="preserve">Periodic updates via standard reporting channels. No dedicated engagement beyond scheduled project communications.</w:t>
            </w:r>
          </w:p>
        </w:tc>
        <w:tc>
          <w:tcPr/>
          <w:p>
            <w:pPr>
              <w:pStyle w:val="Compact"/>
            </w:pPr>
            <w:r>
              <w:t xml:space="preserve">Minimal risk of derailment; involvement is proportionate to need.</w:t>
            </w:r>
          </w:p>
        </w:tc>
      </w:tr>
    </w:tbl>
    <w:p>
      <w:r>
        <w:pict>
          <v:rect style="width:0;height:1.5pt" o:hralign="center" o:hrstd="t" o:hr="t"/>
        </w:pict>
      </w:r>
    </w:p>
    <w:bookmarkEnd w:id="27"/>
    <w:bookmarkStart w:id="32" w:name="X7cafc722990c00de902350a15b32355fada54f8"/>
    <w:p>
      <w:pPr>
        <w:pStyle w:val="Heading2"/>
      </w:pPr>
      <w:r>
        <w:t xml:space="preserve">2.2 Stakeholder Grid Placement</w:t>
      </w:r>
    </w:p>
    <w:bookmarkStart w:id="28" w:name="manage-closely--high-power-high-interest"/>
    <w:p>
      <w:pPr>
        <w:pStyle w:val="Heading3"/>
      </w:pPr>
      <w:r>
        <w:t xml:space="preserve">Manage Closely — High Power, High Interest</w:t>
      </w:r>
    </w:p>
    <w:p>
      <w:pPr>
        <w:pStyle w:val="FirstParagraph"/>
      </w:pPr>
      <w:r>
        <w:t xml:space="preserve">These stakeholders receive the highest engagement intensity. Phase-gate sign-off cannot proceed without their formal acknowledgement.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Stakeholder</w:t>
            </w:r>
          </w:p>
        </w:tc>
        <w:tc>
          <w:tcPr/>
          <w:p>
            <w:pPr>
              <w:pStyle w:val="Compact"/>
            </w:pPr>
            <w:r>
              <w:t xml:space="preserve">Power</w:t>
            </w:r>
          </w:p>
        </w:tc>
        <w:tc>
          <w:tcPr/>
          <w:p>
            <w:pPr>
              <w:pStyle w:val="Compact"/>
            </w:pPr>
            <w:r>
              <w:t xml:space="preserve">Interest</w:t>
            </w:r>
          </w:p>
        </w:tc>
        <w:tc>
          <w:tcPr/>
          <w:p>
            <w:pPr>
              <w:pStyle w:val="Compact"/>
            </w:pPr>
            <w:r>
              <w:t xml:space="preserve">Key Engagement Action</w:t>
            </w:r>
          </w:p>
        </w:tc>
      </w:tr>
      <w:tr>
        <w:tc>
          <w:tcPr/>
          <w:p>
            <w:pPr>
              <w:pStyle w:val="Compact"/>
            </w:pPr>
            <w:r>
              <w:t xml:space="preserve">STK-001</w:t>
            </w:r>
          </w:p>
        </w:tc>
        <w:tc>
          <w:tcPr/>
          <w:p>
            <w:pPr>
              <w:pStyle w:val="Compact"/>
            </w:pPr>
            <w:r>
              <w:t xml:space="preserve">BIRDC Director</w:t>
            </w:r>
          </w:p>
        </w:tc>
        <w:tc>
          <w:tcPr/>
          <w:p>
            <w:pPr>
              <w:pStyle w:val="Compact"/>
            </w:pPr>
            <w:r>
              <w:t xml:space="preserve">5</w:t>
            </w:r>
          </w:p>
        </w:tc>
        <w:tc>
          <w:tcPr/>
          <w:p>
            <w:pPr>
              <w:pStyle w:val="Compact"/>
            </w:pPr>
            <w:r>
              <w:t xml:space="preserve">5</w:t>
            </w:r>
          </w:p>
        </w:tc>
        <w:tc>
          <w:tcPr/>
          <w:p>
            <w:pPr>
              <w:pStyle w:val="Compact"/>
            </w:pPr>
            <w:r>
              <w:t xml:space="preserve">Monthly steering meeting; bi-weekly brief; final phase-gate sign-off authority</w:t>
            </w:r>
          </w:p>
        </w:tc>
      </w:tr>
      <w:tr>
        <w:tc>
          <w:tcPr/>
          <w:p>
            <w:pPr>
              <w:pStyle w:val="Compact"/>
            </w:pPr>
            <w:r>
              <w:t xml:space="preserve">STK-002</w:t>
            </w:r>
          </w:p>
        </w:tc>
        <w:tc>
          <w:tcPr/>
          <w:p>
            <w:pPr>
              <w:pStyle w:val="Compact"/>
            </w:pPr>
            <w:r>
              <w:t xml:space="preserve">Finance Director</w:t>
            </w:r>
          </w:p>
        </w:tc>
        <w:tc>
          <w:tcPr/>
          <w:p>
            <w:pPr>
              <w:pStyle w:val="Compact"/>
            </w:pPr>
            <w:r>
              <w:t xml:space="preserve">5</w:t>
            </w:r>
          </w:p>
        </w:tc>
        <w:tc>
          <w:tcPr/>
          <w:p>
            <w:pPr>
              <w:pStyle w:val="Compact"/>
            </w:pPr>
            <w:r>
              <w:t xml:space="preserve">5</w:t>
            </w:r>
          </w:p>
        </w:tc>
        <w:tc>
          <w:tcPr/>
          <w:p>
            <w:pPr>
              <w:pStyle w:val="Compact"/>
            </w:pPr>
            <w:r>
              <w:t xml:space="preserve">Weekly requirements review; approves all financial module specifications and deliverables</w:t>
            </w:r>
          </w:p>
        </w:tc>
      </w:tr>
      <w:tr>
        <w:tc>
          <w:tcPr/>
          <w:p>
            <w:pPr>
              <w:pStyle w:val="Compact"/>
            </w:pPr>
            <w:r>
              <w:t xml:space="preserve">STK-003</w:t>
            </w:r>
          </w:p>
        </w:tc>
        <w:tc>
          <w:tcPr/>
          <w:p>
            <w:pPr>
              <w:pStyle w:val="Compact"/>
            </w:pPr>
            <w:r>
              <w:t xml:space="preserve">IT Administrator</w:t>
            </w:r>
          </w:p>
        </w:tc>
        <w:tc>
          <w:tcPr/>
          <w:p>
            <w:pPr>
              <w:pStyle w:val="Compact"/>
            </w:pPr>
            <w:r>
              <w:t xml:space="preserve">4</w:t>
            </w:r>
          </w:p>
        </w:tc>
        <w:tc>
          <w:tcPr/>
          <w:p>
            <w:pPr>
              <w:pStyle w:val="Compact"/>
            </w:pPr>
            <w:r>
              <w:t xml:space="preserve">5</w:t>
            </w:r>
          </w:p>
        </w:tc>
        <w:tc>
          <w:tcPr/>
          <w:p>
            <w:pPr>
              <w:pStyle w:val="Compact"/>
            </w:pPr>
            <w:r>
              <w:t xml:space="preserve">Architecture review sessions; infrastructure co-planning; security specification sign-off</w:t>
            </w:r>
          </w:p>
        </w:tc>
      </w:tr>
      <w:tr>
        <w:tc>
          <w:tcPr/>
          <w:p>
            <w:pPr>
              <w:pStyle w:val="Compact"/>
            </w:pPr>
            <w:r>
              <w:t xml:space="preserve">STK-026</w:t>
            </w:r>
          </w:p>
        </w:tc>
        <w:tc>
          <w:tcPr/>
          <w:p>
            <w:pPr>
              <w:pStyle w:val="Compact"/>
            </w:pPr>
            <w:r>
              <w:t xml:space="preserve">Auditor General (OAG Uganda)</w:t>
            </w:r>
          </w:p>
        </w:tc>
        <w:tc>
          <w:tcPr/>
          <w:p>
            <w:pPr>
              <w:pStyle w:val="Compact"/>
            </w:pPr>
            <w:r>
              <w:t xml:space="preserve">5</w:t>
            </w:r>
          </w:p>
        </w:tc>
        <w:tc>
          <w:tcPr/>
          <w:p>
            <w:pPr>
              <w:pStyle w:val="Compact"/>
            </w:pPr>
            <w:r>
              <w:t xml:space="preserve">4</w:t>
            </w:r>
          </w:p>
        </w:tc>
        <w:tc>
          <w:tcPr/>
          <w:p>
            <w:pPr>
              <w:pStyle w:val="Compact"/>
            </w:pPr>
            <w:r>
              <w:t xml:space="preserve">Audit-readiness maintained continuously; Finance Director is primary interface; audit trail accessible on demand</w:t>
            </w:r>
          </w:p>
        </w:tc>
      </w:tr>
    </w:tbl>
    <w:p>
      <w:r>
        <w:pict>
          <v:rect style="width:0;height:1.5pt" o:hralign="center" o:hrstd="t" o:hr="t"/>
        </w:pict>
      </w:r>
    </w:p>
    <w:bookmarkEnd w:id="28"/>
    <w:bookmarkStart w:id="29" w:name="keep-satisfied--high-power-low-interest"/>
    <w:p>
      <w:pPr>
        <w:pStyle w:val="Heading3"/>
      </w:pPr>
      <w:r>
        <w:t xml:space="preserve">Keep Satisfied — High Power, Low Interest</w:t>
      </w:r>
    </w:p>
    <w:p>
      <w:pPr>
        <w:pStyle w:val="FirstParagraph"/>
      </w:pPr>
      <w:r>
        <w:t xml:space="preserve">These stakeholders hold formal authority over BIRDC's funding and compliance environment. They do not require detailed day-to-day system involvement but must receive structured, timely assurance.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Stakeholder</w:t>
            </w:r>
          </w:p>
        </w:tc>
        <w:tc>
          <w:tcPr/>
          <w:p>
            <w:pPr>
              <w:pStyle w:val="Compact"/>
            </w:pPr>
            <w:r>
              <w:t xml:space="preserve">Power</w:t>
            </w:r>
          </w:p>
        </w:tc>
        <w:tc>
          <w:tcPr/>
          <w:p>
            <w:pPr>
              <w:pStyle w:val="Compact"/>
            </w:pPr>
            <w:r>
              <w:t xml:space="preserve">Interest</w:t>
            </w:r>
          </w:p>
        </w:tc>
        <w:tc>
          <w:tcPr/>
          <w:p>
            <w:pPr>
              <w:pStyle w:val="Compact"/>
            </w:pPr>
            <w:r>
              <w:t xml:space="preserve">Key Engagement Action</w:t>
            </w:r>
          </w:p>
        </w:tc>
      </w:tr>
      <w:tr>
        <w:tc>
          <w:tcPr/>
          <w:p>
            <w:pPr>
              <w:pStyle w:val="Compact"/>
            </w:pPr>
            <w:r>
              <w:t xml:space="preserve">STK-004</w:t>
            </w:r>
          </w:p>
        </w:tc>
        <w:tc>
          <w:tcPr/>
          <w:p>
            <w:pPr>
              <w:pStyle w:val="Compact"/>
            </w:pPr>
            <w:r>
              <w:t xml:space="preserve">Parliament Budget Committee</w:t>
            </w:r>
          </w:p>
        </w:tc>
        <w:tc>
          <w:tcPr/>
          <w:p>
            <w:pPr>
              <w:pStyle w:val="Compact"/>
            </w:pPr>
            <w:r>
              <w:t xml:space="preserve">5</w:t>
            </w:r>
          </w:p>
        </w:tc>
        <w:tc>
          <w:tcPr/>
          <w:p>
            <w:pPr>
              <w:pStyle w:val="Compact"/>
            </w:pPr>
            <w:r>
              <w:t xml:space="preserve">3</w:t>
            </w:r>
          </w:p>
        </w:tc>
        <w:tc>
          <w:tcPr/>
          <w:p>
            <w:pPr>
              <w:pStyle w:val="Compact"/>
            </w:pPr>
            <w:r>
              <w:t xml:space="preserve">Progress reports at parliamentary milestone events; audit-ready documentation; value-for-money narrative</w:t>
            </w:r>
          </w:p>
        </w:tc>
      </w:tr>
      <w:tr>
        <w:tc>
          <w:tcPr/>
          <w:p>
            <w:pPr>
              <w:pStyle w:val="Compact"/>
            </w:pPr>
            <w:r>
              <w:t xml:space="preserve">STK-022</w:t>
            </w:r>
          </w:p>
        </w:tc>
        <w:tc>
          <w:tcPr/>
          <w:p>
            <w:pPr>
              <w:pStyle w:val="Compact"/>
            </w:pPr>
            <w:r>
              <w:t xml:space="preserve">Uganda Revenue Authority (URA)</w:t>
            </w:r>
          </w:p>
        </w:tc>
        <w:tc>
          <w:tcPr/>
          <w:p>
            <w:pPr>
              <w:pStyle w:val="Compact"/>
            </w:pPr>
            <w:r>
              <w:t xml:space="preserve">5</w:t>
            </w:r>
          </w:p>
        </w:tc>
        <w:tc>
          <w:tcPr/>
          <w:p>
            <w:pPr>
              <w:pStyle w:val="Compact"/>
            </w:pPr>
            <w:r>
              <w:t xml:space="preserve">3</w:t>
            </w:r>
          </w:p>
        </w:tc>
        <w:tc>
          <w:tcPr/>
          <w:p>
            <w:pPr>
              <w:pStyle w:val="Compact"/>
            </w:pPr>
            <w:r>
              <w:t xml:space="preserve">EFRIS compliance maintained at all times; IT Administrator manages API; Finance Director reviews</w:t>
            </w:r>
          </w:p>
        </w:tc>
      </w:tr>
      <w:tr>
        <w:tc>
          <w:tcPr/>
          <w:p>
            <w:pPr>
              <w:pStyle w:val="Compact"/>
            </w:pPr>
            <w:r>
              <w:t xml:space="preserve">STK-027</w:t>
            </w:r>
          </w:p>
        </w:tc>
        <w:tc>
          <w:tcPr/>
          <w:p>
            <w:pPr>
              <w:pStyle w:val="Compact"/>
            </w:pPr>
            <w:r>
              <w:t xml:space="preserve">PPDA</w:t>
            </w:r>
          </w:p>
        </w:tc>
        <w:tc>
          <w:tcPr/>
          <w:p>
            <w:pPr>
              <w:pStyle w:val="Compact"/>
            </w:pPr>
            <w:r>
              <w:t xml:space="preserve">4</w:t>
            </w:r>
          </w:p>
        </w:tc>
        <w:tc>
          <w:tcPr/>
          <w:p>
            <w:pPr>
              <w:pStyle w:val="Compact"/>
            </w:pPr>
            <w:r>
              <w:t xml:space="preserve">3</w:t>
            </w:r>
          </w:p>
        </w:tc>
        <w:tc>
          <w:tcPr/>
          <w:p>
            <w:pPr>
              <w:pStyle w:val="Compact"/>
            </w:pPr>
            <w:r>
              <w:t xml:space="preserve">Full procurement documentation compliance; annual PPDA compliance report from system</w:t>
            </w:r>
          </w:p>
        </w:tc>
      </w:tr>
    </w:tbl>
    <w:p>
      <w:r>
        <w:pict>
          <v:rect style="width:0;height:1.5pt" o:hralign="center" o:hrstd="t" o:hr="t"/>
        </w:pict>
      </w:r>
    </w:p>
    <w:bookmarkEnd w:id="29"/>
    <w:bookmarkStart w:id="30" w:name="keep-informed--low-power-high-interest"/>
    <w:p>
      <w:pPr>
        <w:pStyle w:val="Heading3"/>
      </w:pPr>
      <w:r>
        <w:t xml:space="preserve">Keep Informed — Low Power, High Interest</w:t>
      </w:r>
    </w:p>
    <w:p>
      <w:pPr>
        <w:pStyle w:val="FirstParagraph"/>
      </w:pPr>
      <w:r>
        <w:t xml:space="preserve">These stakeholders have the deepest operational knowledge of the processes the system will support. Their requirements input is critical; their adoption directly determines whether the system delivers its value.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Stakeholder</w:t>
            </w:r>
          </w:p>
        </w:tc>
        <w:tc>
          <w:tcPr/>
          <w:p>
            <w:pPr>
              <w:pStyle w:val="Compact"/>
            </w:pPr>
            <w:r>
              <w:t xml:space="preserve">Power</w:t>
            </w:r>
          </w:p>
        </w:tc>
        <w:tc>
          <w:tcPr/>
          <w:p>
            <w:pPr>
              <w:pStyle w:val="Compact"/>
            </w:pPr>
            <w:r>
              <w:t xml:space="preserve">Interest</w:t>
            </w:r>
          </w:p>
        </w:tc>
        <w:tc>
          <w:tcPr/>
          <w:p>
            <w:pPr>
              <w:pStyle w:val="Compact"/>
            </w:pPr>
            <w:r>
              <w:t xml:space="preserve">Key Engagement Action</w:t>
            </w:r>
          </w:p>
        </w:tc>
      </w:tr>
      <w:tr>
        <w:tc>
          <w:tcPr/>
          <w:p>
            <w:pPr>
              <w:pStyle w:val="Compact"/>
            </w:pPr>
            <w:r>
              <w:t xml:space="preserve">STK-006</w:t>
            </w:r>
          </w:p>
        </w:tc>
        <w:tc>
          <w:tcPr/>
          <w:p>
            <w:pPr>
              <w:pStyle w:val="Compact"/>
            </w:pPr>
            <w:r>
              <w:t xml:space="preserve">Sales and Marketing Manager</w:t>
            </w:r>
          </w:p>
        </w:tc>
        <w:tc>
          <w:tcPr/>
          <w:p>
            <w:pPr>
              <w:pStyle w:val="Compact"/>
            </w:pPr>
            <w:r>
              <w:t xml:space="preserve">3</w:t>
            </w:r>
          </w:p>
        </w:tc>
        <w:tc>
          <w:tcPr/>
          <w:p>
            <w:pPr>
              <w:pStyle w:val="Compact"/>
            </w:pPr>
            <w:r>
              <w:t xml:space="preserve">5</w:t>
            </w:r>
          </w:p>
        </w:tc>
        <w:tc>
          <w:tcPr/>
          <w:p>
            <w:pPr>
              <w:pStyle w:val="Compact"/>
            </w:pPr>
            <w:r>
              <w:t xml:space="preserve">Phase 1 requirements sessions; F-001 and F-002 sign-off</w:t>
            </w:r>
          </w:p>
        </w:tc>
      </w:tr>
      <w:tr>
        <w:tc>
          <w:tcPr/>
          <w:p>
            <w:pPr>
              <w:pStyle w:val="Compact"/>
            </w:pPr>
            <w:r>
              <w:t xml:space="preserve">STK-007</w:t>
            </w:r>
          </w:p>
        </w:tc>
        <w:tc>
          <w:tcPr/>
          <w:p>
            <w:pPr>
              <w:pStyle w:val="Compact"/>
            </w:pPr>
            <w:r>
              <w:t xml:space="preserve">Procurement Manager</w:t>
            </w:r>
          </w:p>
        </w:tc>
        <w:tc>
          <w:tcPr/>
          <w:p>
            <w:pPr>
              <w:pStyle w:val="Compact"/>
            </w:pPr>
            <w:r>
              <w:t xml:space="preserve">3</w:t>
            </w:r>
          </w:p>
        </w:tc>
        <w:tc>
          <w:tcPr/>
          <w:p>
            <w:pPr>
              <w:pStyle w:val="Compact"/>
            </w:pPr>
            <w:r>
              <w:t xml:space="preserve">5</w:t>
            </w:r>
          </w:p>
        </w:tc>
        <w:tc>
          <w:tcPr/>
          <w:p>
            <w:pPr>
              <w:pStyle w:val="Compact"/>
            </w:pPr>
            <w:r>
              <w:t xml:space="preserve">Phase 3 requirements sessions; PPDA workflow specification</w:t>
            </w:r>
          </w:p>
        </w:tc>
      </w:tr>
      <w:tr>
        <w:tc>
          <w:tcPr/>
          <w:p>
            <w:pPr>
              <w:pStyle w:val="Compact"/>
            </w:pPr>
            <w:r>
              <w:t xml:space="preserve">STK-008</w:t>
            </w:r>
          </w:p>
        </w:tc>
        <w:tc>
          <w:tcPr/>
          <w:p>
            <w:pPr>
              <w:pStyle w:val="Compact"/>
            </w:pPr>
            <w:r>
              <w:t xml:space="preserve">Store Manager</w:t>
            </w:r>
          </w:p>
        </w:tc>
        <w:tc>
          <w:tcPr/>
          <w:p>
            <w:pPr>
              <w:pStyle w:val="Compact"/>
            </w:pPr>
            <w:r>
              <w:t xml:space="preserve">2</w:t>
            </w:r>
          </w:p>
        </w:tc>
        <w:tc>
          <w:tcPr/>
          <w:p>
            <w:pPr>
              <w:pStyle w:val="Compact"/>
            </w:pPr>
            <w:r>
              <w:t xml:space="preserve">5</w:t>
            </w:r>
          </w:p>
        </w:tc>
        <w:tc>
          <w:tcPr/>
          <w:p>
            <w:pPr>
              <w:pStyle w:val="Compact"/>
            </w:pPr>
            <w:r>
              <w:t xml:space="preserve">Phase 1 UAT lead; dual-track inventory specification</w:t>
            </w:r>
          </w:p>
        </w:tc>
      </w:tr>
      <w:tr>
        <w:tc>
          <w:tcPr/>
          <w:p>
            <w:pPr>
              <w:pStyle w:val="Compact"/>
            </w:pPr>
            <w:r>
              <w:t xml:space="preserve">STK-009</w:t>
            </w:r>
          </w:p>
        </w:tc>
        <w:tc>
          <w:tcPr/>
          <w:p>
            <w:pPr>
              <w:pStyle w:val="Compact"/>
            </w:pPr>
            <w:r>
              <w:t xml:space="preserve">Factory / Production Manager</w:t>
            </w:r>
          </w:p>
        </w:tc>
        <w:tc>
          <w:tcPr/>
          <w:p>
            <w:pPr>
              <w:pStyle w:val="Compact"/>
            </w:pPr>
            <w:r>
              <w:t xml:space="preserve">3</w:t>
            </w:r>
          </w:p>
        </w:tc>
        <w:tc>
          <w:tcPr/>
          <w:p>
            <w:pPr>
              <w:pStyle w:val="Compact"/>
            </w:pPr>
            <w:r>
              <w:t xml:space="preserve">5</w:t>
            </w:r>
          </w:p>
        </w:tc>
        <w:tc>
          <w:tcPr/>
          <w:p>
            <w:pPr>
              <w:pStyle w:val="Compact"/>
            </w:pPr>
            <w:r>
              <w:t xml:space="preserve">Phase 4 requirements; mass balance specification</w:t>
            </w:r>
          </w:p>
        </w:tc>
      </w:tr>
      <w:tr>
        <w:tc>
          <w:tcPr/>
          <w:p>
            <w:pPr>
              <w:pStyle w:val="Compact"/>
            </w:pPr>
            <w:r>
              <w:t xml:space="preserve">STK-010</w:t>
            </w:r>
          </w:p>
        </w:tc>
        <w:tc>
          <w:tcPr/>
          <w:p>
            <w:pPr>
              <w:pStyle w:val="Compact"/>
            </w:pPr>
            <w:r>
              <w:t xml:space="preserve">QC Manager</w:t>
            </w:r>
          </w:p>
        </w:tc>
        <w:tc>
          <w:tcPr/>
          <w:p>
            <w:pPr>
              <w:pStyle w:val="Compact"/>
            </w:pPr>
            <w:r>
              <w:t xml:space="preserve">3</w:t>
            </w:r>
          </w:p>
        </w:tc>
        <w:tc>
          <w:tcPr/>
          <w:p>
            <w:pPr>
              <w:pStyle w:val="Compact"/>
            </w:pPr>
            <w:r>
              <w:t xml:space="preserve">5</w:t>
            </w:r>
          </w:p>
        </w:tc>
        <w:tc>
          <w:tcPr/>
          <w:p>
            <w:pPr>
              <w:pStyle w:val="Compact"/>
            </w:pPr>
            <w:r>
              <w:t xml:space="preserve">Phase 4 CoA and SPC specification</w:t>
            </w:r>
          </w:p>
        </w:tc>
      </w:tr>
      <w:tr>
        <w:tc>
          <w:tcPr/>
          <w:p>
            <w:pPr>
              <w:pStyle w:val="Compact"/>
            </w:pPr>
            <w:r>
              <w:t xml:space="preserve">STK-012</w:t>
            </w:r>
          </w:p>
        </w:tc>
        <w:tc>
          <w:tcPr/>
          <w:p>
            <w:pPr>
              <w:pStyle w:val="Compact"/>
            </w:pPr>
            <w:r>
              <w:t xml:space="preserve">Payroll Officer</w:t>
            </w:r>
          </w:p>
        </w:tc>
        <w:tc>
          <w:tcPr/>
          <w:p>
            <w:pPr>
              <w:pStyle w:val="Compact"/>
            </w:pPr>
            <w:r>
              <w:t xml:space="preserve">2</w:t>
            </w:r>
          </w:p>
        </w:tc>
        <w:tc>
          <w:tcPr/>
          <w:p>
            <w:pPr>
              <w:pStyle w:val="Compact"/>
            </w:pPr>
            <w:r>
              <w:t xml:space="preserve">5</w:t>
            </w:r>
          </w:p>
        </w:tc>
        <w:tc>
          <w:tcPr/>
          <w:p>
            <w:pPr>
              <w:pStyle w:val="Compact"/>
            </w:pPr>
            <w:r>
              <w:t xml:space="preserve">Phase 5 UAT lead for payroll</w:t>
            </w:r>
          </w:p>
        </w:tc>
      </w:tr>
      <w:tr>
        <w:tc>
          <w:tcPr/>
          <w:p>
            <w:pPr>
              <w:pStyle w:val="Compact"/>
            </w:pPr>
            <w:r>
              <w:t xml:space="preserve">STK-015</w:t>
            </w:r>
          </w:p>
        </w:tc>
        <w:tc>
          <w:tcPr/>
          <w:p>
            <w:pPr>
              <w:pStyle w:val="Compact"/>
            </w:pPr>
            <w:r>
              <w:t xml:space="preserve">Field Sales Agents (1,071)</w:t>
            </w:r>
          </w:p>
        </w:tc>
        <w:tc>
          <w:tcPr/>
          <w:p>
            <w:pPr>
              <w:pStyle w:val="Compact"/>
            </w:pPr>
            <w:r>
              <w:t xml:space="preserve">2</w:t>
            </w:r>
          </w:p>
        </w:tc>
        <w:tc>
          <w:tcPr/>
          <w:p>
            <w:pPr>
              <w:pStyle w:val="Compact"/>
            </w:pPr>
            <w:r>
              <w:t xml:space="preserve">5</w:t>
            </w:r>
          </w:p>
        </w:tc>
        <w:tc>
          <w:tcPr/>
          <w:p>
            <w:pPr>
              <w:pStyle w:val="Compact"/>
            </w:pPr>
            <w:r>
              <w:t xml:space="preserve">Pilot UAT group; training materials; Sales Agent App UX testing</w:t>
            </w:r>
          </w:p>
        </w:tc>
      </w:tr>
      <w:tr>
        <w:tc>
          <w:tcPr/>
          <w:p>
            <w:pPr>
              <w:pStyle w:val="Compact"/>
            </w:pPr>
            <w:r>
              <w:t xml:space="preserve">STK-016</w:t>
            </w:r>
          </w:p>
        </w:tc>
        <w:tc>
          <w:tcPr/>
          <w:p>
            <w:pPr>
              <w:pStyle w:val="Compact"/>
            </w:pPr>
            <w:r>
              <w:t xml:space="preserve">Factory Floor Workers / Supervisors</w:t>
            </w:r>
          </w:p>
        </w:tc>
        <w:tc>
          <w:tcPr/>
          <w:p>
            <w:pPr>
              <w:pStyle w:val="Compact"/>
            </w:pPr>
            <w:r>
              <w:t xml:space="preserve">1</w:t>
            </w:r>
          </w:p>
        </w:tc>
        <w:tc>
          <w:tcPr/>
          <w:p>
            <w:pPr>
              <w:pStyle w:val="Compact"/>
            </w:pPr>
            <w:r>
              <w:t xml:space="preserve">5</w:t>
            </w:r>
          </w:p>
        </w:tc>
        <w:tc>
          <w:tcPr/>
          <w:p>
            <w:pPr>
              <w:pStyle w:val="Compact"/>
            </w:pPr>
            <w:r>
              <w:t xml:space="preserve">Phase 4 UAT; Factory Floor App UX testing</w:t>
            </w:r>
          </w:p>
        </w:tc>
      </w:tr>
      <w:tr>
        <w:tc>
          <w:tcPr/>
          <w:p>
            <w:pPr>
              <w:pStyle w:val="Compact"/>
            </w:pPr>
            <w:r>
              <w:t xml:space="preserve">STK-017</w:t>
            </w:r>
          </w:p>
        </w:tc>
        <w:tc>
          <w:tcPr/>
          <w:p>
            <w:pPr>
              <w:pStyle w:val="Compact"/>
            </w:pPr>
            <w:r>
              <w:t xml:space="preserve">Warehouse Staff</w:t>
            </w:r>
          </w:p>
        </w:tc>
        <w:tc>
          <w:tcPr/>
          <w:p>
            <w:pPr>
              <w:pStyle w:val="Compact"/>
            </w:pPr>
            <w:r>
              <w:t xml:space="preserve">1</w:t>
            </w:r>
          </w:p>
        </w:tc>
        <w:tc>
          <w:tcPr/>
          <w:p>
            <w:pPr>
              <w:pStyle w:val="Compact"/>
            </w:pPr>
            <w:r>
              <w:t xml:space="preserve">5</w:t>
            </w:r>
          </w:p>
        </w:tc>
        <w:tc>
          <w:tcPr/>
          <w:p>
            <w:pPr>
              <w:pStyle w:val="Compact"/>
            </w:pPr>
            <w:r>
              <w:t xml:space="preserve">Phase 1 UAT; Warehouse App UX testing</w:t>
            </w:r>
          </w:p>
        </w:tc>
      </w:tr>
      <w:tr>
        <w:tc>
          <w:tcPr/>
          <w:p>
            <w:pPr>
              <w:pStyle w:val="Compact"/>
            </w:pPr>
            <w:r>
              <w:t xml:space="preserve">STK-018</w:t>
            </w:r>
          </w:p>
        </w:tc>
        <w:tc>
          <w:tcPr/>
          <w:p>
            <w:pPr>
              <w:pStyle w:val="Compact"/>
            </w:pPr>
            <w:r>
              <w:t xml:space="preserve">Accounts Assistants</w:t>
            </w:r>
          </w:p>
        </w:tc>
        <w:tc>
          <w:tcPr/>
          <w:p>
            <w:pPr>
              <w:pStyle w:val="Compact"/>
            </w:pPr>
            <w:r>
              <w:t xml:space="preserve">2</w:t>
            </w:r>
          </w:p>
        </w:tc>
        <w:tc>
          <w:tcPr/>
          <w:p>
            <w:pPr>
              <w:pStyle w:val="Compact"/>
            </w:pPr>
            <w:r>
              <w:t xml:space="preserve">5</w:t>
            </w:r>
          </w:p>
        </w:tc>
        <w:tc>
          <w:tcPr/>
          <w:p>
            <w:pPr>
              <w:pStyle w:val="Compact"/>
            </w:pPr>
            <w:r>
              <w:t xml:space="preserve">Phase 2 UAT; Finance Director supervises</w:t>
            </w:r>
          </w:p>
        </w:tc>
      </w:tr>
      <w:tr>
        <w:tc>
          <w:tcPr/>
          <w:p>
            <w:pPr>
              <w:pStyle w:val="Compact"/>
            </w:pPr>
            <w:r>
              <w:t xml:space="preserve">STK-019</w:t>
            </w:r>
          </w:p>
        </w:tc>
        <w:tc>
          <w:tcPr/>
          <w:p>
            <w:pPr>
              <w:pStyle w:val="Compact"/>
            </w:pPr>
            <w:r>
              <w:t xml:space="preserve">Cashiers</w:t>
            </w:r>
          </w:p>
        </w:tc>
        <w:tc>
          <w:tcPr/>
          <w:p>
            <w:pPr>
              <w:pStyle w:val="Compact"/>
            </w:pPr>
            <w:r>
              <w:t xml:space="preserve">1</w:t>
            </w:r>
          </w:p>
        </w:tc>
        <w:tc>
          <w:tcPr/>
          <w:p>
            <w:pPr>
              <w:pStyle w:val="Compact"/>
            </w:pPr>
            <w:r>
              <w:t xml:space="preserve">5</w:t>
            </w:r>
          </w:p>
        </w:tc>
        <w:tc>
          <w:tcPr/>
          <w:p>
            <w:pPr>
              <w:pStyle w:val="Compact"/>
            </w:pPr>
            <w:r>
              <w:t xml:space="preserve">DC-001 test; POS UX validation</w:t>
            </w:r>
          </w:p>
        </w:tc>
      </w:tr>
      <w:tr>
        <w:tc>
          <w:tcPr/>
          <w:p>
            <w:pPr>
              <w:pStyle w:val="Compact"/>
            </w:pPr>
            <w:r>
              <w:t xml:space="preserve">STK-023</w:t>
            </w:r>
          </w:p>
        </w:tc>
        <w:tc>
          <w:tcPr/>
          <w:p>
            <w:pPr>
              <w:pStyle w:val="Compact"/>
            </w:pPr>
            <w:r>
              <w:t xml:space="preserve">MTN Uganda / Airtel Uganda</w:t>
            </w:r>
          </w:p>
        </w:tc>
        <w:tc>
          <w:tcPr/>
          <w:p>
            <w:pPr>
              <w:pStyle w:val="Compact"/>
            </w:pPr>
            <w:r>
              <w:t xml:space="preserve">3</w:t>
            </w:r>
          </w:p>
        </w:tc>
        <w:tc>
          <w:tcPr/>
          <w:p>
            <w:pPr>
              <w:pStyle w:val="Compact"/>
            </w:pPr>
            <w:r>
              <w:t xml:space="preserve">3</w:t>
            </w:r>
          </w:p>
        </w:tc>
        <w:tc>
          <w:tcPr/>
          <w:p>
            <w:pPr>
              <w:pStyle w:val="Compact"/>
            </w:pPr>
            <w:r>
              <w:t xml:space="preserve">API integration testing in Phase 1 and Phase 3</w:t>
            </w:r>
          </w:p>
        </w:tc>
      </w:tr>
      <w:tr>
        <w:tc>
          <w:tcPr/>
          <w:p>
            <w:pPr>
              <w:pStyle w:val="Compact"/>
            </w:pPr>
            <w:r>
              <w:t xml:space="preserve">STK-024</w:t>
            </w:r>
          </w:p>
        </w:tc>
        <w:tc>
          <w:tcPr/>
          <w:p>
            <w:pPr>
              <w:pStyle w:val="Compact"/>
            </w:pPr>
            <w:r>
              <w:t xml:space="preserve">Export Market Buyers</w:t>
            </w:r>
          </w:p>
        </w:tc>
        <w:tc>
          <w:tcPr/>
          <w:p>
            <w:pPr>
              <w:pStyle w:val="Compact"/>
            </w:pPr>
            <w:r>
              <w:t xml:space="preserve">3</w:t>
            </w:r>
          </w:p>
        </w:tc>
        <w:tc>
          <w:tcPr/>
          <w:p>
            <w:pPr>
              <w:pStyle w:val="Compact"/>
            </w:pPr>
            <w:r>
              <w:t xml:space="preserve">3</w:t>
            </w:r>
          </w:p>
        </w:tc>
        <w:tc>
          <w:tcPr/>
          <w:p>
            <w:pPr>
              <w:pStyle w:val="Compact"/>
            </w:pPr>
            <w:r>
              <w:t xml:space="preserve">CoA template requirements sourced from export contracts</w:t>
            </w:r>
          </w:p>
        </w:tc>
      </w:tr>
      <w:tr>
        <w:tc>
          <w:tcPr/>
          <w:p>
            <w:pPr>
              <w:pStyle w:val="Compact"/>
            </w:pPr>
            <w:r>
              <w:t xml:space="preserve">STK-025</w:t>
            </w:r>
          </w:p>
        </w:tc>
        <w:tc>
          <w:tcPr/>
          <w:p>
            <w:pPr>
              <w:pStyle w:val="Compact"/>
            </w:pPr>
            <w:r>
              <w:t xml:space="preserve">NSSF Uganda</w:t>
            </w:r>
          </w:p>
        </w:tc>
        <w:tc>
          <w:tcPr/>
          <w:p>
            <w:pPr>
              <w:pStyle w:val="Compact"/>
            </w:pPr>
            <w:r>
              <w:t xml:space="preserve">3</w:t>
            </w:r>
          </w:p>
        </w:tc>
        <w:tc>
          <w:tcPr/>
          <w:p>
            <w:pPr>
              <w:pStyle w:val="Compact"/>
            </w:pPr>
            <w:r>
              <w:t xml:space="preserve">3</w:t>
            </w:r>
          </w:p>
        </w:tc>
        <w:tc>
          <w:tcPr/>
          <w:p>
            <w:pPr>
              <w:pStyle w:val="Compact"/>
            </w:pPr>
            <w:r>
              <w:t xml:space="preserve">File format specification; Finance Director reviews submissions</w:t>
            </w:r>
          </w:p>
        </w:tc>
      </w:tr>
      <w:tr>
        <w:tc>
          <w:tcPr/>
          <w:p>
            <w:pPr>
              <w:pStyle w:val="Compact"/>
            </w:pPr>
            <w:r>
              <w:t xml:space="preserve">STK-029</w:t>
            </w:r>
          </w:p>
        </w:tc>
        <w:tc>
          <w:tcPr/>
          <w:p>
            <w:pPr>
              <w:pStyle w:val="Compact"/>
            </w:pPr>
            <w:r>
              <w:t xml:space="preserve">BIRDC Cooperative Farmers' Unions</w:t>
            </w:r>
          </w:p>
        </w:tc>
        <w:tc>
          <w:tcPr/>
          <w:p>
            <w:pPr>
              <w:pStyle w:val="Compact"/>
            </w:pPr>
            <w:r>
              <w:t xml:space="preserve">2</w:t>
            </w:r>
          </w:p>
        </w:tc>
        <w:tc>
          <w:tcPr/>
          <w:p>
            <w:pPr>
              <w:pStyle w:val="Compact"/>
            </w:pPr>
            <w:r>
              <w:t xml:space="preserve">4</w:t>
            </w:r>
          </w:p>
        </w:tc>
        <w:tc>
          <w:tcPr/>
          <w:p>
            <w:pPr>
              <w:pStyle w:val="Compact"/>
            </w:pPr>
            <w:r>
              <w:t xml:space="preserve">Aggregate cooperative payment reports; farmer payment accuracy briefings</w:t>
            </w:r>
          </w:p>
        </w:tc>
      </w:tr>
    </w:tbl>
    <w:p>
      <w:r>
        <w:pict>
          <v:rect style="width:0;height:1.5pt" o:hralign="center" o:hrstd="t" o:hr="t"/>
        </w:pict>
      </w:r>
    </w:p>
    <w:bookmarkEnd w:id="30"/>
    <w:bookmarkStart w:id="31" w:name="monitor--low-power-low-interest"/>
    <w:p>
      <w:pPr>
        <w:pStyle w:val="Heading3"/>
      </w:pPr>
      <w:r>
        <w:t xml:space="preserve">Monitor — Low Power, Low Interest</w:t>
      </w:r>
    </w:p>
    <w:p>
      <w:pPr>
        <w:pStyle w:val="FirstParagraph"/>
      </w:pPr>
      <w:r>
        <w:t xml:space="preserve">These stakeholders are tracked via standard reporting channels. No dedicated engagement sessions are required beyond routine project updates.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Stakeholder</w:t>
            </w:r>
          </w:p>
        </w:tc>
        <w:tc>
          <w:tcPr/>
          <w:p>
            <w:pPr>
              <w:pStyle w:val="Compact"/>
            </w:pPr>
            <w:r>
              <w:t xml:space="preserve">Power</w:t>
            </w:r>
          </w:p>
        </w:tc>
        <w:tc>
          <w:tcPr/>
          <w:p>
            <w:pPr>
              <w:pStyle w:val="Compact"/>
            </w:pPr>
            <w:r>
              <w:t xml:space="preserve">Interest</w:t>
            </w:r>
          </w:p>
        </w:tc>
        <w:tc>
          <w:tcPr/>
          <w:p>
            <w:pPr>
              <w:pStyle w:val="Compact"/>
            </w:pPr>
            <w:r>
              <w:t xml:space="preserve">Key Engagement Action</w:t>
            </w:r>
          </w:p>
        </w:tc>
      </w:tr>
      <w:tr>
        <w:tc>
          <w:tcPr/>
          <w:p>
            <w:pPr>
              <w:pStyle w:val="Compact"/>
            </w:pPr>
            <w:r>
              <w:t xml:space="preserve">STK-011</w:t>
            </w:r>
          </w:p>
        </w:tc>
        <w:tc>
          <w:tcPr/>
          <w:p>
            <w:pPr>
              <w:pStyle w:val="Compact"/>
            </w:pPr>
            <w:r>
              <w:t xml:space="preserve">HR Manager</w:t>
            </w:r>
          </w:p>
        </w:tc>
        <w:tc>
          <w:tcPr/>
          <w:p>
            <w:pPr>
              <w:pStyle w:val="Compact"/>
            </w:pPr>
            <w:r>
              <w:t xml:space="preserve">2</w:t>
            </w:r>
          </w:p>
        </w:tc>
        <w:tc>
          <w:tcPr/>
          <w:p>
            <w:pPr>
              <w:pStyle w:val="Compact"/>
            </w:pPr>
            <w:r>
              <w:t xml:space="preserve">4</w:t>
            </w:r>
          </w:p>
        </w:tc>
        <w:tc>
          <w:tcPr/>
          <w:p>
            <w:pPr>
              <w:pStyle w:val="Compact"/>
            </w:pPr>
            <w:r>
              <w:t xml:space="preserve">Phase 5 requirements input; ZKTeco integration specification</w:t>
            </w:r>
          </w:p>
        </w:tc>
      </w:tr>
      <w:tr>
        <w:tc>
          <w:tcPr/>
          <w:p>
            <w:pPr>
              <w:pStyle w:val="Compact"/>
            </w:pPr>
            <w:r>
              <w:t xml:space="preserve">STK-013</w:t>
            </w:r>
          </w:p>
        </w:tc>
        <w:tc>
          <w:tcPr/>
          <w:p>
            <w:pPr>
              <w:pStyle w:val="Compact"/>
            </w:pPr>
            <w:r>
              <w:t xml:space="preserve">Research Coordinator</w:t>
            </w:r>
          </w:p>
        </w:tc>
        <w:tc>
          <w:tcPr/>
          <w:p>
            <w:pPr>
              <w:pStyle w:val="Compact"/>
            </w:pPr>
            <w:r>
              <w:t xml:space="preserve">1</w:t>
            </w:r>
          </w:p>
        </w:tc>
        <w:tc>
          <w:tcPr/>
          <w:p>
            <w:pPr>
              <w:pStyle w:val="Compact"/>
            </w:pPr>
            <w:r>
              <w:t xml:space="preserve">4</w:t>
            </w:r>
          </w:p>
        </w:tc>
        <w:tc>
          <w:tcPr/>
          <w:p>
            <w:pPr>
              <w:pStyle w:val="Compact"/>
            </w:pPr>
            <w:r>
              <w:t xml:space="preserve">Phase 6 requirements input; quarterly check-in</w:t>
            </w:r>
          </w:p>
        </w:tc>
      </w:tr>
      <w:tr>
        <w:tc>
          <w:tcPr/>
          <w:p>
            <w:pPr>
              <w:pStyle w:val="Compact"/>
            </w:pPr>
            <w:r>
              <w:t xml:space="preserve">STK-014</w:t>
            </w:r>
          </w:p>
        </w:tc>
        <w:tc>
          <w:tcPr/>
          <w:p>
            <w:pPr>
              <w:pStyle w:val="Compact"/>
            </w:pPr>
            <w:r>
              <w:t xml:space="preserve">Administration Officer</w:t>
            </w:r>
          </w:p>
        </w:tc>
        <w:tc>
          <w:tcPr/>
          <w:p>
            <w:pPr>
              <w:pStyle w:val="Compact"/>
            </w:pPr>
            <w:r>
              <w:t xml:space="preserve">2</w:t>
            </w:r>
          </w:p>
        </w:tc>
        <w:tc>
          <w:tcPr/>
          <w:p>
            <w:pPr>
              <w:pStyle w:val="Compact"/>
            </w:pPr>
            <w:r>
              <w:t xml:space="preserve">4</w:t>
            </w:r>
          </w:p>
        </w:tc>
        <w:tc>
          <w:tcPr/>
          <w:p>
            <w:pPr>
              <w:pStyle w:val="Compact"/>
            </w:pPr>
            <w:r>
              <w:t xml:space="preserve">Phase 6 requirements input</w:t>
            </w:r>
          </w:p>
        </w:tc>
      </w:tr>
      <w:tr>
        <w:tc>
          <w:tcPr/>
          <w:p>
            <w:pPr>
              <w:pStyle w:val="Compact"/>
            </w:pPr>
            <w:r>
              <w:t xml:space="preserve">STK-020</w:t>
            </w:r>
          </w:p>
        </w:tc>
        <w:tc>
          <w:tcPr/>
          <w:p>
            <w:pPr>
              <w:pStyle w:val="Compact"/>
            </w:pPr>
            <w:r>
              <w:t xml:space="preserve">Cooperative Farmers</w:t>
            </w:r>
          </w:p>
        </w:tc>
        <w:tc>
          <w:tcPr/>
          <w:p>
            <w:pPr>
              <w:pStyle w:val="Compact"/>
            </w:pPr>
            <w:r>
              <w:t xml:space="preserve">1</w:t>
            </w:r>
          </w:p>
        </w:tc>
        <w:tc>
          <w:tcPr/>
          <w:p>
            <w:pPr>
              <w:pStyle w:val="Compact"/>
            </w:pPr>
            <w:r>
              <w:t xml:space="preserve">4</w:t>
            </w:r>
          </w:p>
        </w:tc>
        <w:tc>
          <w:tcPr/>
          <w:p>
            <w:pPr>
              <w:pStyle w:val="Compact"/>
            </w:pPr>
            <w:r>
              <w:t xml:space="preserve">Represented through Patrick (collections officer) and STK-029</w:t>
            </w:r>
          </w:p>
        </w:tc>
      </w:tr>
      <w:tr>
        <w:tc>
          <w:tcPr/>
          <w:p>
            <w:pPr>
              <w:pStyle w:val="Compact"/>
            </w:pPr>
            <w:r>
              <w:t xml:space="preserve">STK-021</w:t>
            </w:r>
          </w:p>
        </w:tc>
        <w:tc>
          <w:tcPr/>
          <w:p>
            <w:pPr>
              <w:pStyle w:val="Compact"/>
            </w:pPr>
            <w:r>
              <w:t xml:space="preserve">All Staff (HR Self-Service)</w:t>
            </w:r>
          </w:p>
        </w:tc>
        <w:tc>
          <w:tcPr/>
          <w:p>
            <w:pPr>
              <w:pStyle w:val="Compact"/>
            </w:pPr>
            <w:r>
              <w:t xml:space="preserve">1</w:t>
            </w:r>
          </w:p>
        </w:tc>
        <w:tc>
          <w:tcPr/>
          <w:p>
            <w:pPr>
              <w:pStyle w:val="Compact"/>
            </w:pPr>
            <w:r>
              <w:t xml:space="preserve">4</w:t>
            </w:r>
          </w:p>
        </w:tc>
        <w:tc>
          <w:tcPr/>
          <w:p>
            <w:pPr>
              <w:pStyle w:val="Compact"/>
            </w:pPr>
            <w:r>
              <w:t xml:space="preserve">Phase 5 training; HR Manager oversees rollout</w:t>
            </w:r>
          </w:p>
        </w:tc>
      </w:tr>
      <w:tr>
        <w:tc>
          <w:tcPr/>
          <w:p>
            <w:pPr>
              <w:pStyle w:val="Compact"/>
            </w:pPr>
            <w:r>
              <w:t xml:space="preserve">STK-028</w:t>
            </w:r>
          </w:p>
        </w:tc>
        <w:tc>
          <w:tcPr/>
          <w:p>
            <w:pPr>
              <w:pStyle w:val="Compact"/>
            </w:pPr>
            <w:r>
              <w:t xml:space="preserve">ZKTeco</w:t>
            </w:r>
          </w:p>
        </w:tc>
        <w:tc>
          <w:tcPr/>
          <w:p>
            <w:pPr>
              <w:pStyle w:val="Compact"/>
            </w:pPr>
            <w:r>
              <w:t xml:space="preserve">2</w:t>
            </w:r>
          </w:p>
        </w:tc>
        <w:tc>
          <w:tcPr/>
          <w:p>
            <w:pPr>
              <w:pStyle w:val="Compact"/>
            </w:pPr>
            <w:r>
              <w:t xml:space="preserve">3</w:t>
            </w:r>
          </w:p>
        </w:tc>
        <w:tc>
          <w:tcPr/>
          <w:p>
            <w:pPr>
              <w:pStyle w:val="Compact"/>
            </w:pPr>
            <w:r>
              <w:t xml:space="preserve">IT Administrator obtains device API documentation; Phase 5 integration</w:t>
            </w:r>
          </w:p>
        </w:tc>
      </w:tr>
    </w:tbl>
    <w:p>
      <w:r>
        <w:pict>
          <v:rect style="width:0;height:1.5pt" o:hralign="center" o:hrstd="t" o:hr="t"/>
        </w:pict>
      </w:r>
    </w:p>
    <w:bookmarkEnd w:id="31"/>
    <w:bookmarkEnd w:id="32"/>
    <w:bookmarkStart w:id="33" w:name="Xad857a981a826f2dd28258be40b52ec0dc4bfd7"/>
    <w:p>
      <w:pPr>
        <w:pStyle w:val="Heading2"/>
      </w:pPr>
      <w:r>
        <w:t xml:space="preserve">2.3 Visual Grid Summary</w:t>
      </w:r>
    </w:p>
    <w:p>
      <w:pPr>
        <w:pStyle w:val="FirstParagraph"/>
      </w:pPr>
      <w:r>
        <w:t xml:space="preserve">The grid below maps the quadrant positions in text form. Stakeholders are identified by ID only.</w:t>
      </w:r>
    </w:p>
    <w:p>
      <w:pPr>
        <w:pStyle w:val="SourceCode"/>
      </w:pPr>
      <w:r>
        <w:rPr>
          <w:rStyle w:val="VerbatimChar"/>
        </w:rPr>
        <w:t xml:space="preserve">                         INTEREST</w:t>
      </w:r>
      <w:r>
        <w:br/>
      </w:r>
      <w:r>
        <w:rPr>
          <w:rStyle w:val="VerbatimChar"/>
        </w:rPr>
        <w:t xml:space="preserve">                   Low (1-2)      High (3-5)</w:t>
      </w:r>
      <w:r>
        <w:br/>
      </w:r>
      <w:r>
        <w:rPr>
          <w:rStyle w:val="VerbatimChar"/>
        </w:rPr>
        <w:t xml:space="preserve">                ┌──────────────┬──────────────────────────┐</w:t>
      </w:r>
      <w:r>
        <w:br/>
      </w:r>
      <w:r>
        <w:rPr>
          <w:rStyle w:val="VerbatimChar"/>
        </w:rPr>
        <w:t xml:space="preserve">           High │  KEEP        │  MANAGE CLOSELY          │</w:t>
      </w:r>
      <w:r>
        <w:br/>
      </w:r>
      <w:r>
        <w:rPr>
          <w:rStyle w:val="VerbatimChar"/>
        </w:rPr>
        <w:t xml:space="preserve">  P        (4-5)│  SATISFIED   │  STK-001, STK-002,       │</w:t>
      </w:r>
      <w:r>
        <w:br/>
      </w:r>
      <w:r>
        <w:rPr>
          <w:rStyle w:val="VerbatimChar"/>
        </w:rPr>
        <w:t xml:space="preserve">  O             │  STK-004,    │  STK-003, STK-026        │</w:t>
      </w:r>
      <w:r>
        <w:br/>
      </w:r>
      <w:r>
        <w:rPr>
          <w:rStyle w:val="VerbatimChar"/>
        </w:rPr>
        <w:t xml:space="preserve">  W             │  STK-022,    │                          │</w:t>
      </w:r>
      <w:r>
        <w:br/>
      </w:r>
      <w:r>
        <w:rPr>
          <w:rStyle w:val="VerbatimChar"/>
        </w:rPr>
        <w:t xml:space="preserve">  E             │  STK-027     │                          │</w:t>
      </w:r>
      <w:r>
        <w:br/>
      </w:r>
      <w:r>
        <w:rPr>
          <w:rStyle w:val="VerbatimChar"/>
        </w:rPr>
        <w:t xml:space="preserve">  R        ─────┼──────────────┼──────────────────────────┤</w:t>
      </w:r>
      <w:r>
        <w:br/>
      </w:r>
      <w:r>
        <w:rPr>
          <w:rStyle w:val="VerbatimChar"/>
        </w:rPr>
        <w:t xml:space="preserve">           Low  │  MONITOR     │  KEEP INFORMED           │</w:t>
      </w:r>
      <w:r>
        <w:br/>
      </w:r>
      <w:r>
        <w:rPr>
          <w:rStyle w:val="VerbatimChar"/>
        </w:rPr>
        <w:t xml:space="preserve">          (1-3) │  STK-011,    │  STK-006, STK-007,       │</w:t>
      </w:r>
      <w:r>
        <w:br/>
      </w:r>
      <w:r>
        <w:rPr>
          <w:rStyle w:val="VerbatimChar"/>
        </w:rPr>
        <w:t xml:space="preserve">                │  STK-013,    │  STK-008, STK-009,       │</w:t>
      </w:r>
      <w:r>
        <w:br/>
      </w:r>
      <w:r>
        <w:rPr>
          <w:rStyle w:val="VerbatimChar"/>
        </w:rPr>
        <w:t xml:space="preserve">                │  STK-014,    │  STK-010, STK-012,       │</w:t>
      </w:r>
      <w:r>
        <w:br/>
      </w:r>
      <w:r>
        <w:rPr>
          <w:rStyle w:val="VerbatimChar"/>
        </w:rPr>
        <w:t xml:space="preserve">                │  STK-020,    │  STK-015, STK-016,       │</w:t>
      </w:r>
      <w:r>
        <w:br/>
      </w:r>
      <w:r>
        <w:rPr>
          <w:rStyle w:val="VerbatimChar"/>
        </w:rPr>
        <w:t xml:space="preserve">                │  STK-021,    │  STK-017, STK-018,       │</w:t>
      </w:r>
      <w:r>
        <w:br/>
      </w:r>
      <w:r>
        <w:rPr>
          <w:rStyle w:val="VerbatimChar"/>
        </w:rPr>
        <w:t xml:space="preserve">                │  STK-028     │  STK-019, STK-023,       │</w:t>
      </w:r>
      <w:r>
        <w:br/>
      </w:r>
      <w:r>
        <w:rPr>
          <w:rStyle w:val="VerbatimChar"/>
        </w:rPr>
        <w:t xml:space="preserve">                │              │  STK-024, STK-025,       │</w:t>
      </w:r>
      <w:r>
        <w:br/>
      </w:r>
      <w:r>
        <w:rPr>
          <w:rStyle w:val="VerbatimChar"/>
        </w:rPr>
        <w:t xml:space="preserve">                │              │  STK-029                 │</w:t>
      </w:r>
      <w:r>
        <w:br/>
      </w:r>
      <w:r>
        <w:rPr>
          <w:rStyle w:val="VerbatimChar"/>
        </w:rPr>
        <w:t xml:space="preserve">                └──────────────┴──────────────────────────┘</w:t>
      </w:r>
    </w:p>
    <w:bookmarkEnd w:id="33"/>
    <w:bookmarkEnd w:id="34"/>
    <w:bookmarkStart w:id="43" w:name="section-3-raci-matrix-by-delivery-phase"/>
    <w:p>
      <w:pPr>
        <w:pStyle w:val="Heading1"/>
      </w:pPr>
      <w:r>
        <w:t xml:space="preserve">Section 3: RACI Matrix by Delivery Phase</w:t>
      </w:r>
    </w:p>
    <w:bookmarkStart w:id="35" w:name="X961ef3f2ed7b662246877426e037db49c51ef63"/>
    <w:p>
      <w:pPr>
        <w:pStyle w:val="Heading2"/>
      </w:pPr>
      <w:r>
        <w:t xml:space="preserve">3.1 RACI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Definition</w:t>
            </w:r>
          </w:p>
        </w:tc>
      </w:tr>
      <w:tr>
        <w:tc>
          <w:tcPr/>
          <w:p>
            <w:pPr>
              <w:pStyle w:val="Compact"/>
            </w:pPr>
            <w:r>
              <w:t xml:space="preserve">R</w:t>
            </w:r>
          </w:p>
        </w:tc>
        <w:tc>
          <w:tcPr/>
          <w:p>
            <w:pPr>
              <w:pStyle w:val="Compact"/>
            </w:pPr>
            <w:r>
              <w:rPr>
                <w:i/>
                <w:iCs/>
              </w:rPr>
              <w:t xml:space="preserve">Responsible</w:t>
            </w:r>
            <w:r>
              <w:t xml:space="preserve"> </w:t>
            </w:r>
            <w:r>
              <w:t xml:space="preserve">— performs the work or makes the decision. May be shared.</w:t>
            </w:r>
          </w:p>
        </w:tc>
      </w:tr>
      <w:tr>
        <w:tc>
          <w:tcPr/>
          <w:p>
            <w:pPr>
              <w:pStyle w:val="Compact"/>
            </w:pPr>
            <w:r>
              <w:t xml:space="preserve">A</w:t>
            </w:r>
          </w:p>
        </w:tc>
        <w:tc>
          <w:tcPr/>
          <w:p>
            <w:pPr>
              <w:pStyle w:val="Compact"/>
            </w:pPr>
            <w:r>
              <w:rPr>
                <w:i/>
                <w:iCs/>
              </w:rPr>
              <w:t xml:space="preserve">Accountable</w:t>
            </w:r>
            <w:r>
              <w:t xml:space="preserve"> </w:t>
            </w:r>
            <w:r>
              <w:t xml:space="preserve">— the single person who is ultimately answerable for the outcome. Cannot be shared; exactly one A per row.</w:t>
            </w:r>
          </w:p>
        </w:tc>
      </w:tr>
      <w:tr>
        <w:tc>
          <w:tcPr/>
          <w:p>
            <w:pPr>
              <w:pStyle w:val="Compact"/>
            </w:pPr>
            <w:r>
              <w:t xml:space="preserve">C</w:t>
            </w:r>
          </w:p>
        </w:tc>
        <w:tc>
          <w:tcPr/>
          <w:p>
            <w:pPr>
              <w:pStyle w:val="Compact"/>
            </w:pPr>
            <w:r>
              <w:rPr>
                <w:i/>
                <w:iCs/>
              </w:rPr>
              <w:t xml:space="preserve">Consulted</w:t>
            </w:r>
            <w:r>
              <w:t xml:space="preserve"> </w:t>
            </w:r>
            <w:r>
              <w:t xml:space="preserve">— provides input before the action or decision; two-way communication.</w:t>
            </w:r>
          </w:p>
        </w:tc>
      </w:tr>
      <w:tr>
        <w:tc>
          <w:tcPr/>
          <w:p>
            <w:pPr>
              <w:pStyle w:val="Compact"/>
            </w:pPr>
            <w:r>
              <w:t xml:space="preserve">I</w:t>
            </w:r>
          </w:p>
        </w:tc>
        <w:tc>
          <w:tcPr/>
          <w:p>
            <w:pPr>
              <w:pStyle w:val="Compact"/>
            </w:pPr>
            <w:r>
              <w:rPr>
                <w:i/>
                <w:iCs/>
              </w:rPr>
              <w:t xml:space="preserve">Informed</w:t>
            </w:r>
            <w:r>
              <w:t xml:space="preserve"> </w:t>
            </w:r>
            <w:r>
              <w:t xml:space="preserve">— notified of outcome after the decision or action; one-way communication.</w:t>
            </w:r>
          </w:p>
        </w:tc>
      </w:tr>
    </w:tbl>
    <w:p>
      <w:pPr>
        <w:pStyle w:val="BodyText"/>
      </w:pPr>
      <w:r>
        <w:rPr>
          <w:b/>
          <w:bCs/>
        </w:rPr>
        <w:t xml:space="preserve">Column abbreviations used in the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Stakeholder</w:t>
            </w:r>
          </w:p>
        </w:tc>
      </w:tr>
      <w:tr>
        <w:tc>
          <w:tcPr/>
          <w:p>
            <w:pPr>
              <w:pStyle w:val="Compact"/>
            </w:pPr>
            <w:r>
              <w:t xml:space="preserve">DIR</w:t>
            </w:r>
          </w:p>
        </w:tc>
        <w:tc>
          <w:tcPr/>
          <w:p>
            <w:pPr>
              <w:pStyle w:val="Compact"/>
            </w:pPr>
            <w:r>
              <w:t xml:space="preserve">BIRDC Director (STK-001)</w:t>
            </w:r>
          </w:p>
        </w:tc>
      </w:tr>
      <w:tr>
        <w:tc>
          <w:tcPr/>
          <w:p>
            <w:pPr>
              <w:pStyle w:val="Compact"/>
            </w:pPr>
            <w:r>
              <w:t xml:space="preserve">FD</w:t>
            </w:r>
          </w:p>
        </w:tc>
        <w:tc>
          <w:tcPr/>
          <w:p>
            <w:pPr>
              <w:pStyle w:val="Compact"/>
            </w:pPr>
            <w:r>
              <w:t xml:space="preserve">Finance Director (STK-002)</w:t>
            </w:r>
          </w:p>
        </w:tc>
      </w:tr>
      <w:tr>
        <w:tc>
          <w:tcPr/>
          <w:p>
            <w:pPr>
              <w:pStyle w:val="Compact"/>
            </w:pPr>
            <w:r>
              <w:t xml:space="preserve">IT</w:t>
            </w:r>
          </w:p>
        </w:tc>
        <w:tc>
          <w:tcPr/>
          <w:p>
            <w:pPr>
              <w:pStyle w:val="Compact"/>
            </w:pPr>
            <w:r>
              <w:t xml:space="preserve">IT Administrator (STK-003)</w:t>
            </w:r>
          </w:p>
        </w:tc>
      </w:tr>
      <w:tr>
        <w:tc>
          <w:tcPr/>
          <w:p>
            <w:pPr>
              <w:pStyle w:val="Compact"/>
            </w:pPr>
            <w:r>
              <w:t xml:space="preserve">PARL</w:t>
            </w:r>
          </w:p>
        </w:tc>
        <w:tc>
          <w:tcPr/>
          <w:p>
            <w:pPr>
              <w:pStyle w:val="Compact"/>
            </w:pPr>
            <w:r>
              <w:t xml:space="preserve">Parliament Budget Committee (STK-004)</w:t>
            </w:r>
          </w:p>
        </w:tc>
      </w:tr>
      <w:tr>
        <w:tc>
          <w:tcPr/>
          <w:p>
            <w:pPr>
              <w:pStyle w:val="Compact"/>
            </w:pPr>
            <w:r>
              <w:t xml:space="preserve">CON</w:t>
            </w:r>
          </w:p>
        </w:tc>
        <w:tc>
          <w:tcPr/>
          <w:p>
            <w:pPr>
              <w:pStyle w:val="Compact"/>
            </w:pPr>
            <w:r>
              <w:t xml:space="preserve">Consultant — Peter Bamuhigire (STK-005)</w:t>
            </w:r>
          </w:p>
        </w:tc>
      </w:tr>
      <w:tr>
        <w:tc>
          <w:tcPr/>
          <w:p>
            <w:pPr>
              <w:pStyle w:val="Compact"/>
            </w:pPr>
            <w:r>
              <w:t xml:space="preserve">SMM</w:t>
            </w:r>
          </w:p>
        </w:tc>
        <w:tc>
          <w:tcPr/>
          <w:p>
            <w:pPr>
              <w:pStyle w:val="Compact"/>
            </w:pPr>
            <w:r>
              <w:t xml:space="preserve">Sales and Marketing Manager (STK-006)</w:t>
            </w:r>
          </w:p>
        </w:tc>
      </w:tr>
      <w:tr>
        <w:tc>
          <w:tcPr/>
          <w:p>
            <w:pPr>
              <w:pStyle w:val="Compact"/>
            </w:pPr>
            <w:r>
              <w:t xml:space="preserve">PM</w:t>
            </w:r>
          </w:p>
        </w:tc>
        <w:tc>
          <w:tcPr/>
          <w:p>
            <w:pPr>
              <w:pStyle w:val="Compact"/>
            </w:pPr>
            <w:r>
              <w:t xml:space="preserve">Procurement Manager (STK-007)</w:t>
            </w:r>
          </w:p>
        </w:tc>
      </w:tr>
      <w:tr>
        <w:tc>
          <w:tcPr/>
          <w:p>
            <w:pPr>
              <w:pStyle w:val="Compact"/>
            </w:pPr>
            <w:r>
              <w:t xml:space="preserve">SM</w:t>
            </w:r>
          </w:p>
        </w:tc>
        <w:tc>
          <w:tcPr/>
          <w:p>
            <w:pPr>
              <w:pStyle w:val="Compact"/>
            </w:pPr>
            <w:r>
              <w:t xml:space="preserve">Store Manager (STK-008)</w:t>
            </w:r>
          </w:p>
        </w:tc>
      </w:tr>
      <w:tr>
        <w:tc>
          <w:tcPr/>
          <w:p>
            <w:pPr>
              <w:pStyle w:val="Compact"/>
            </w:pPr>
            <w:r>
              <w:t xml:space="preserve">PROD</w:t>
            </w:r>
          </w:p>
        </w:tc>
        <w:tc>
          <w:tcPr/>
          <w:p>
            <w:pPr>
              <w:pStyle w:val="Compact"/>
            </w:pPr>
            <w:r>
              <w:t xml:space="preserve">Factory / Production Manager (STK-009)</w:t>
            </w:r>
          </w:p>
        </w:tc>
      </w:tr>
      <w:tr>
        <w:tc>
          <w:tcPr/>
          <w:p>
            <w:pPr>
              <w:pStyle w:val="Compact"/>
            </w:pPr>
            <w:r>
              <w:t xml:space="preserve">QC</w:t>
            </w:r>
          </w:p>
        </w:tc>
        <w:tc>
          <w:tcPr/>
          <w:p>
            <w:pPr>
              <w:pStyle w:val="Compact"/>
            </w:pPr>
            <w:r>
              <w:t xml:space="preserve">QC Manager (STK-010)</w:t>
            </w:r>
          </w:p>
        </w:tc>
      </w:tr>
      <w:tr>
        <w:tc>
          <w:tcPr/>
          <w:p>
            <w:pPr>
              <w:pStyle w:val="Compact"/>
            </w:pPr>
            <w:r>
              <w:t xml:space="preserve">HR</w:t>
            </w:r>
          </w:p>
        </w:tc>
        <w:tc>
          <w:tcPr/>
          <w:p>
            <w:pPr>
              <w:pStyle w:val="Compact"/>
            </w:pPr>
            <w:r>
              <w:t xml:space="preserve">HR Manager (STK-011)</w:t>
            </w:r>
          </w:p>
        </w:tc>
      </w:tr>
      <w:tr>
        <w:tc>
          <w:tcPr/>
          <w:p>
            <w:pPr>
              <w:pStyle w:val="Compact"/>
            </w:pPr>
            <w:r>
              <w:t xml:space="preserve">PAY</w:t>
            </w:r>
          </w:p>
        </w:tc>
        <w:tc>
          <w:tcPr/>
          <w:p>
            <w:pPr>
              <w:pStyle w:val="Compact"/>
            </w:pPr>
            <w:r>
              <w:t xml:space="preserve">Payroll Officer (STK-012)</w:t>
            </w:r>
          </w:p>
        </w:tc>
      </w:tr>
      <w:tr>
        <w:tc>
          <w:tcPr/>
          <w:p>
            <w:pPr>
              <w:pStyle w:val="Compact"/>
            </w:pPr>
            <w:r>
              <w:t xml:space="preserve">RES</w:t>
            </w:r>
          </w:p>
        </w:tc>
        <w:tc>
          <w:tcPr/>
          <w:p>
            <w:pPr>
              <w:pStyle w:val="Compact"/>
            </w:pPr>
            <w:r>
              <w:t xml:space="preserve">Research Coordinator (STK-013)</w:t>
            </w:r>
          </w:p>
        </w:tc>
      </w:tr>
      <w:tr>
        <w:tc>
          <w:tcPr/>
          <w:p>
            <w:pPr>
              <w:pStyle w:val="Compact"/>
            </w:pPr>
            <w:r>
              <w:t xml:space="preserve">ADM</w:t>
            </w:r>
          </w:p>
        </w:tc>
        <w:tc>
          <w:tcPr/>
          <w:p>
            <w:pPr>
              <w:pStyle w:val="Compact"/>
            </w:pPr>
            <w:r>
              <w:t xml:space="preserve">Administration Officer (STK-014)</w:t>
            </w:r>
          </w:p>
        </w:tc>
      </w:tr>
      <w:tr>
        <w:tc>
          <w:tcPr/>
          <w:p>
            <w:pPr>
              <w:pStyle w:val="Compact"/>
            </w:pPr>
            <w:r>
              <w:t xml:space="preserve">AGT</w:t>
            </w:r>
          </w:p>
        </w:tc>
        <w:tc>
          <w:tcPr/>
          <w:p>
            <w:pPr>
              <w:pStyle w:val="Compact"/>
            </w:pPr>
            <w:r>
              <w:t xml:space="preserve">Field Sales Agents (STK-015)</w:t>
            </w:r>
          </w:p>
        </w:tc>
      </w:tr>
    </w:tbl>
    <w:p>
      <w:r>
        <w:pict>
          <v:rect style="width:0;height:1.5pt" o:hralign="center" o:hrstd="t" o:hr="t"/>
        </w:pict>
      </w:r>
    </w:p>
    <w:bookmarkEnd w:id="35"/>
    <w:bookmarkStart w:id="36" w:name="Xb61ee896e69d7958469dcf71189ef5e52285f78"/>
    <w:p>
      <w:pPr>
        <w:pStyle w:val="Heading2"/>
      </w:pPr>
      <w:r>
        <w:t xml:space="preserve">3.2 Phase 1 — Commerce Foundation (F-001, F-002, F-003, F-004)</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SMM</w:t>
            </w:r>
          </w:p>
        </w:tc>
        <w:tc>
          <w:tcPr/>
          <w:p>
            <w:pPr>
              <w:pStyle w:val="Compact"/>
            </w:pPr>
            <w:r>
              <w:t xml:space="preserve">SM</w:t>
            </w:r>
          </w:p>
        </w:tc>
        <w:tc>
          <w:tcPr/>
          <w:p>
            <w:pPr>
              <w:pStyle w:val="Compact"/>
            </w:pPr>
            <w:r>
              <w:t xml:space="preserve">AGT</w:t>
            </w:r>
          </w:p>
        </w:tc>
      </w:tr>
      <w:tr>
        <w:tc>
          <w:tcPr/>
          <w:p>
            <w:pPr>
              <w:pStyle w:val="Compact"/>
            </w:pPr>
            <w:r>
              <w:t xml:space="preserve">Sales module (F-001) requirements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POS module (F-002) requirements sign-off</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A</w:t>
            </w:r>
          </w:p>
        </w:tc>
        <w:tc>
          <w:tcPr/>
          <w:p>
            <w:pPr>
              <w:pStyle w:val="Compact"/>
            </w:pPr>
            <w:r>
              <w:t xml:space="preserve">I</w:t>
            </w:r>
          </w:p>
        </w:tc>
        <w:tc>
          <w:tcPr/>
          <w:p>
            <w:pPr>
              <w:pStyle w:val="Compact"/>
            </w:pPr>
            <w:r>
              <w:t xml:space="preserve">C</w:t>
            </w:r>
          </w:p>
        </w:tc>
      </w:tr>
      <w:tr>
        <w:tc>
          <w:tcPr/>
          <w:p>
            <w:pPr>
              <w:pStyle w:val="Compact"/>
            </w:pPr>
            <w:r>
              <w:t xml:space="preserve">Inventory module (F-003) requirements sign-off</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A</w:t>
            </w:r>
          </w:p>
        </w:tc>
        <w:tc>
          <w:tcPr/>
          <w:p>
            <w:pPr>
              <w:pStyle w:val="Compact"/>
            </w:pPr>
            <w:r>
              <w:t xml:space="preserve">I</w:t>
            </w:r>
          </w:p>
        </w:tc>
      </w:tr>
      <w:tr>
        <w:tc>
          <w:tcPr/>
          <w:p>
            <w:pPr>
              <w:pStyle w:val="Compact"/>
            </w:pPr>
            <w:r>
              <w:t xml:space="preserve">Agent Distribution (F-004) requirements sign-off</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C</w:t>
            </w:r>
          </w:p>
        </w:tc>
      </w:tr>
      <w:tr>
        <w:tc>
          <w:tcPr/>
          <w:p>
            <w:pPr>
              <w:pStyle w:val="Compact"/>
            </w:pPr>
            <w:r>
              <w:t xml:space="preserve">Sales Agent App UAT</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R</w:t>
            </w:r>
          </w:p>
        </w:tc>
      </w:tr>
      <w:tr>
        <w:tc>
          <w:tcPr/>
          <w:p>
            <w:pPr>
              <w:pStyle w:val="Compact"/>
            </w:pPr>
            <w:r>
              <w:t xml:space="preserve">Warehouse App UAT</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t xml:space="preserve">Phase 1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bl>
    <w:p>
      <w:r>
        <w:pict>
          <v:rect style="width:0;height:1.5pt" o:hralign="center" o:hrstd="t" o:hr="t"/>
        </w:pict>
      </w:r>
    </w:p>
    <w:bookmarkEnd w:id="36"/>
    <w:bookmarkStart w:id="37" w:name="Xd11009ca38149b08c2ab2a45574260b497a8d06"/>
    <w:p>
      <w:pPr>
        <w:pStyle w:val="Heading2"/>
      </w:pPr>
      <w:r>
        <w:t xml:space="preserve">3.3 Phase 2 — Financial Core (F-005, F-006, F-007, F-008)</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SMM</w:t>
            </w:r>
          </w:p>
        </w:tc>
        <w:tc>
          <w:tcPr/>
          <w:p>
            <w:pPr>
              <w:pStyle w:val="Compact"/>
            </w:pPr>
            <w:r>
              <w:t xml:space="preserve">PM</w:t>
            </w:r>
          </w:p>
        </w:tc>
        <w:tc>
          <w:tcPr/>
          <w:p>
            <w:pPr>
              <w:pStyle w:val="Compact"/>
            </w:pPr>
            <w:r>
              <w:t xml:space="preserve">PARL</w:t>
            </w:r>
          </w:p>
        </w:tc>
      </w:tr>
      <w:tr>
        <w:tc>
          <w:tcPr/>
          <w:p>
            <w:pPr>
              <w:pStyle w:val="Compact"/>
            </w:pPr>
            <w:r>
              <w:t xml:space="preserve">GL / Dual-mode accounting (F-005) specification</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AR module (F-006) specification</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AP module (F-007) specification</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t xml:space="preserve">Budget management (F-008) specification</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Hash chain integrity specification (BR-013)</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Phase 2 UAT</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Parliamentary reporting format review</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A</w:t>
            </w:r>
          </w:p>
        </w:tc>
      </w:tr>
      <w:tr>
        <w:tc>
          <w:tcPr/>
          <w:p>
            <w:pPr>
              <w:pStyle w:val="Compact"/>
            </w:pPr>
            <w:r>
              <w:t xml:space="preserve">Phase 2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bl>
    <w:p>
      <w:r>
        <w:pict>
          <v:rect style="width:0;height:1.5pt" o:hralign="center" o:hrstd="t" o:hr="t"/>
        </w:pict>
      </w:r>
    </w:p>
    <w:bookmarkEnd w:id="37"/>
    <w:bookmarkStart w:id="38" w:name="Xd7bf16fd75414c9d9ea1a14b1081ae4507f5c81"/>
    <w:p>
      <w:pPr>
        <w:pStyle w:val="Heading2"/>
      </w:pPr>
      <w:r>
        <w:t xml:space="preserve">3.4 Phase 3 — Supply Chain and Farmers (F-009, F-010)</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PM</w:t>
            </w:r>
          </w:p>
        </w:tc>
        <w:tc>
          <w:tcPr/>
          <w:p>
            <w:pPr>
              <w:pStyle w:val="Compact"/>
            </w:pPr>
            <w:r>
              <w:t xml:space="preserve">SM</w:t>
            </w:r>
          </w:p>
        </w:tc>
        <w:tc>
          <w:tcPr/>
          <w:p>
            <w:pPr>
              <w:pStyle w:val="Compact"/>
            </w:pPr>
            <w:r>
              <w:t xml:space="preserve">AGT</w:t>
            </w:r>
          </w:p>
        </w:tc>
      </w:tr>
      <w:tr>
        <w:tc>
          <w:tcPr/>
          <w:p>
            <w:pPr>
              <w:pStyle w:val="Compact"/>
            </w:pPr>
            <w:r>
              <w:t xml:space="preserve">Procurement module (F-009)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I</w:t>
            </w:r>
          </w:p>
        </w:tc>
      </w:tr>
      <w:tr>
        <w:tc>
          <w:tcPr/>
          <w:p>
            <w:pPr>
              <w:pStyle w:val="Compact"/>
            </w:pPr>
            <w:r>
              <w:t xml:space="preserve">PPDA workflow design</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Farmer Management (F-010)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5-stage cooperative workflow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Farmer Delivery App UAT</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Farmer bulk payment API integration test</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Phase 3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bl>
    <w:p>
      <w:r>
        <w:pict>
          <v:rect style="width:0;height:1.5pt" o:hralign="center" o:hrstd="t" o:hr="t"/>
        </w:pict>
      </w:r>
    </w:p>
    <w:bookmarkEnd w:id="38"/>
    <w:bookmarkStart w:id="39" w:name="X2245d271e1ff6733a677ac12ede77fbf3dd718a"/>
    <w:p>
      <w:pPr>
        <w:pStyle w:val="Heading2"/>
      </w:pPr>
      <w:r>
        <w:t xml:space="preserve">3.5 Phase 4 — Production and Quality (F-011, F-012)</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PROD</w:t>
            </w:r>
          </w:p>
        </w:tc>
        <w:tc>
          <w:tcPr/>
          <w:p>
            <w:pPr>
              <w:pStyle w:val="Compact"/>
            </w:pPr>
            <w:r>
              <w:t xml:space="preserve">QC</w:t>
            </w:r>
          </w:p>
        </w:tc>
        <w:tc>
          <w:tcPr/>
          <w:p>
            <w:pPr>
              <w:pStyle w:val="Compact"/>
            </w:pPr>
            <w:r>
              <w:t xml:space="preserve">SM</w:t>
            </w:r>
          </w:p>
        </w:tc>
      </w:tr>
      <w:tr>
        <w:tc>
          <w:tcPr/>
          <w:p>
            <w:pPr>
              <w:pStyle w:val="Compact"/>
            </w:pPr>
            <w:r>
              <w:t xml:space="preserve">Manufacturing module (F-011)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C</w:t>
            </w:r>
          </w:p>
        </w:tc>
      </w:tr>
      <w:tr>
        <w:tc>
          <w:tcPr/>
          <w:p>
            <w:pPr>
              <w:pStyle w:val="Compact"/>
            </w:pPr>
            <w:r>
              <w:t xml:space="preserve">Circular economy mass balance specification (BR-008)</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I</w:t>
            </w:r>
          </w:p>
        </w:tc>
      </w:tr>
      <w:tr>
        <w:tc>
          <w:tcPr/>
          <w:p>
            <w:pPr>
              <w:pStyle w:val="Compact"/>
            </w:pPr>
            <w:r>
              <w:t xml:space="preserve">QC module (F-012)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A</w:t>
            </w:r>
          </w:p>
        </w:tc>
        <w:tc>
          <w:tcPr/>
          <w:p>
            <w:pPr>
              <w:pStyle w:val="Compact"/>
            </w:pPr>
            <w:r>
              <w:t xml:space="preserve">I</w:t>
            </w:r>
          </w:p>
        </w:tc>
      </w:tr>
      <w:tr>
        <w:tc>
          <w:tcPr/>
          <w:p>
            <w:pPr>
              <w:pStyle w:val="Compact"/>
            </w:pPr>
            <w:r>
              <w:t xml:space="preserve">CoA template design (domestic and export)</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I</w:t>
            </w:r>
          </w:p>
        </w:tc>
      </w:tr>
      <w:tr>
        <w:tc>
          <w:tcPr/>
          <w:p>
            <w:pPr>
              <w:pStyle w:val="Compact"/>
            </w:pPr>
            <w:r>
              <w:t xml:space="preserve">Factory Floor App UAT</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r>
      <w:tr>
        <w:tc>
          <w:tcPr/>
          <w:p>
            <w:pPr>
              <w:pStyle w:val="Compact"/>
            </w:pPr>
            <w:r>
              <w:t xml:space="preserve">QC gate specification (BR-004)</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A</w:t>
            </w:r>
          </w:p>
        </w:tc>
        <w:tc>
          <w:tcPr/>
          <w:p>
            <w:pPr>
              <w:pStyle w:val="Compact"/>
            </w:pPr>
            <w:r>
              <w:t xml:space="preserve">I</w:t>
            </w:r>
          </w:p>
        </w:tc>
      </w:tr>
      <w:tr>
        <w:tc>
          <w:tcPr/>
          <w:p>
            <w:pPr>
              <w:pStyle w:val="Compact"/>
            </w:pPr>
            <w:r>
              <w:t xml:space="preserve">Phase 4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bl>
    <w:p>
      <w:r>
        <w:pict>
          <v:rect style="width:0;height:1.5pt" o:hralign="center" o:hrstd="t" o:hr="t"/>
        </w:pict>
      </w:r>
    </w:p>
    <w:bookmarkEnd w:id="39"/>
    <w:bookmarkStart w:id="40" w:name="Xc6953b840213f74e40dbe3c21b8e346599aaf89"/>
    <w:p>
      <w:pPr>
        <w:pStyle w:val="Heading2"/>
      </w:pPr>
      <w:r>
        <w:t xml:space="preserve">3.6 Phase 5 — People (F-013, F-014)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HR</w:t>
            </w:r>
          </w:p>
        </w:tc>
        <w:tc>
          <w:tcPr/>
          <w:p>
            <w:pPr>
              <w:pStyle w:val="Compact"/>
            </w:pPr>
            <w:r>
              <w:t xml:space="preserve">PAY</w:t>
            </w:r>
          </w:p>
        </w:tc>
      </w:tr>
      <w:tr>
        <w:tc>
          <w:tcPr/>
          <w:p>
            <w:pPr>
              <w:pStyle w:val="Compact"/>
            </w:pPr>
            <w:r>
              <w:t xml:space="preserve">HR module (F-013) specification</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A</w:t>
            </w:r>
          </w:p>
        </w:tc>
        <w:tc>
          <w:tcPr/>
          <w:p>
            <w:pPr>
              <w:pStyle w:val="Compact"/>
            </w:pPr>
            <w:r>
              <w:t xml:space="preserve">C</w:t>
            </w:r>
          </w:p>
        </w:tc>
      </w:tr>
      <w:tr>
        <w:tc>
          <w:tcPr/>
          <w:p>
            <w:pPr>
              <w:pStyle w:val="Compact"/>
            </w:pPr>
            <w:r>
              <w:t xml:space="preserve">Payroll module (F-014) specification</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r>
      <w:tr>
        <w:tc>
          <w:tcPr/>
          <w:p>
            <w:pPr>
              <w:pStyle w:val="Compact"/>
            </w:pPr>
            <w:r>
              <w:t xml:space="preserve">PAYE / NSSF / LST configuration specification</w:t>
            </w:r>
          </w:p>
        </w:tc>
        <w:tc>
          <w:tcPr/>
          <w:p>
            <w:pPr>
              <w:pStyle w:val="Compact"/>
            </w:pPr>
            <w:r>
              <w:t xml:space="preserve">I</w:t>
            </w:r>
          </w:p>
        </w:tc>
        <w:tc>
          <w:tcPr/>
          <w:p>
            <w:pPr>
              <w:pStyle w:val="Compact"/>
            </w:pPr>
            <w:r>
              <w:t xml:space="preserve">A</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C</w:t>
            </w:r>
          </w:p>
        </w:tc>
      </w:tr>
      <w:tr>
        <w:tc>
          <w:tcPr/>
          <w:p>
            <w:pPr>
              <w:pStyle w:val="Compact"/>
            </w:pPr>
            <w:r>
              <w:t xml:space="preserve">ZKTeco biometric integration specification</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HR Self-Service App UAT</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I</w:t>
            </w:r>
          </w:p>
        </w:tc>
      </w:tr>
      <w:tr>
        <w:tc>
          <w:tcPr/>
          <w:p>
            <w:pPr>
              <w:pStyle w:val="Compact"/>
            </w:pPr>
            <w:r>
              <w:t xml:space="preserve">Payroll UAT</w:t>
            </w:r>
          </w:p>
        </w:tc>
        <w:tc>
          <w:tcPr/>
          <w:p>
            <w:pPr>
              <w:pStyle w:val="Compact"/>
            </w:pPr>
            <w:r>
              <w:t xml:space="preserve">I</w:t>
            </w:r>
          </w:p>
        </w:tc>
        <w:tc>
          <w:tcPr/>
          <w:p>
            <w:pPr>
              <w:pStyle w:val="Compact"/>
            </w:pPr>
            <w:r>
              <w:t xml:space="preserve">A</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r>
      <w:tr>
        <w:tc>
          <w:tcPr/>
          <w:p>
            <w:pPr>
              <w:pStyle w:val="Compact"/>
            </w:pPr>
            <w:r>
              <w:t xml:space="preserve">Phase 5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r>
    </w:tbl>
    <w:p>
      <w:r>
        <w:pict>
          <v:rect style="width:0;height:1.5pt" o:hralign="center" o:hrstd="t" o:hr="t"/>
        </w:pict>
      </w:r>
    </w:p>
    <w:bookmarkEnd w:id="40"/>
    <w:bookmarkStart w:id="41" w:name="X238161af40533ac9d4fdc41818c6e0cf8c71ddd"/>
    <w:p>
      <w:pPr>
        <w:pStyle w:val="Heading2"/>
      </w:pPr>
      <w:r>
        <w:t xml:space="preserve">3.7 Phase 6 — Research, Administration and Compliance (F-015, F-016)</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RES</w:t>
            </w:r>
          </w:p>
        </w:tc>
        <w:tc>
          <w:tcPr/>
          <w:p>
            <w:pPr>
              <w:pStyle w:val="Compact"/>
            </w:pPr>
            <w:r>
              <w:t xml:space="preserve">ADM</w:t>
            </w:r>
          </w:p>
        </w:tc>
        <w:tc>
          <w:tcPr/>
          <w:p>
            <w:pPr>
              <w:pStyle w:val="Compact"/>
            </w:pPr>
            <w:r>
              <w:t xml:space="preserve">PM</w:t>
            </w:r>
          </w:p>
        </w:tc>
      </w:tr>
      <w:tr>
        <w:tc>
          <w:tcPr/>
          <w:p>
            <w:pPr>
              <w:pStyle w:val="Compact"/>
            </w:pPr>
            <w:r>
              <w:t xml:space="preserve">R&amp;D module (F-015)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Asset register and administration (F-016) specification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A</w:t>
            </w:r>
          </w:p>
        </w:tc>
        <w:tc>
          <w:tcPr/>
          <w:p>
            <w:pPr>
              <w:pStyle w:val="Compact"/>
            </w:pPr>
            <w:r>
              <w:t xml:space="preserve">I</w:t>
            </w:r>
          </w:p>
        </w:tc>
      </w:tr>
      <w:tr>
        <w:tc>
          <w:tcPr/>
          <w:p>
            <w:pPr>
              <w:pStyle w:val="Compact"/>
            </w:pPr>
            <w:r>
              <w:t xml:space="preserve">PPDA document management configuration</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A</w:t>
            </w:r>
          </w:p>
        </w:tc>
      </w:tr>
      <w:tr>
        <w:tc>
          <w:tcPr/>
          <w:p>
            <w:pPr>
              <w:pStyle w:val="Compact"/>
            </w:pPr>
            <w:r>
              <w:t xml:space="preserve">Phase 6 UAT</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Phase 6 go / no-go sign-off</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bl>
    <w:p>
      <w:r>
        <w:pict>
          <v:rect style="width:0;height:1.5pt" o:hralign="center" o:hrstd="t" o:hr="t"/>
        </w:pict>
      </w:r>
    </w:p>
    <w:bookmarkEnd w:id="41"/>
    <w:bookmarkStart w:id="42" w:name="Xdd08f9d0a4bea14bd30579ff50f5874cef4e4e6"/>
    <w:p>
      <w:pPr>
        <w:pStyle w:val="Heading2"/>
      </w:pPr>
      <w:r>
        <w:t xml:space="preserve">3.8 Phase 7 — Integration, Hardening and Go-Live (F-017, F-018, F-019)</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DIR</w:t>
            </w:r>
          </w:p>
        </w:tc>
        <w:tc>
          <w:tcPr/>
          <w:p>
            <w:pPr>
              <w:pStyle w:val="Compact"/>
            </w:pPr>
            <w:r>
              <w:t xml:space="preserve">FD</w:t>
            </w:r>
          </w:p>
        </w:tc>
        <w:tc>
          <w:tcPr/>
          <w:p>
            <w:pPr>
              <w:pStyle w:val="Compact"/>
            </w:pPr>
            <w:r>
              <w:t xml:space="preserve">IT</w:t>
            </w:r>
          </w:p>
        </w:tc>
        <w:tc>
          <w:tcPr/>
          <w:p>
            <w:pPr>
              <w:pStyle w:val="Compact"/>
            </w:pPr>
            <w:r>
              <w:t xml:space="preserve">CON</w:t>
            </w:r>
          </w:p>
        </w:tc>
        <w:tc>
          <w:tcPr/>
          <w:p>
            <w:pPr>
              <w:pStyle w:val="Compact"/>
            </w:pPr>
            <w:r>
              <w:t xml:space="preserve">SMM</w:t>
            </w:r>
          </w:p>
        </w:tc>
        <w:tc>
          <w:tcPr/>
          <w:p>
            <w:pPr>
              <w:pStyle w:val="Compact"/>
            </w:pPr>
            <w:r>
              <w:t xml:space="preserve">PM</w:t>
            </w:r>
          </w:p>
        </w:tc>
        <w:tc>
          <w:tcPr/>
          <w:p>
            <w:pPr>
              <w:pStyle w:val="Compact"/>
            </w:pPr>
            <w:r>
              <w:t xml:space="preserve">PARL</w:t>
            </w:r>
          </w:p>
        </w:tc>
      </w:tr>
      <w:tr>
        <w:tc>
          <w:tcPr/>
          <w:p>
            <w:pPr>
              <w:pStyle w:val="Compact"/>
            </w:pPr>
            <w:r>
              <w:t xml:space="preserve">System Administration (F-017) configuration</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EFRIS full integration (F-018) testing</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OWASP / penetration test</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Load testing (140 MT/day scenario)</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Full regression testing</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Staff training delivery</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Go-live cutover execution</w:t>
            </w:r>
          </w:p>
        </w:tc>
        <w:tc>
          <w:tcPr/>
          <w:p>
            <w:pPr>
              <w:pStyle w:val="Compact"/>
            </w:pPr>
            <w:r>
              <w:t xml:space="preserve">A</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Post-go-live hypercare (30 days)</w:t>
            </w:r>
          </w:p>
        </w:tc>
        <w:tc>
          <w:tcPr/>
          <w:p>
            <w:pPr>
              <w:pStyle w:val="Compact"/>
            </w:pPr>
            <w:r>
              <w:t xml:space="preserve">I</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Final deliverable sign-off and handover</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I</w:t>
            </w:r>
          </w:p>
        </w:tc>
        <w:tc>
          <w:tcPr/>
          <w:p>
            <w:pPr>
              <w:pStyle w:val="Compact"/>
            </w:pPr>
            <w:r>
              <w:t xml:space="preserve">I</w:t>
            </w:r>
          </w:p>
        </w:tc>
        <w:tc>
          <w:tcPr/>
          <w:p>
            <w:pPr>
              <w:pStyle w:val="Compact"/>
            </w:pPr>
            <w:r>
              <w:t xml:space="preserve">I</w:t>
            </w:r>
          </w:p>
        </w:tc>
      </w:tr>
    </w:tbl>
    <w:bookmarkEnd w:id="42"/>
    <w:bookmarkEnd w:id="43"/>
    <w:bookmarkStart w:id="46" w:name="section-4-stakeholder-communication-plan"/>
    <w:p>
      <w:pPr>
        <w:pStyle w:val="Heading1"/>
      </w:pPr>
      <w:r>
        <w:t xml:space="preserve">Section 4: Stakeholder Communication Plan</w:t>
      </w:r>
    </w:p>
    <w:p>
      <w:pPr>
        <w:pStyle w:val="FirstParagraph"/>
      </w:pPr>
      <w:r>
        <w:t xml:space="preserve">The communication plan defines the format, frequency, owner, and audience for every structured communication channel in the BIRDC ERP programme. All communication follows the principle of minimum necessary information: each audience receives only the information relevant to their role in the programme.</w:t>
      </w:r>
    </w:p>
    <w:p>
      <w:r>
        <w:pict>
          <v:rect style="width:0;height:1.5pt" o:hralign="center" o:hrstd="t" o:hr="t"/>
        </w:pict>
      </w:r>
    </w:p>
    <w:bookmarkStart w:id="44" w:name="Xb7030193b87481482f61053ebd6f835c3f9d04e"/>
    <w:p>
      <w:pPr>
        <w:pStyle w:val="Heading2"/>
      </w:pPr>
      <w:r>
        <w:t xml:space="preserve">4.1 Communication Register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Communication Type</w:t>
            </w:r>
          </w:p>
        </w:tc>
        <w:tc>
          <w:tcPr/>
          <w:p>
            <w:pPr>
              <w:pStyle w:val="Compact"/>
            </w:pPr>
            <w:r>
              <w:t xml:space="preserve">Frequency</w:t>
            </w:r>
          </w:p>
        </w:tc>
        <w:tc>
          <w:tcPr/>
          <w:p>
            <w:pPr>
              <w:pStyle w:val="Compact"/>
            </w:pPr>
            <w:r>
              <w:t xml:space="preserve">Format</w:t>
            </w:r>
          </w:p>
        </w:tc>
        <w:tc>
          <w:tcPr/>
          <w:p>
            <w:pPr>
              <w:pStyle w:val="Compact"/>
            </w:pPr>
            <w:r>
              <w:t xml:space="preserve">Owner</w:t>
            </w:r>
          </w:p>
        </w:tc>
        <w:tc>
          <w:tcPr/>
          <w:p>
            <w:pPr>
              <w:pStyle w:val="Compact"/>
            </w:pPr>
            <w:r>
              <w:t xml:space="preserve">Primary Audience</w:t>
            </w:r>
          </w:p>
        </w:tc>
        <w:tc>
          <w:tcPr/>
          <w:p>
            <w:pPr>
              <w:pStyle w:val="Compact"/>
            </w:pPr>
            <w:r>
              <w:t xml:space="preserve">Content</w:t>
            </w:r>
          </w:p>
        </w:tc>
      </w:tr>
      <w:tr>
        <w:tc>
          <w:tcPr/>
          <w:p>
            <w:pPr>
              <w:pStyle w:val="Compact"/>
            </w:pPr>
            <w:r>
              <w:rPr>
                <w:b/>
                <w:bCs/>
              </w:rPr>
              <w:t xml:space="preserve">Programme Steering Meeting</w:t>
            </w:r>
          </w:p>
        </w:tc>
        <w:tc>
          <w:tcPr/>
          <w:p>
            <w:pPr>
              <w:pStyle w:val="Compact"/>
            </w:pPr>
            <w:r>
              <w:t xml:space="preserve">Monthly</w:t>
            </w:r>
          </w:p>
        </w:tc>
        <w:tc>
          <w:tcPr/>
          <w:p>
            <w:pPr>
              <w:pStyle w:val="Compact"/>
            </w:pPr>
            <w:r>
              <w:t xml:space="preserve">In-person or video call, 90 minutes, formal agenda</w:t>
            </w:r>
          </w:p>
        </w:tc>
        <w:tc>
          <w:tcPr/>
          <w:p>
            <w:pPr>
              <w:pStyle w:val="Compact"/>
            </w:pPr>
            <w:r>
              <w:t xml:space="preserve">Consultant (STK-005) chairs; BIRDC Director approves agenda</w:t>
            </w:r>
          </w:p>
        </w:tc>
        <w:tc>
          <w:tcPr/>
          <w:p>
            <w:pPr>
              <w:pStyle w:val="Compact"/>
            </w:pPr>
            <w:r>
              <w:t xml:space="preserve">STK-001 (Director), STK-002 (Finance Director), STK-003 (IT Admin), STK-005 (Consultant)</w:t>
            </w:r>
          </w:p>
        </w:tc>
        <w:tc>
          <w:tcPr/>
          <w:p>
            <w:pPr>
              <w:pStyle w:val="Compact"/>
            </w:pPr>
            <w:r>
              <w:t xml:space="preserve">Phase progress vs. plan; risks and issues; scope change requests; phase-gate decisions; budget status</w:t>
            </w:r>
          </w:p>
        </w:tc>
      </w:tr>
      <w:tr>
        <w:tc>
          <w:tcPr/>
          <w:p>
            <w:pPr>
              <w:pStyle w:val="Compact"/>
            </w:pPr>
            <w:r>
              <w:rPr>
                <w:b/>
                <w:bCs/>
              </w:rPr>
              <w:t xml:space="preserve">Finance Director Weekly Review</w:t>
            </w:r>
          </w:p>
        </w:tc>
        <w:tc>
          <w:tcPr/>
          <w:p>
            <w:pPr>
              <w:pStyle w:val="Compact"/>
            </w:pPr>
            <w:r>
              <w:t xml:space="preserve">Weekly (during active phases)</w:t>
            </w:r>
          </w:p>
        </w:tc>
        <w:tc>
          <w:tcPr/>
          <w:p>
            <w:pPr>
              <w:pStyle w:val="Compact"/>
            </w:pPr>
            <w:r>
              <w:t xml:space="preserve">In-person or video call, 60 minutes</w:t>
            </w:r>
          </w:p>
        </w:tc>
        <w:tc>
          <w:tcPr/>
          <w:p>
            <w:pPr>
              <w:pStyle w:val="Compact"/>
            </w:pPr>
            <w:r>
              <w:t xml:space="preserve">Consultant (STK-005)</w:t>
            </w:r>
          </w:p>
        </w:tc>
        <w:tc>
          <w:tcPr/>
          <w:p>
            <w:pPr>
              <w:pStyle w:val="Compact"/>
            </w:pPr>
            <w:r>
              <w:t xml:space="preserve">STK-002 (Finance Director), STK-005 (Consultant)</w:t>
            </w:r>
          </w:p>
        </w:tc>
        <w:tc>
          <w:tcPr/>
          <w:p>
            <w:pPr>
              <w:pStyle w:val="Compact"/>
            </w:pPr>
            <w:r>
              <w:t xml:space="preserve">Requirements review; specification drafts for comment; open financial module questions; V&amp;V gap review</w:t>
            </w:r>
          </w:p>
        </w:tc>
      </w:tr>
      <w:tr>
        <w:tc>
          <w:tcPr/>
          <w:p>
            <w:pPr>
              <w:pStyle w:val="Compact"/>
            </w:pPr>
            <w:r>
              <w:rPr>
                <w:b/>
                <w:bCs/>
              </w:rPr>
              <w:t xml:space="preserve">Phase Progress Report</w:t>
            </w:r>
          </w:p>
        </w:tc>
        <w:tc>
          <w:tcPr/>
          <w:p>
            <w:pPr>
              <w:pStyle w:val="Compact"/>
            </w:pPr>
            <w:r>
              <w:t xml:space="preserve">At completion of each phase</w:t>
            </w:r>
          </w:p>
        </w:tc>
        <w:tc>
          <w:tcPr/>
          <w:p>
            <w:pPr>
              <w:pStyle w:val="Compact"/>
            </w:pPr>
            <w:r>
              <w:t xml:space="preserve">Written report (PDF), distributed via email</w:t>
            </w:r>
          </w:p>
        </w:tc>
        <w:tc>
          <w:tcPr/>
          <w:p>
            <w:pPr>
              <w:pStyle w:val="Compact"/>
            </w:pPr>
            <w:r>
              <w:t xml:space="preserve">Consultant (STK-005)</w:t>
            </w:r>
          </w:p>
        </w:tc>
        <w:tc>
          <w:tcPr/>
          <w:p>
            <w:pPr>
              <w:pStyle w:val="Compact"/>
            </w:pPr>
            <w:r>
              <w:t xml:space="preserve">STK-001, STK-002, STK-003, STK-004 (Parliament Committee)</w:t>
            </w:r>
          </w:p>
        </w:tc>
        <w:tc>
          <w:tcPr/>
          <w:p>
            <w:pPr>
              <w:pStyle w:val="Compact"/>
            </w:pPr>
            <w:r>
              <w:t xml:space="preserve">Phase deliverables completed; milestones achieved; issues resolved; next phase plan; outstanding risks</w:t>
            </w:r>
          </w:p>
        </w:tc>
      </w:tr>
      <w:tr>
        <w:tc>
          <w:tcPr/>
          <w:p>
            <w:pPr>
              <w:pStyle w:val="Compact"/>
            </w:pPr>
            <w:r>
              <w:rPr>
                <w:b/>
                <w:bCs/>
              </w:rPr>
              <w:t xml:space="preserve">Phase Gate Review and Sign-Off</w:t>
            </w:r>
          </w:p>
        </w:tc>
        <w:tc>
          <w:tcPr/>
          <w:p>
            <w:pPr>
              <w:pStyle w:val="Compact"/>
            </w:pPr>
            <w:r>
              <w:t xml:space="preserve">Once per phase (7 total)</w:t>
            </w:r>
          </w:p>
        </w:tc>
        <w:tc>
          <w:tcPr/>
          <w:p>
            <w:pPr>
              <w:pStyle w:val="Compact"/>
            </w:pPr>
            <w:r>
              <w:t xml:space="preserve">Formal meeting with sign-off document</w:t>
            </w:r>
          </w:p>
        </w:tc>
        <w:tc>
          <w:tcPr/>
          <w:p>
            <w:pPr>
              <w:pStyle w:val="Compact"/>
            </w:pPr>
            <w:r>
              <w:t xml:space="preserve">Consultant (STK-005) facilitates</w:t>
            </w:r>
          </w:p>
        </w:tc>
        <w:tc>
          <w:tcPr/>
          <w:p>
            <w:pPr>
              <w:pStyle w:val="Compact"/>
            </w:pPr>
            <w:r>
              <w:t xml:space="preserve">STK-001 (sign-off authority), STK-002 (financial modules), STK-003 (technical sign-off)</w:t>
            </w:r>
          </w:p>
        </w:tc>
        <w:tc>
          <w:tcPr/>
          <w:p>
            <w:pPr>
              <w:pStyle w:val="Compact"/>
            </w:pPr>
            <w:r>
              <w:t xml:space="preserve">Phase deliverable review; acceptance criteria confirmation; go/no-go decision; next phase authorisation</w:t>
            </w:r>
          </w:p>
        </w:tc>
      </w:tr>
      <w:tr>
        <w:tc>
          <w:tcPr/>
          <w:p>
            <w:pPr>
              <w:pStyle w:val="Compact"/>
            </w:pPr>
            <w:r>
              <w:rPr>
                <w:b/>
                <w:bCs/>
              </w:rPr>
              <w:t xml:space="preserve">Parliamentary Progress Brief</w:t>
            </w:r>
          </w:p>
        </w:tc>
        <w:tc>
          <w:tcPr/>
          <w:p>
            <w:pPr>
              <w:pStyle w:val="Compact"/>
            </w:pPr>
            <w:r>
              <w:t xml:space="preserve">Semi-annual (aligned to parliamentary calendar)</w:t>
            </w:r>
          </w:p>
        </w:tc>
        <w:tc>
          <w:tcPr/>
          <w:p>
            <w:pPr>
              <w:pStyle w:val="Compact"/>
            </w:pPr>
            <w:r>
              <w:t xml:space="preserve">Written brief (PDF) + oral presentation</w:t>
            </w:r>
          </w:p>
        </w:tc>
        <w:tc>
          <w:tcPr/>
          <w:p>
            <w:pPr>
              <w:pStyle w:val="Compact"/>
            </w:pPr>
            <w:r>
              <w:t xml:space="preserve">Finance Director (STK-002); supported by Consultant</w:t>
            </w:r>
          </w:p>
        </w:tc>
        <w:tc>
          <w:tcPr/>
          <w:p>
            <w:pPr>
              <w:pStyle w:val="Compact"/>
            </w:pPr>
            <w:r>
              <w:t xml:space="preserve">STK-004 (Parliament Budget Committee), STK-001</w:t>
            </w:r>
          </w:p>
        </w:tc>
        <w:tc>
          <w:tcPr/>
          <w:p>
            <w:pPr>
              <w:pStyle w:val="Compact"/>
            </w:pPr>
            <w:r>
              <w:t xml:space="preserve">System delivery progress; financial accountability narrative; value-for-money evidence; planned milestones</w:t>
            </w:r>
          </w:p>
        </w:tc>
      </w:tr>
      <w:tr>
        <w:tc>
          <w:tcPr/>
          <w:p>
            <w:pPr>
              <w:pStyle w:val="Compact"/>
            </w:pPr>
            <w:r>
              <w:rPr>
                <w:b/>
                <w:bCs/>
              </w:rPr>
              <w:t xml:space="preserve">Requirements Workshop</w:t>
            </w:r>
          </w:p>
        </w:tc>
        <w:tc>
          <w:tcPr/>
          <w:p>
            <w:pPr>
              <w:pStyle w:val="Compact"/>
            </w:pPr>
            <w:r>
              <w:t xml:space="preserve">Once per module group (per phase)</w:t>
            </w:r>
          </w:p>
        </w:tc>
        <w:tc>
          <w:tcPr/>
          <w:p>
            <w:pPr>
              <w:pStyle w:val="Compact"/>
            </w:pPr>
            <w:r>
              <w:t xml:space="preserve">Workshop, 2–4 hours</w:t>
            </w:r>
          </w:p>
        </w:tc>
        <w:tc>
          <w:tcPr/>
          <w:p>
            <w:pPr>
              <w:pStyle w:val="Compact"/>
            </w:pPr>
            <w:r>
              <w:t xml:space="preserve">Consultant (STK-005) facilitates</w:t>
            </w:r>
          </w:p>
        </w:tc>
        <w:tc>
          <w:tcPr/>
          <w:p>
            <w:pPr>
              <w:pStyle w:val="Compact"/>
            </w:pPr>
            <w:r>
              <w:t xml:space="preserve">Relevant department heads and end users per phase (see RACI)</w:t>
            </w:r>
          </w:p>
        </w:tc>
        <w:tc>
          <w:tcPr/>
          <w:p>
            <w:pPr>
              <w:pStyle w:val="Compact"/>
            </w:pPr>
            <w:r>
              <w:t xml:space="preserve">Requirements elicitation; business process review; edge case capture; glossary alignment</w:t>
            </w:r>
          </w:p>
        </w:tc>
      </w:tr>
      <w:tr>
        <w:tc>
          <w:tcPr/>
          <w:p>
            <w:pPr>
              <w:pStyle w:val="Compact"/>
            </w:pPr>
            <w:r>
              <w:rPr>
                <w:b/>
                <w:bCs/>
              </w:rPr>
              <w:t xml:space="preserve">UAT Session Reports</w:t>
            </w:r>
          </w:p>
        </w:tc>
        <w:tc>
          <w:tcPr/>
          <w:p>
            <w:pPr>
              <w:pStyle w:val="Compact"/>
            </w:pPr>
            <w:r>
              <w:t xml:space="preserve">Once per phase (delivered to sign-off authority)</w:t>
            </w:r>
          </w:p>
        </w:tc>
        <w:tc>
          <w:tcPr/>
          <w:p>
            <w:pPr>
              <w:pStyle w:val="Compact"/>
            </w:pPr>
            <w:r>
              <w:t xml:space="preserve">Written report with test results</w:t>
            </w:r>
          </w:p>
        </w:tc>
        <w:tc>
          <w:tcPr/>
          <w:p>
            <w:pPr>
              <w:pStyle w:val="Compact"/>
            </w:pPr>
            <w:r>
              <w:t xml:space="preserve">Consultant (STK-005) compiles; IT Admin reviews</w:t>
            </w:r>
          </w:p>
        </w:tc>
        <w:tc>
          <w:tcPr/>
          <w:p>
            <w:pPr>
              <w:pStyle w:val="Compact"/>
            </w:pPr>
            <w:r>
              <w:t xml:space="preserve">Phase Accountable stakeholder; Finance Director for financial modules</w:t>
            </w:r>
          </w:p>
        </w:tc>
        <w:tc>
          <w:tcPr/>
          <w:p>
            <w:pPr>
              <w:pStyle w:val="Compact"/>
            </w:pPr>
            <w:r>
              <w:t xml:space="preserve">UAT pass/fail results; open defects with severity; sign-off recommendation</w:t>
            </w:r>
          </w:p>
        </w:tc>
      </w:tr>
      <w:tr>
        <w:tc>
          <w:tcPr/>
          <w:p>
            <w:pPr>
              <w:pStyle w:val="Compact"/>
            </w:pPr>
            <w:r>
              <w:rPr>
                <w:b/>
                <w:bCs/>
              </w:rPr>
              <w:t xml:space="preserve">Agent Network Briefing</w:t>
            </w:r>
          </w:p>
        </w:tc>
        <w:tc>
          <w:tcPr/>
          <w:p>
            <w:pPr>
              <w:pStyle w:val="Compact"/>
            </w:pPr>
            <w:r>
              <w:t xml:space="preserve">At Phase 1 go-live + quarterly thereafter</w:t>
            </w:r>
          </w:p>
        </w:tc>
        <w:tc>
          <w:tcPr/>
          <w:p>
            <w:pPr>
              <w:pStyle w:val="Compact"/>
            </w:pPr>
            <w:r>
              <w:t xml:space="preserve">Briefing via Sales Manager + printed materials</w:t>
            </w:r>
          </w:p>
        </w:tc>
        <w:tc>
          <w:tcPr/>
          <w:p>
            <w:pPr>
              <w:pStyle w:val="Compact"/>
            </w:pPr>
            <w:r>
              <w:t xml:space="preserve">Sales and Marketing Manager (STK-006)</w:t>
            </w:r>
          </w:p>
        </w:tc>
        <w:tc>
          <w:tcPr/>
          <w:p>
            <w:pPr>
              <w:pStyle w:val="Compact"/>
            </w:pPr>
            <w:r>
              <w:t xml:space="preserve">STK-015 (Field Sales Agents)</w:t>
            </w:r>
          </w:p>
        </w:tc>
        <w:tc>
          <w:tcPr/>
          <w:p>
            <w:pPr>
              <w:pStyle w:val="Compact"/>
            </w:pPr>
            <w:r>
              <w:t xml:space="preserve">Sales Agent App update notes; remittance process changes; commission policy updates</w:t>
            </w:r>
          </w:p>
        </w:tc>
      </w:tr>
      <w:tr>
        <w:tc>
          <w:tcPr/>
          <w:p>
            <w:pPr>
              <w:pStyle w:val="Compact"/>
            </w:pPr>
            <w:r>
              <w:rPr>
                <w:b/>
                <w:bCs/>
              </w:rPr>
              <w:t xml:space="preserve">Cooperative Farmer Payment Statement</w:t>
            </w:r>
          </w:p>
        </w:tc>
        <w:tc>
          <w:tcPr/>
          <w:p>
            <w:pPr>
              <w:pStyle w:val="Compact"/>
            </w:pPr>
            <w:r>
              <w:t xml:space="preserve">After each payment batch</w:t>
            </w:r>
          </w:p>
        </w:tc>
        <w:tc>
          <w:tcPr/>
          <w:p>
            <w:pPr>
              <w:pStyle w:val="Compact"/>
            </w:pPr>
            <w:r>
              <w:t xml:space="preserve">SMS confirmation (individual) + PDF statement (cooperative level)</w:t>
            </w:r>
          </w:p>
        </w:tc>
        <w:tc>
          <w:tcPr/>
          <w:p>
            <w:pPr>
              <w:pStyle w:val="Compact"/>
            </w:pPr>
            <w:r>
              <w:t xml:space="preserve">Payroll / Accounts Payable function</w:t>
            </w:r>
          </w:p>
        </w:tc>
        <w:tc>
          <w:tcPr/>
          <w:p>
            <w:pPr>
              <w:pStyle w:val="Compact"/>
            </w:pPr>
            <w:r>
              <w:t xml:space="preserve">STK-020 (Cooperative Farmers), STK-029 (Farmers' Unions)</w:t>
            </w:r>
          </w:p>
        </w:tc>
        <w:tc>
          <w:tcPr/>
          <w:p>
            <w:pPr>
              <w:pStyle w:val="Compact"/>
            </w:pPr>
            <w:r>
              <w:t xml:space="preserve">Delivery quantities; quality grades; gross payable; deductions; net paid; mobile money reference</w:t>
            </w:r>
          </w:p>
        </w:tc>
      </w:tr>
      <w:tr>
        <w:tc>
          <w:tcPr/>
          <w:p>
            <w:pPr>
              <w:pStyle w:val="Compact"/>
            </w:pPr>
            <w:r>
              <w:rPr>
                <w:b/>
                <w:bCs/>
              </w:rPr>
              <w:t xml:space="preserve">EFRIS Compliance Summary</w:t>
            </w:r>
          </w:p>
        </w:tc>
        <w:tc>
          <w:tcPr/>
          <w:p>
            <w:pPr>
              <w:pStyle w:val="Compact"/>
            </w:pPr>
            <w:r>
              <w:t xml:space="preserve">Monthly</w:t>
            </w:r>
          </w:p>
        </w:tc>
        <w:tc>
          <w:tcPr/>
          <w:p>
            <w:pPr>
              <w:pStyle w:val="Compact"/>
            </w:pPr>
            <w:r>
              <w:t xml:space="preserve">PDF report</w:t>
            </w:r>
          </w:p>
        </w:tc>
        <w:tc>
          <w:tcPr/>
          <w:p>
            <w:pPr>
              <w:pStyle w:val="Compact"/>
            </w:pPr>
            <w:r>
              <w:t xml:space="preserve">Finance Director (STK-002)</w:t>
            </w:r>
          </w:p>
        </w:tc>
        <w:tc>
          <w:tcPr/>
          <w:p>
            <w:pPr>
              <w:pStyle w:val="Compact"/>
            </w:pPr>
            <w:r>
              <w:t xml:space="preserve">STK-022 (URA) — via EFRIS portal; internal copy to STK-001, STK-002</w:t>
            </w:r>
          </w:p>
        </w:tc>
        <w:tc>
          <w:tcPr/>
          <w:p>
            <w:pPr>
              <w:pStyle w:val="Compact"/>
            </w:pPr>
            <w:r>
              <w:t xml:space="preserve">Total fiscal documents submitted; failed submissions resolved; FDN register</w:t>
            </w:r>
          </w:p>
        </w:tc>
      </w:tr>
      <w:tr>
        <w:tc>
          <w:tcPr/>
          <w:p>
            <w:pPr>
              <w:pStyle w:val="Compact"/>
            </w:pPr>
            <w:r>
              <w:rPr>
                <w:b/>
                <w:bCs/>
              </w:rPr>
              <w:t xml:space="preserve">PPDA Procurement Compliance Report</w:t>
            </w:r>
          </w:p>
        </w:tc>
        <w:tc>
          <w:tcPr/>
          <w:p>
            <w:pPr>
              <w:pStyle w:val="Compact"/>
            </w:pPr>
            <w:r>
              <w:t xml:space="preserve">Annual (or on request)</w:t>
            </w:r>
          </w:p>
        </w:tc>
        <w:tc>
          <w:tcPr/>
          <w:p>
            <w:pPr>
              <w:pStyle w:val="Compact"/>
            </w:pPr>
            <w:r>
              <w:t xml:space="preserve">PDF formatted per PPDA requirements</w:t>
            </w:r>
          </w:p>
        </w:tc>
        <w:tc>
          <w:tcPr/>
          <w:p>
            <w:pPr>
              <w:pStyle w:val="Compact"/>
            </w:pPr>
            <w:r>
              <w:t xml:space="preserve">Procurement Manager (STK-007)</w:t>
            </w:r>
          </w:p>
        </w:tc>
        <w:tc>
          <w:tcPr/>
          <w:p>
            <w:pPr>
              <w:pStyle w:val="Compact"/>
            </w:pPr>
            <w:r>
              <w:t xml:space="preserve">STK-027 (PPDA); STK-001 (Director)</w:t>
            </w:r>
          </w:p>
        </w:tc>
        <w:tc>
          <w:tcPr/>
          <w:p>
            <w:pPr>
              <w:pStyle w:val="Compact"/>
            </w:pPr>
            <w:r>
              <w:t xml:space="preserve">All procurement transactions by category; document compliance status; value summary</w:t>
            </w:r>
          </w:p>
        </w:tc>
      </w:tr>
      <w:tr>
        <w:tc>
          <w:tcPr/>
          <w:p>
            <w:pPr>
              <w:pStyle w:val="Compact"/>
            </w:pPr>
            <w:r>
              <w:rPr>
                <w:b/>
                <w:bCs/>
              </w:rPr>
              <w:t xml:space="preserve">OAG Audit Package</w:t>
            </w:r>
          </w:p>
        </w:tc>
        <w:tc>
          <w:tcPr/>
          <w:p>
            <w:pPr>
              <w:pStyle w:val="Compact"/>
            </w:pPr>
            <w:r>
              <w:t xml:space="preserve">On-demand (at audit initiation)</w:t>
            </w:r>
          </w:p>
        </w:tc>
        <w:tc>
          <w:tcPr/>
          <w:p>
            <w:pPr>
              <w:pStyle w:val="Compact"/>
            </w:pPr>
            <w:r>
              <w:t xml:space="preserve">System-generated audit trail export + financial statements</w:t>
            </w:r>
          </w:p>
        </w:tc>
        <w:tc>
          <w:tcPr/>
          <w:p>
            <w:pPr>
              <w:pStyle w:val="Compact"/>
            </w:pPr>
            <w:r>
              <w:t xml:space="preserve">Finance Director (STK-002) with IT Administrator</w:t>
            </w:r>
          </w:p>
        </w:tc>
        <w:tc>
          <w:tcPr/>
          <w:p>
            <w:pPr>
              <w:pStyle w:val="Compact"/>
            </w:pPr>
            <w:r>
              <w:t xml:space="preserve">STK-026 (Auditor General)</w:t>
            </w:r>
          </w:p>
        </w:tc>
        <w:tc>
          <w:tcPr/>
          <w:p>
            <w:pPr>
              <w:pStyle w:val="Compact"/>
            </w:pPr>
            <w:r>
              <w:t xml:space="preserve">GL hash chain integrity report; full transaction audit trail; financial statements; budget vs. actual</w:t>
            </w:r>
          </w:p>
        </w:tc>
      </w:tr>
      <w:tr>
        <w:tc>
          <w:tcPr/>
          <w:p>
            <w:pPr>
              <w:pStyle w:val="Compact"/>
            </w:pPr>
            <w:r>
              <w:rPr>
                <w:b/>
                <w:bCs/>
              </w:rPr>
              <w:t xml:space="preserve">Risk and Issue Register Update</w:t>
            </w:r>
          </w:p>
        </w:tc>
        <w:tc>
          <w:tcPr/>
          <w:p>
            <w:pPr>
              <w:pStyle w:val="Compact"/>
            </w:pPr>
            <w:r>
              <w:t xml:space="preserve">Bi-weekly</w:t>
            </w:r>
          </w:p>
        </w:tc>
        <w:tc>
          <w:tcPr/>
          <w:p>
            <w:pPr>
              <w:pStyle w:val="Compact"/>
            </w:pPr>
            <w:r>
              <w:t xml:space="preserve">Shared document (Google Docs or SharePoint)</w:t>
            </w:r>
          </w:p>
        </w:tc>
        <w:tc>
          <w:tcPr/>
          <w:p>
            <w:pPr>
              <w:pStyle w:val="Compact"/>
            </w:pPr>
            <w:r>
              <w:t xml:space="preserve">Consultant (STK-005)</w:t>
            </w:r>
          </w:p>
        </w:tc>
        <w:tc>
          <w:tcPr/>
          <w:p>
            <w:pPr>
              <w:pStyle w:val="Compact"/>
            </w:pPr>
            <w:r>
              <w:t xml:space="preserve">STK-001, STK-002, STK-003</w:t>
            </w:r>
          </w:p>
        </w:tc>
        <w:tc>
          <w:tcPr/>
          <w:p>
            <w:pPr>
              <w:pStyle w:val="Compact"/>
            </w:pPr>
            <w:r>
              <w:t xml:space="preserve">Open risks with probability, impact, and mitigation actions; open issues with resolution owner and target date</w:t>
            </w:r>
          </w:p>
        </w:tc>
      </w:tr>
      <w:tr>
        <w:tc>
          <w:tcPr/>
          <w:p>
            <w:pPr>
              <w:pStyle w:val="Compact"/>
            </w:pPr>
            <w:r>
              <w:rPr>
                <w:b/>
                <w:bCs/>
              </w:rPr>
              <w:t xml:space="preserve">Integration Test Results</w:t>
            </w:r>
          </w:p>
        </w:tc>
        <w:tc>
          <w:tcPr/>
          <w:p>
            <w:pPr>
              <w:pStyle w:val="Compact"/>
            </w:pPr>
            <w:r>
              <w:t xml:space="preserve">At Phase 7 integration milestones</w:t>
            </w:r>
          </w:p>
        </w:tc>
        <w:tc>
          <w:tcPr/>
          <w:p>
            <w:pPr>
              <w:pStyle w:val="Compact"/>
            </w:pPr>
            <w:r>
              <w:t xml:space="preserve">Technical report (PDF)</w:t>
            </w:r>
          </w:p>
        </w:tc>
        <w:tc>
          <w:tcPr/>
          <w:p>
            <w:pPr>
              <w:pStyle w:val="Compact"/>
            </w:pPr>
            <w:r>
              <w:t xml:space="preserve">IT Administrator (STK-003)</w:t>
            </w:r>
          </w:p>
        </w:tc>
        <w:tc>
          <w:tcPr/>
          <w:p>
            <w:pPr>
              <w:pStyle w:val="Compact"/>
            </w:pPr>
            <w:r>
              <w:t xml:space="preserve">STK-002, STK-001, STK-005</w:t>
            </w:r>
          </w:p>
        </w:tc>
        <w:tc>
          <w:tcPr/>
          <w:p>
            <w:pPr>
              <w:pStyle w:val="Compact"/>
            </w:pPr>
            <w:r>
              <w:t xml:space="preserve">EFRIS API test results; mobile money API test results; ZKTeco integration test results; open items</w:t>
            </w:r>
          </w:p>
        </w:tc>
      </w:tr>
      <w:tr>
        <w:tc>
          <w:tcPr/>
          <w:p>
            <w:pPr>
              <w:pStyle w:val="Compact"/>
            </w:pPr>
            <w:r>
              <w:rPr>
                <w:b/>
                <w:bCs/>
              </w:rPr>
              <w:t xml:space="preserve">Handover Documentation</w:t>
            </w:r>
          </w:p>
        </w:tc>
        <w:tc>
          <w:tcPr/>
          <w:p>
            <w:pPr>
              <w:pStyle w:val="Compact"/>
            </w:pPr>
            <w:r>
              <w:t xml:space="preserve">At final project close</w:t>
            </w:r>
          </w:p>
        </w:tc>
        <w:tc>
          <w:tcPr/>
          <w:p>
            <w:pPr>
              <w:pStyle w:val="Compact"/>
            </w:pPr>
            <w:r>
              <w:t xml:space="preserve">Full documentation package (PDF + digital)</w:t>
            </w:r>
          </w:p>
        </w:tc>
        <w:tc>
          <w:tcPr/>
          <w:p>
            <w:pPr>
              <w:pStyle w:val="Compact"/>
            </w:pPr>
            <w:r>
              <w:t xml:space="preserve">Consultant (STK-005)</w:t>
            </w:r>
          </w:p>
        </w:tc>
        <w:tc>
          <w:tcPr/>
          <w:p>
            <w:pPr>
              <w:pStyle w:val="Compact"/>
            </w:pPr>
            <w:r>
              <w:t xml:space="preserve">STK-003 (IT Administrator primary); STK-001, STK-002</w:t>
            </w:r>
          </w:p>
        </w:tc>
        <w:tc>
          <w:tcPr/>
          <w:p>
            <w:pPr>
              <w:pStyle w:val="Compact"/>
            </w:pPr>
            <w:r>
              <w:t xml:space="preserve">System architecture; configuration guide; user manuals; support SOP; training materials</w:t>
            </w:r>
          </w:p>
        </w:tc>
      </w:tr>
    </w:tbl>
    <w:p>
      <w:r>
        <w:pict>
          <v:rect style="width:0;height:1.5pt" o:hralign="center" o:hrstd="t" o:hr="t"/>
        </w:pict>
      </w:r>
    </w:p>
    <w:bookmarkEnd w:id="44"/>
    <w:bookmarkStart w:id="45" w:name="Xd66099a5d9210973b3f22e9eef29d05a17a8616"/>
    <w:p>
      <w:pPr>
        <w:pStyle w:val="Heading2"/>
      </w:pPr>
      <w:r>
        <w:t xml:space="preserve">4.2 Communication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 Group</w:t>
            </w:r>
          </w:p>
        </w:tc>
        <w:tc>
          <w:tcPr/>
          <w:p>
            <w:pPr>
              <w:pStyle w:val="Compact"/>
            </w:pPr>
            <w:r>
              <w:t xml:space="preserve">Primary Channel</w:t>
            </w:r>
          </w:p>
        </w:tc>
        <w:tc>
          <w:tcPr/>
          <w:p>
            <w:pPr>
              <w:pStyle w:val="Compact"/>
            </w:pPr>
            <w:r>
              <w:t xml:space="preserve">Secondary Channel</w:t>
            </w:r>
          </w:p>
        </w:tc>
        <w:tc>
          <w:tcPr/>
          <w:p>
            <w:pPr>
              <w:pStyle w:val="Compact"/>
            </w:pPr>
            <w:r>
              <w:t xml:space="preserve">Notes</w:t>
            </w:r>
          </w:p>
        </w:tc>
      </w:tr>
      <w:tr>
        <w:tc>
          <w:tcPr/>
          <w:p>
            <w:pPr>
              <w:pStyle w:val="Compact"/>
            </w:pPr>
            <w:r>
              <w:t xml:space="preserve">BIRDC Director</w:t>
            </w:r>
          </w:p>
        </w:tc>
        <w:tc>
          <w:tcPr/>
          <w:p>
            <w:pPr>
              <w:pStyle w:val="Compact"/>
            </w:pPr>
            <w:r>
              <w:t xml:space="preserve">In-person meeting + WhatsApp brief</w:t>
            </w:r>
          </w:p>
        </w:tc>
        <w:tc>
          <w:tcPr/>
          <w:p>
            <w:pPr>
              <w:pStyle w:val="Compact"/>
            </w:pPr>
            <w:r>
              <w:t xml:space="preserve">Email</w:t>
            </w:r>
          </w:p>
        </w:tc>
        <w:tc>
          <w:tcPr/>
          <w:p>
            <w:pPr>
              <w:pStyle w:val="Compact"/>
            </w:pPr>
            <w:r>
              <w:t xml:space="preserve">5-minute daily brief via Executive Dashboard App (self-serve)</w:t>
            </w:r>
          </w:p>
        </w:tc>
      </w:tr>
      <w:tr>
        <w:tc>
          <w:tcPr/>
          <w:p>
            <w:pPr>
              <w:pStyle w:val="Compact"/>
            </w:pPr>
            <w:r>
              <w:t xml:space="preserve">Finance Director</w:t>
            </w:r>
          </w:p>
        </w:tc>
        <w:tc>
          <w:tcPr/>
          <w:p>
            <w:pPr>
              <w:pStyle w:val="Compact"/>
            </w:pPr>
            <w:r>
              <w:t xml:space="preserve">In-person meeting + Email</w:t>
            </w:r>
          </w:p>
        </w:tc>
        <w:tc>
          <w:tcPr/>
          <w:p>
            <w:pPr>
              <w:pStyle w:val="Compact"/>
            </w:pPr>
            <w:r>
              <w:t xml:space="preserve">WhatsApp</w:t>
            </w:r>
          </w:p>
        </w:tc>
        <w:tc>
          <w:tcPr/>
          <w:p>
            <w:pPr>
              <w:pStyle w:val="Compact"/>
            </w:pPr>
            <w:r>
              <w:t xml:space="preserve">Primary requirements and sign-off channel</w:t>
            </w:r>
          </w:p>
        </w:tc>
      </w:tr>
      <w:tr>
        <w:tc>
          <w:tcPr/>
          <w:p>
            <w:pPr>
              <w:pStyle w:val="Compact"/>
            </w:pPr>
            <w:r>
              <w:t xml:space="preserve">IT Administrator</w:t>
            </w:r>
          </w:p>
        </w:tc>
        <w:tc>
          <w:tcPr/>
          <w:p>
            <w:pPr>
              <w:pStyle w:val="Compact"/>
            </w:pPr>
            <w:r>
              <w:t xml:space="preserve">Email + shared project folder</w:t>
            </w:r>
          </w:p>
        </w:tc>
        <w:tc>
          <w:tcPr/>
          <w:p>
            <w:pPr>
              <w:pStyle w:val="Compact"/>
            </w:pPr>
            <w:r>
              <w:t xml:space="preserve">In-person</w:t>
            </w:r>
          </w:p>
        </w:tc>
        <w:tc>
          <w:tcPr/>
          <w:p>
            <w:pPr>
              <w:pStyle w:val="Compact"/>
            </w:pPr>
            <w:r>
              <w:t xml:space="preserve">Technical documentation shared via agreed folder</w:t>
            </w:r>
          </w:p>
        </w:tc>
      </w:tr>
      <w:tr>
        <w:tc>
          <w:tcPr/>
          <w:p>
            <w:pPr>
              <w:pStyle w:val="Compact"/>
            </w:pPr>
            <w:r>
              <w:t xml:space="preserve">Parliament Budget Committee</w:t>
            </w:r>
          </w:p>
        </w:tc>
        <w:tc>
          <w:tcPr/>
          <w:p>
            <w:pPr>
              <w:pStyle w:val="Compact"/>
            </w:pPr>
            <w:r>
              <w:t xml:space="preserve">Formal written report via Finance Director</w:t>
            </w:r>
          </w:p>
        </w:tc>
        <w:tc>
          <w:tcPr/>
          <w:p>
            <w:pPr>
              <w:pStyle w:val="Compact"/>
            </w:pPr>
            <w:r>
              <w:t xml:space="preserve">In-person presentation</w:t>
            </w:r>
          </w:p>
        </w:tc>
        <w:tc>
          <w:tcPr/>
          <w:p>
            <w:pPr>
              <w:pStyle w:val="Compact"/>
            </w:pPr>
            <w:r>
              <w:t xml:space="preserve">BIRDC Director or Finance Director presents</w:t>
            </w:r>
          </w:p>
        </w:tc>
      </w:tr>
      <w:tr>
        <w:tc>
          <w:tcPr/>
          <w:p>
            <w:pPr>
              <w:pStyle w:val="Compact"/>
            </w:pPr>
            <w:r>
              <w:t xml:space="preserve">Department Heads</w:t>
            </w:r>
          </w:p>
        </w:tc>
        <w:tc>
          <w:tcPr/>
          <w:p>
            <w:pPr>
              <w:pStyle w:val="Compact"/>
            </w:pPr>
            <w:r>
              <w:t xml:space="preserve">Email + workshop invitations</w:t>
            </w:r>
          </w:p>
        </w:tc>
        <w:tc>
          <w:tcPr/>
          <w:p>
            <w:pPr>
              <w:pStyle w:val="Compact"/>
            </w:pPr>
            <w:r>
              <w:t xml:space="preserve">In-person meetings</w:t>
            </w:r>
          </w:p>
        </w:tc>
        <w:tc>
          <w:tcPr/>
          <w:p>
            <w:pPr>
              <w:pStyle w:val="Compact"/>
            </w:pPr>
            <w:r>
              <w:t xml:space="preserve">Requirements workshops are primary engagement</w:t>
            </w:r>
          </w:p>
        </w:tc>
      </w:tr>
      <w:tr>
        <w:tc>
          <w:tcPr/>
          <w:p>
            <w:pPr>
              <w:pStyle w:val="Compact"/>
            </w:pPr>
            <w:r>
              <w:t xml:space="preserve">Field Sales Agents</w:t>
            </w:r>
          </w:p>
        </w:tc>
        <w:tc>
          <w:tcPr/>
          <w:p>
            <w:pPr>
              <w:pStyle w:val="Compact"/>
            </w:pPr>
            <w:r>
              <w:t xml:space="preserve">Sales Manager briefing + printed handouts</w:t>
            </w:r>
          </w:p>
        </w:tc>
        <w:tc>
          <w:tcPr/>
          <w:p>
            <w:pPr>
              <w:pStyle w:val="Compact"/>
            </w:pPr>
            <w:r>
              <w:t xml:space="preserve">Sales Agent App in-app messages</w:t>
            </w:r>
          </w:p>
        </w:tc>
        <w:tc>
          <w:tcPr/>
          <w:p>
            <w:pPr>
              <w:pStyle w:val="Compact"/>
            </w:pPr>
            <w:r>
              <w:t xml:space="preserve">Direct agent communication managed by Sales Manager</w:t>
            </w:r>
          </w:p>
        </w:tc>
      </w:tr>
      <w:tr>
        <w:tc>
          <w:tcPr/>
          <w:p>
            <w:pPr>
              <w:pStyle w:val="Compact"/>
            </w:pPr>
            <w:r>
              <w:t xml:space="preserve">Cooperative Farmers</w:t>
            </w:r>
          </w:p>
        </w:tc>
        <w:tc>
          <w:tcPr/>
          <w:p>
            <w:pPr>
              <w:pStyle w:val="Compact"/>
            </w:pPr>
            <w:r>
              <w:t xml:space="preserve">SMS payment notifications</w:t>
            </w:r>
          </w:p>
        </w:tc>
        <w:tc>
          <w:tcPr/>
          <w:p>
            <w:pPr>
              <w:pStyle w:val="Compact"/>
            </w:pPr>
            <w:r>
              <w:t xml:space="preserve">Paper receipts (field)</w:t>
            </w:r>
          </w:p>
        </w:tc>
        <w:tc>
          <w:tcPr/>
          <w:p>
            <w:pPr>
              <w:pStyle w:val="Compact"/>
            </w:pPr>
            <w:r>
              <w:t xml:space="preserve">Farmers' unions receive aggregate reports</w:t>
            </w:r>
          </w:p>
        </w:tc>
      </w:tr>
      <w:tr>
        <w:tc>
          <w:tcPr/>
          <w:p>
            <w:pPr>
              <w:pStyle w:val="Compact"/>
            </w:pPr>
            <w:r>
              <w:t xml:space="preserve">External Regulators (URA, NSSF, PPDA, OAG)</w:t>
            </w:r>
          </w:p>
        </w:tc>
        <w:tc>
          <w:tcPr/>
          <w:p>
            <w:pPr>
              <w:pStyle w:val="Compact"/>
            </w:pPr>
            <w:r>
              <w:t xml:space="preserve">Formal written submission + system-generated reports</w:t>
            </w:r>
          </w:p>
        </w:tc>
        <w:tc>
          <w:tcPr/>
          <w:p>
            <w:pPr>
              <w:pStyle w:val="Compact"/>
            </w:pPr>
            <w:r>
              <w:t xml:space="preserve">In-person review</w:t>
            </w:r>
          </w:p>
        </w:tc>
        <w:tc>
          <w:tcPr/>
          <w:p>
            <w:pPr>
              <w:pStyle w:val="Compact"/>
            </w:pPr>
            <w:r>
              <w:t xml:space="preserve">Finance Director or Procurement Manager leads regulatory communication</w:t>
            </w:r>
          </w:p>
        </w:tc>
      </w:tr>
    </w:tbl>
    <w:bookmarkEnd w:id="45"/>
    <w:bookmarkEnd w:id="46"/>
    <w:bookmarkStart w:id="52" w:name="Xbeada7d9c142ef3f221e613b605d7c877883979"/>
    <w:p>
      <w:pPr>
        <w:pStyle w:val="Heading1"/>
      </w:pPr>
      <w:r>
        <w:t xml:space="preserve">Section 5: Key Stakeholder Concerns and Mitigation</w:t>
      </w:r>
    </w:p>
    <w:p>
      <w:pPr>
        <w:pStyle w:val="FirstParagraph"/>
      </w:pPr>
      <w:r>
        <w:t xml:space="preserve">This section documents the primary concerns of the five highest-risk stakeholder groups — Parliament, Finance Director, Field Agents, Cooperative Farmers, and OAG — and the system and process mitigations that address each concern.</w:t>
      </w:r>
    </w:p>
    <w:p>
      <w:pPr>
        <w:pStyle w:val="BodyText"/>
      </w:pPr>
      <w:r>
        <w:t xml:space="preserve">Mitigations are classified as:</w:t>
      </w:r>
      <w:r>
        <w:t xml:space="preserve"> </w:t>
      </w:r>
      <w:r>
        <w:rPr>
          <w:b/>
          <w:bCs/>
        </w:rPr>
        <w:t xml:space="preserve">System Design</w:t>
      </w:r>
      <w:r>
        <w:t xml:space="preserve"> </w:t>
      </w:r>
      <w:r>
        <w:t xml:space="preserve">(built into the system architecture),</w:t>
      </w:r>
      <w:r>
        <w:t xml:space="preserve"> </w:t>
      </w:r>
      <w:r>
        <w:rPr>
          <w:b/>
          <w:bCs/>
        </w:rPr>
        <w:t xml:space="preserve">Configuration</w:t>
      </w:r>
      <w:r>
        <w:t xml:space="preserve"> </w:t>
      </w:r>
      <w:r>
        <w:t xml:space="preserve">(addressed via system configuration, per DC-002), or</w:t>
      </w:r>
      <w:r>
        <w:t xml:space="preserve"> </w:t>
      </w:r>
      <w:r>
        <w:rPr>
          <w:b/>
          <w:bCs/>
        </w:rPr>
        <w:t xml:space="preserve">Process</w:t>
      </w:r>
      <w:r>
        <w:t xml:space="preserve"> </w:t>
      </w:r>
      <w:r>
        <w:t xml:space="preserve">(addressed via organisational procedure and consultant guidance).</w:t>
      </w:r>
    </w:p>
    <w:p>
      <w:r>
        <w:pict>
          <v:rect style="width:0;height:1.5pt" o:hralign="center" o:hrstd="t" o:hr="t"/>
        </w:pict>
      </w:r>
    </w:p>
    <w:bookmarkStart w:id="47" w:name="X2c137a056d335123e2c949a22db779030e22f14"/>
    <w:p>
      <w:pPr>
        <w:pStyle w:val="Heading2"/>
      </w:pPr>
      <w:r>
        <w:t xml:space="preserve">5.1 Parliament Budget Committee — Value for Money</w:t>
      </w:r>
    </w:p>
    <w:p>
      <w:pPr>
        <w:pStyle w:val="FirstParagraph"/>
      </w:pPr>
      <w:r>
        <w:rPr>
          <w:b/>
          <w:bCs/>
        </w:rPr>
        <w:t xml:space="preserve">Concern:</w:t>
      </w:r>
      <w:r>
        <w:t xml:space="preserve"> </w:t>
      </w:r>
      <w:r>
        <w:t xml:space="preserve">Parliament has invested UGX 200 billion (~$54M) in BIRDC over 20 years. The Budget Committee expects the ERP system to demonstrate that this investment is being managed responsibly and that BIRDC can account for every shilling of parliamentary budget vote expenditure.</w:t>
      </w:r>
    </w:p>
    <w:p>
      <w:pPr>
        <w:pStyle w:val="BodyText"/>
      </w:pPr>
      <w:r>
        <w:rPr>
          <w:b/>
          <w:bCs/>
        </w:rPr>
        <w:t xml:space="preserve">Specific concerns:</w:t>
      </w:r>
    </w:p>
    <w:p>
      <w:pPr>
        <w:pStyle w:val="Compact"/>
        <w:numPr>
          <w:ilvl w:val="0"/>
          <w:numId w:val="1003"/>
        </w:numPr>
      </w:pPr>
      <w:r>
        <w:t xml:space="preserve">Whether the system produces reports that satisfy parliamentary accounting standards (not just private-sector IFRS).</w:t>
      </w:r>
    </w:p>
    <w:p>
      <w:pPr>
        <w:pStyle w:val="Compact"/>
        <w:numPr>
          <w:ilvl w:val="0"/>
          <w:numId w:val="1003"/>
        </w:numPr>
      </w:pPr>
      <w:r>
        <w:t xml:space="preserve">Whether the system creates over-dependence on an external vendor.</w:t>
      </w:r>
    </w:p>
    <w:p>
      <w:pPr>
        <w:pStyle w:val="Compact"/>
        <w:numPr>
          <w:ilvl w:val="0"/>
          <w:numId w:val="1003"/>
        </w:numPr>
      </w:pPr>
      <w:r>
        <w:t xml:space="preserve">Whether the procurement of the ERP system itself is PPDA-compliant.</w:t>
      </w:r>
    </w:p>
    <w:p>
      <w:pPr>
        <w:pStyle w:val="FirstParagraph"/>
      </w:pPr>
      <w:r>
        <w:rPr>
          <w:b/>
          <w:bCs/>
        </w:rPr>
        <w:t xml:space="preserve">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w:t>
            </w:r>
          </w:p>
        </w:tc>
        <w:tc>
          <w:tcPr/>
          <w:p>
            <w:pPr>
              <w:pStyle w:val="Compact"/>
            </w:pPr>
            <w:r>
              <w:t xml:space="preserve">Classification</w:t>
            </w:r>
          </w:p>
        </w:tc>
      </w:tr>
      <w:tr>
        <w:tc>
          <w:tcPr/>
          <w:p>
            <w:pPr>
              <w:pStyle w:val="Compact"/>
            </w:pPr>
            <w:r>
              <w:t xml:space="preserve">Parliamentary accounting standards</w:t>
            </w:r>
          </w:p>
        </w:tc>
        <w:tc>
          <w:tcPr/>
          <w:p>
            <w:pPr>
              <w:pStyle w:val="Compact"/>
            </w:pPr>
            <w:r>
              <w:t xml:space="preserve">Dual-mode accounting (F-005, F-008) maintains PIBID parliamentary budget votes and BIRDC commercial accounts simultaneously. Statement of Receipts and Payments and Budget vs. Actual by Vote Code are generated natively (US-099).</w:t>
            </w:r>
          </w:p>
        </w:tc>
        <w:tc>
          <w:tcPr/>
          <w:p>
            <w:pPr>
              <w:pStyle w:val="Compact"/>
            </w:pPr>
            <w:r>
              <w:t xml:space="preserve">System Design</w:t>
            </w:r>
          </w:p>
        </w:tc>
      </w:tr>
      <w:tr>
        <w:tc>
          <w:tcPr/>
          <w:p>
            <w:pPr>
              <w:pStyle w:val="Compact"/>
            </w:pPr>
            <w:r>
              <w:t xml:space="preserve">External vendor dependence</w:t>
            </w:r>
          </w:p>
        </w:tc>
        <w:tc>
          <w:tcPr/>
          <w:p>
            <w:pPr>
              <w:pStyle w:val="Compact"/>
            </w:pPr>
            <w:r>
              <w:t xml:space="preserve">DC-006 (Data Sovereignty): all BIRDC data is hosted on BIRDC's own servers in Uganda. The system is licensed to BIRDC; no SaaS vendor holds data as leverage. DC-007 (Replicable by Design): the same codebase is configurable for any Uganda government entity, reducing dependency on single-vendor expertise.</w:t>
            </w:r>
          </w:p>
        </w:tc>
        <w:tc>
          <w:tcPr/>
          <w:p>
            <w:pPr>
              <w:pStyle w:val="Compact"/>
            </w:pPr>
            <w:r>
              <w:t xml:space="preserve">System Design</w:t>
            </w:r>
          </w:p>
        </w:tc>
      </w:tr>
      <w:tr>
        <w:tc>
          <w:tcPr/>
          <w:p>
            <w:pPr>
              <w:pStyle w:val="Compact"/>
            </w:pPr>
            <w:r>
              <w:t xml:space="preserve">ERP procurement compliance</w:t>
            </w:r>
          </w:p>
        </w:tc>
        <w:tc>
          <w:tcPr/>
          <w:p>
            <w:pPr>
              <w:pStyle w:val="Compact"/>
            </w:pPr>
            <w:r>
              <w:t xml:space="preserve">The ERP procurement process itself is executed under the PPDA Act. The consultant prepares a compliant specification document that BIRDC uses as the basis for tendering. All procurement documentation is maintained in the system post-go-live.</w:t>
            </w:r>
          </w:p>
        </w:tc>
        <w:tc>
          <w:tcPr/>
          <w:p>
            <w:pPr>
              <w:pStyle w:val="Compact"/>
            </w:pPr>
            <w:r>
              <w:t xml:space="preserve">Process</w:t>
            </w:r>
          </w:p>
        </w:tc>
      </w:tr>
      <w:tr>
        <w:tc>
          <w:tcPr/>
          <w:p>
            <w:pPr>
              <w:pStyle w:val="Compact"/>
            </w:pPr>
            <w:r>
              <w:t xml:space="preserve">Transparency of expenditure</w:t>
            </w:r>
          </w:p>
        </w:tc>
        <w:tc>
          <w:tcPr/>
          <w:p>
            <w:pPr>
              <w:pStyle w:val="Compact"/>
            </w:pPr>
            <w:r>
              <w:t xml:space="preserve">Budget vote utilisation is visible in real time. Automatic alerts at 80% and 95% utilisation (BR-014). Director-level override with written justification required for over-vote expenditure (US-080).</w:t>
            </w:r>
          </w:p>
        </w:tc>
        <w:tc>
          <w:tcPr/>
          <w:p>
            <w:pPr>
              <w:pStyle w:val="Compact"/>
            </w:pPr>
            <w:r>
              <w:t xml:space="preserve">System Design</w:t>
            </w:r>
          </w:p>
        </w:tc>
      </w:tr>
    </w:tbl>
    <w:p>
      <w:r>
        <w:pict>
          <v:rect style="width:0;height:1.5pt" o:hralign="center" o:hrstd="t" o:hr="t"/>
        </w:pict>
      </w:r>
    </w:p>
    <w:bookmarkEnd w:id="47"/>
    <w:bookmarkStart w:id="48" w:name="Xaf6ec79c9d07f327ec5a92b17948b5c376d07dc"/>
    <w:p>
      <w:pPr>
        <w:pStyle w:val="Heading2"/>
      </w:pPr>
      <w:r>
        <w:t xml:space="preserve">5.2 Finance Director — Dual-Mode Accounting Correctness</w:t>
      </w:r>
    </w:p>
    <w:p>
      <w:pPr>
        <w:pStyle w:val="FirstParagraph"/>
      </w:pPr>
      <w:r>
        <w:rPr>
          <w:b/>
          <w:bCs/>
        </w:rPr>
        <w:t xml:space="preserve">Concern:</w:t>
      </w:r>
      <w:r>
        <w:t xml:space="preserve"> </w:t>
      </w:r>
      <w:r>
        <w:t xml:space="preserve">Grace currently reconciles two separate Excel workbooks: one for PIBID parliamentary accounts, one for BIRDC commercial accounts. She is acutely concerned that a single-database dual-mode system may produce reports that are internally inconsistent — PIBID parliamentary totals that do not agree with what Parliament expects, or IFRS commercial statements that diverge from the GL.</w:t>
      </w:r>
    </w:p>
    <w:p>
      <w:pPr>
        <w:pStyle w:val="BodyText"/>
      </w:pPr>
      <w:r>
        <w:rPr>
          <w:b/>
          <w:bCs/>
        </w:rPr>
        <w:t xml:space="preserve">Specific concerns:</w:t>
      </w:r>
    </w:p>
    <w:p>
      <w:pPr>
        <w:pStyle w:val="Compact"/>
        <w:numPr>
          <w:ilvl w:val="0"/>
          <w:numId w:val="1004"/>
        </w:numPr>
      </w:pPr>
      <w:r>
        <w:t xml:space="preserve">Whether parliamentary vote codes and commercial account codes are correctly separated at the transaction level.</w:t>
      </w:r>
    </w:p>
    <w:p>
      <w:pPr>
        <w:pStyle w:val="Compact"/>
        <w:numPr>
          <w:ilvl w:val="0"/>
          <w:numId w:val="1004"/>
        </w:numPr>
      </w:pPr>
      <w:r>
        <w:t xml:space="preserve">Whether the system can generate a reconciliation that proves the two modes are internally consistent.</w:t>
      </w:r>
    </w:p>
    <w:p>
      <w:pPr>
        <w:pStyle w:val="Compact"/>
        <w:numPr>
          <w:ilvl w:val="0"/>
          <w:numId w:val="1004"/>
        </w:numPr>
      </w:pPr>
      <w:r>
        <w:t xml:space="preserve">Whether the hash chain audit trail will satisfy the OAG auditor who expects tamper-evident records.</w:t>
      </w:r>
    </w:p>
    <w:p>
      <w:pPr>
        <w:pStyle w:val="FirstParagraph"/>
      </w:pPr>
      <w:r>
        <w:rPr>
          <w:b/>
          <w:bCs/>
        </w:rPr>
        <w:t xml:space="preserve">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w:t>
            </w:r>
          </w:p>
        </w:tc>
        <w:tc>
          <w:tcPr/>
          <w:p>
            <w:pPr>
              <w:pStyle w:val="Compact"/>
            </w:pPr>
            <w:r>
              <w:t xml:space="preserve">Classification</w:t>
            </w:r>
          </w:p>
        </w:tc>
      </w:tr>
      <w:tr>
        <w:tc>
          <w:tcPr/>
          <w:p>
            <w:pPr>
              <w:pStyle w:val="Compact"/>
            </w:pPr>
            <w:r>
              <w:t xml:space="preserve">Vote code / account code separation</w:t>
            </w:r>
          </w:p>
        </w:tc>
        <w:tc>
          <w:tcPr/>
          <w:p>
            <w:pPr>
              <w:pStyle w:val="Compact"/>
            </w:pPr>
            <w:r>
              <w:t xml:space="preserve">Every transaction is tagged at entry with the accounting mode (PIBID parliamentary or BIRDC commercial) and the applicable account code and vote code. The chart of accounts includes 1,307 accounts with parliamentary vote codes mapped at account level — no manual tagging per transaction is required.</w:t>
            </w:r>
          </w:p>
        </w:tc>
        <w:tc>
          <w:tcPr/>
          <w:p>
            <w:pPr>
              <w:pStyle w:val="Compact"/>
            </w:pPr>
            <w:r>
              <w:t xml:space="preserve">System Design</w:t>
            </w:r>
          </w:p>
        </w:tc>
      </w:tr>
      <w:tr>
        <w:tc>
          <w:tcPr/>
          <w:p>
            <w:pPr>
              <w:pStyle w:val="Compact"/>
            </w:pPr>
            <w:r>
              <w:t xml:space="preserve">Internal consistency of the two modes</w:t>
            </w:r>
          </w:p>
        </w:tc>
        <w:tc>
          <w:tcPr/>
          <w:p>
            <w:pPr>
              <w:pStyle w:val="Compact"/>
            </w:pPr>
            <w:r>
              <w:t xml:space="preserve">A Dual-Mode Reconciliation Report cross-checks that the sum of all parliamentary vote expenditures equals the corresponding GL account balances for the PIBID mode, and that consolidated statements correctly aggregate both modes. The report auto-flags any discrepancy to Grace.</w:t>
            </w:r>
          </w:p>
        </w:tc>
        <w:tc>
          <w:tcPr/>
          <w:p>
            <w:pPr>
              <w:pStyle w:val="Compact"/>
            </w:pPr>
            <w:r>
              <w:t xml:space="preserve">System Design</w:t>
            </w:r>
          </w:p>
        </w:tc>
      </w:tr>
      <w:tr>
        <w:tc>
          <w:tcPr/>
          <w:p>
            <w:pPr>
              <w:pStyle w:val="Compact"/>
            </w:pPr>
            <w:r>
              <w:t xml:space="preserve">Tamper-evident audit trail</w:t>
            </w:r>
          </w:p>
        </w:tc>
        <w:tc>
          <w:tcPr/>
          <w:p>
            <w:pPr>
              <w:pStyle w:val="Compact"/>
            </w:pPr>
            <w:r>
              <w:t xml:space="preserve">BR-013 (GL Hash Chain): every GL entry is cryptographically linked to the previous entry. Grace can trigger a hash chain integrity verification at any time (US-026). The OAG auditor accesses the integrity report directly from the system.</w:t>
            </w:r>
          </w:p>
        </w:tc>
        <w:tc>
          <w:tcPr/>
          <w:p>
            <w:pPr>
              <w:pStyle w:val="Compact"/>
            </w:pPr>
            <w:r>
              <w:t xml:space="preserve">System Design</w:t>
            </w:r>
          </w:p>
        </w:tc>
      </w:tr>
      <w:tr>
        <w:tc>
          <w:tcPr/>
          <w:p>
            <w:pPr>
              <w:pStyle w:val="Compact"/>
            </w:pPr>
            <w:r>
              <w:t xml:space="preserve">Period-close independence</w:t>
            </w:r>
          </w:p>
        </w:tc>
        <w:tc>
          <w:tcPr/>
          <w:p>
            <w:pPr>
              <w:pStyle w:val="Compact"/>
            </w:pPr>
            <w:r>
              <w:t xml:space="preserve">Financial statements are available on demand without period closing (DC-003). Grace can generate the Trial Balance, P&amp;L, and Balance Sheet at any moment (US-023, US-029).</w:t>
            </w:r>
          </w:p>
        </w:tc>
        <w:tc>
          <w:tcPr/>
          <w:p>
            <w:pPr>
              <w:pStyle w:val="Compact"/>
            </w:pPr>
            <w:r>
              <w:t xml:space="preserve">System Design</w:t>
            </w:r>
          </w:p>
        </w:tc>
      </w:tr>
    </w:tbl>
    <w:p>
      <w:r>
        <w:pict>
          <v:rect style="width:0;height:1.5pt" o:hralign="center" o:hrstd="t" o:hr="t"/>
        </w:pict>
      </w:r>
    </w:p>
    <w:bookmarkEnd w:id="48"/>
    <w:bookmarkStart w:id="49" w:name="X5b54500a2525af2035227e71dda260d9b63b4aa"/>
    <w:p>
      <w:pPr>
        <w:pStyle w:val="Heading2"/>
      </w:pPr>
      <w:r>
        <w:t xml:space="preserve">5.3 Field Sales Agents — Offline Reliability and Balance Accuracy</w:t>
      </w:r>
    </w:p>
    <w:p>
      <w:pPr>
        <w:pStyle w:val="FirstParagraph"/>
      </w:pPr>
      <w:r>
        <w:rPr>
          <w:b/>
          <w:bCs/>
        </w:rPr>
        <w:t xml:space="preserve">Concern:</w:t>
      </w:r>
      <w:r>
        <w:t xml:space="preserve"> </w:t>
      </w:r>
      <w:r>
        <w:t xml:space="preserve">1,071 field sales agents operate in areas with intermittent or no 3G/4G coverage. Samuel (the agent persona) reports that agents lose trust in a system when the balance it shows differs from their manual calculation. Agents also fear that offline transactions may be lost or duplicated during sync, creating incorrect balances.</w:t>
      </w:r>
    </w:p>
    <w:p>
      <w:pPr>
        <w:pStyle w:val="BodyText"/>
      </w:pPr>
      <w:r>
        <w:rPr>
          <w:b/>
          <w:bCs/>
        </w:rPr>
        <w:t xml:space="preserve">Specific concerns:</w:t>
      </w:r>
    </w:p>
    <w:p>
      <w:pPr>
        <w:pStyle w:val="Compact"/>
        <w:numPr>
          <w:ilvl w:val="0"/>
          <w:numId w:val="1005"/>
        </w:numPr>
      </w:pPr>
      <w:r>
        <w:t xml:space="preserve">Whether offline transactions will be lost if the phone dies before syncing.</w:t>
      </w:r>
    </w:p>
    <w:p>
      <w:pPr>
        <w:pStyle w:val="Compact"/>
        <w:numPr>
          <w:ilvl w:val="0"/>
          <w:numId w:val="1005"/>
        </w:numPr>
      </w:pPr>
      <w:r>
        <w:t xml:space="preserve">Whether the agent cash balance the system shows can be trusted as accurate.</w:t>
      </w:r>
    </w:p>
    <w:p>
      <w:pPr>
        <w:pStyle w:val="Compact"/>
        <w:numPr>
          <w:ilvl w:val="0"/>
          <w:numId w:val="1005"/>
        </w:numPr>
      </w:pPr>
      <w:r>
        <w:t xml:space="preserve">Whether the FIFO remittance allocation is transparent enough for agents to understand their outstanding balance.</w:t>
      </w:r>
    </w:p>
    <w:p>
      <w:pPr>
        <w:pStyle w:val="FirstParagraph"/>
      </w:pPr>
      <w:r>
        <w:rPr>
          <w:b/>
          <w:bCs/>
        </w:rPr>
        <w:t xml:space="preserve">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w:t>
            </w:r>
          </w:p>
        </w:tc>
        <w:tc>
          <w:tcPr/>
          <w:p>
            <w:pPr>
              <w:pStyle w:val="Compact"/>
            </w:pPr>
            <w:r>
              <w:t xml:space="preserve">Classification</w:t>
            </w:r>
          </w:p>
        </w:tc>
      </w:tr>
      <w:tr>
        <w:tc>
          <w:tcPr/>
          <w:p>
            <w:pPr>
              <w:pStyle w:val="Compact"/>
            </w:pPr>
            <w:r>
              <w:t xml:space="preserve">Offline transaction durability</w:t>
            </w:r>
          </w:p>
        </w:tc>
        <w:tc>
          <w:tcPr/>
          <w:p>
            <w:pPr>
              <w:pStyle w:val="Compact"/>
            </w:pPr>
            <w:r>
              <w:t xml:space="preserve">Offline transactions are stored in the device's local SQLite database with write-ahead logging (WAL mode). The database survives app restarts and device reboots. On sync, the server uses the device-generated transaction ID to detect and reject duplicates.</w:t>
            </w:r>
          </w:p>
        </w:tc>
        <w:tc>
          <w:tcPr/>
          <w:p>
            <w:pPr>
              <w:pStyle w:val="Compact"/>
            </w:pPr>
            <w:r>
              <w:t xml:space="preserve">System Design</w:t>
            </w:r>
          </w:p>
        </w:tc>
      </w:tr>
      <w:tr>
        <w:tc>
          <w:tcPr/>
          <w:p>
            <w:pPr>
              <w:pStyle w:val="Compact"/>
            </w:pPr>
            <w:r>
              <w:t xml:space="preserve">Balance accuracy</w:t>
            </w:r>
          </w:p>
        </w:tc>
        <w:tc>
          <w:tcPr/>
          <w:p>
            <w:pPr>
              <w:pStyle w:val="Compact"/>
            </w:pPr>
            <w:r>
              <w:t xml:space="preserve">The agent cash balance is calculated as a deterministic formula: Total Invoiced Sales minus Total Verified Remittances. The formula is the same on the device (offline) and on the server; the sync reconciles both ledgers to zero variance.</w:t>
            </w:r>
          </w:p>
        </w:tc>
        <w:tc>
          <w:tcPr/>
          <w:p>
            <w:pPr>
              <w:pStyle w:val="Compact"/>
            </w:pPr>
            <w:r>
              <w:t xml:space="preserve">System Design</w:t>
            </w:r>
          </w:p>
        </w:tc>
      </w:tr>
      <w:tr>
        <w:tc>
          <w:tcPr/>
          <w:p>
            <w:pPr>
              <w:pStyle w:val="Compact"/>
            </w:pPr>
            <w:r>
              <w:t xml:space="preserve">FIFO remittance transparency</w:t>
            </w:r>
          </w:p>
        </w:tc>
        <w:tc>
          <w:tcPr/>
          <w:p>
            <w:pPr>
              <w:pStyle w:val="Compact"/>
            </w:pPr>
            <w:r>
              <w:t xml:space="preserve">After each verified remittance, the system sends the agent a notification showing: which invoices were cleared by the remittance, the amount applied to each, and the new outstanding balance — providing a full allocation breakdown (US-012, US-019).</w:t>
            </w:r>
          </w:p>
        </w:tc>
        <w:tc>
          <w:tcPr/>
          <w:p>
            <w:pPr>
              <w:pStyle w:val="Compact"/>
            </w:pPr>
            <w:r>
              <w:t xml:space="preserve">System Design</w:t>
            </w:r>
          </w:p>
        </w:tc>
      </w:tr>
      <w:tr>
        <w:tc>
          <w:tcPr/>
          <w:p>
            <w:pPr>
              <w:pStyle w:val="Compact"/>
            </w:pPr>
            <w:r>
              <w:t xml:space="preserve">Commission trust</w:t>
            </w:r>
          </w:p>
        </w:tc>
        <w:tc>
          <w:tcPr/>
          <w:p>
            <w:pPr>
              <w:pStyle w:val="Compact"/>
            </w:pPr>
            <w:r>
              <w:t xml:space="preserve">Commission is calculated on verified remittances only (BR-015). The agent commission statement shows the invoice-by-invoice breakdown of commission earned (US-014).</w:t>
            </w:r>
          </w:p>
        </w:tc>
        <w:tc>
          <w:tcPr/>
          <w:p>
            <w:pPr>
              <w:pStyle w:val="Compact"/>
            </w:pPr>
            <w:r>
              <w:t xml:space="preserve">System Design</w:t>
            </w:r>
          </w:p>
        </w:tc>
      </w:tr>
    </w:tbl>
    <w:p>
      <w:r>
        <w:pict>
          <v:rect style="width:0;height:1.5pt" o:hralign="center" o:hrstd="t" o:hr="t"/>
        </w:pict>
      </w:r>
    </w:p>
    <w:bookmarkEnd w:id="49"/>
    <w:bookmarkStart w:id="50" w:name="X6bbe8bcec4c6f8a1230124fb9ebc73398c5f7ee"/>
    <w:p>
      <w:pPr>
        <w:pStyle w:val="Heading2"/>
      </w:pPr>
      <w:r>
        <w:t xml:space="preserve">5.4 Cooperative Farmers — Payment Accuracy</w:t>
      </w:r>
    </w:p>
    <w:p>
      <w:pPr>
        <w:pStyle w:val="FirstParagraph"/>
      </w:pPr>
      <w:r>
        <w:rPr>
          <w:b/>
          <w:bCs/>
        </w:rPr>
        <w:t xml:space="preserve">Concern:</w:t>
      </w:r>
      <w:r>
        <w:t xml:space="preserve"> </w:t>
      </w:r>
      <w:r>
        <w:t xml:space="preserve">6,440+ smallholder farmers depend on BIRDC payments for their livelihoods. Farmers have experienced payment disputes in the manual system where their recorded delivery weight or quality grade was disputed and they received less than expected. Farmers' unions have raised the accuracy of individual contribution tracking as a precondition for continued cooperative participation.</w:t>
      </w:r>
    </w:p>
    <w:p>
      <w:pPr>
        <w:pStyle w:val="BodyText"/>
      </w:pPr>
      <w:r>
        <w:rPr>
          <w:b/>
          <w:bCs/>
        </w:rPr>
        <w:t xml:space="preserve">Specific concerns:</w:t>
      </w:r>
    </w:p>
    <w:p>
      <w:pPr>
        <w:pStyle w:val="Compact"/>
        <w:numPr>
          <w:ilvl w:val="0"/>
          <w:numId w:val="1006"/>
        </w:numPr>
      </w:pPr>
      <w:r>
        <w:t xml:space="preserve">Whether their individual delivery weight and quality grade will be accurately recorded.</w:t>
      </w:r>
    </w:p>
    <w:p>
      <w:pPr>
        <w:pStyle w:val="Compact"/>
        <w:numPr>
          <w:ilvl w:val="0"/>
          <w:numId w:val="1006"/>
        </w:numPr>
      </w:pPr>
      <w:r>
        <w:t xml:space="preserve">Whether deductions (loan repayments, cooperative levies) will be transparently disclosed before payment.</w:t>
      </w:r>
    </w:p>
    <w:p>
      <w:pPr>
        <w:pStyle w:val="Compact"/>
        <w:numPr>
          <w:ilvl w:val="0"/>
          <w:numId w:val="1006"/>
        </w:numPr>
      </w:pPr>
      <w:r>
        <w:t xml:space="preserve">Whether they will be notified of payment and be able to verify the amount.</w:t>
      </w:r>
    </w:p>
    <w:p>
      <w:pPr>
        <w:pStyle w:val="FirstParagraph"/>
      </w:pPr>
      <w:r>
        <w:rPr>
          <w:b/>
          <w:bCs/>
        </w:rPr>
        <w:t xml:space="preserve">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w:t>
            </w:r>
          </w:p>
        </w:tc>
        <w:tc>
          <w:tcPr/>
          <w:p>
            <w:pPr>
              <w:pStyle w:val="Compact"/>
            </w:pPr>
            <w:r>
              <w:t xml:space="preserve">Classification</w:t>
            </w:r>
          </w:p>
        </w:tc>
      </w:tr>
      <w:tr>
        <w:tc>
          <w:tcPr/>
          <w:p>
            <w:pPr>
              <w:pStyle w:val="Compact"/>
            </w:pPr>
            <w:r>
              <w:t xml:space="preserve">Weight accuracy</w:t>
            </w:r>
          </w:p>
        </w:tc>
        <w:tc>
          <w:tcPr/>
          <w:p>
            <w:pPr>
              <w:pStyle w:val="Compact"/>
            </w:pPr>
            <w:r>
              <w:t xml:space="preserve">Bluetooth scale integration in the Farmer Delivery App eliminates manual transcription of weight readings (US-071). Manually entered weights are flagged "M" in the record.</w:t>
            </w:r>
          </w:p>
        </w:tc>
        <w:tc>
          <w:tcPr/>
          <w:p>
            <w:pPr>
              <w:pStyle w:val="Compact"/>
            </w:pPr>
            <w:r>
              <w:t xml:space="preserve">System Design</w:t>
            </w:r>
          </w:p>
        </w:tc>
      </w:tr>
      <w:tr>
        <w:tc>
          <w:tcPr/>
          <w:p>
            <w:pPr>
              <w:pStyle w:val="Compact"/>
            </w:pPr>
            <w:r>
              <w:t xml:space="preserve">Quality grade dispute</w:t>
            </w:r>
          </w:p>
        </w:tc>
        <w:tc>
          <w:tcPr/>
          <w:p>
            <w:pPr>
              <w:pStyle w:val="Compact"/>
            </w:pPr>
            <w:r>
              <w:t xml:space="preserve">The quality grade recorded at the collection point by Patrick (Collections Officer) is visible in the farmer's contribution record. Farmers receive a printed receipt at the collection point showing weight and grade (US-072).</w:t>
            </w:r>
          </w:p>
        </w:tc>
        <w:tc>
          <w:tcPr/>
          <w:p>
            <w:pPr>
              <w:pStyle w:val="Compact"/>
            </w:pPr>
            <w:r>
              <w:t xml:space="preserve">System Design</w:t>
            </w:r>
          </w:p>
        </w:tc>
      </w:tr>
      <w:tr>
        <w:tc>
          <w:tcPr/>
          <w:p>
            <w:pPr>
              <w:pStyle w:val="Compact"/>
            </w:pPr>
            <w:r>
              <w:t xml:space="preserve">Deduction transparency</w:t>
            </w:r>
          </w:p>
        </w:tc>
        <w:tc>
          <w:tcPr/>
          <w:p>
            <w:pPr>
              <w:pStyle w:val="Compact"/>
            </w:pPr>
            <w:r>
              <w:t xml:space="preserve">The farmer's individual contribution record shows: gross payable, each deduction type and amount (loan repayment, cooperative levy), and net payable (US-047). This data is available in the Farmer Delivery App and in the Farmer Management module.</w:t>
            </w:r>
          </w:p>
        </w:tc>
        <w:tc>
          <w:tcPr/>
          <w:p>
            <w:pPr>
              <w:pStyle w:val="Compact"/>
            </w:pPr>
            <w:r>
              <w:t xml:space="preserve">System Design</w:t>
            </w:r>
          </w:p>
        </w:tc>
      </w:tr>
      <w:tr>
        <w:tc>
          <w:tcPr/>
          <w:p>
            <w:pPr>
              <w:pStyle w:val="Compact"/>
            </w:pPr>
            <w:r>
              <w:t xml:space="preserve">Payment notification</w:t>
            </w:r>
          </w:p>
        </w:tc>
        <w:tc>
          <w:tcPr/>
          <w:p>
            <w:pPr>
              <w:pStyle w:val="Compact"/>
            </w:pPr>
            <w:r>
              <w:t xml:space="preserve">When the bulk mobile money payment batch is processed, each farmer receives an SMS payment confirmation from the mobile money provider with the payment amount and transaction reference (US-030).</w:t>
            </w:r>
          </w:p>
        </w:tc>
        <w:tc>
          <w:tcPr/>
          <w:p>
            <w:pPr>
              <w:pStyle w:val="Compact"/>
            </w:pPr>
            <w:r>
              <w:t xml:space="preserve">System Design</w:t>
            </w:r>
          </w:p>
        </w:tc>
      </w:tr>
      <w:tr>
        <w:tc>
          <w:tcPr/>
          <w:p>
            <w:pPr>
              <w:pStyle w:val="Compact"/>
            </w:pPr>
            <w:r>
              <w:t xml:space="preserve">Historical access</w:t>
            </w:r>
          </w:p>
        </w:tc>
        <w:tc>
          <w:tcPr/>
          <w:p>
            <w:pPr>
              <w:pStyle w:val="Compact"/>
            </w:pPr>
            <w:r>
              <w:t xml:space="preserve">Patrick can retrieve any farmer's full delivery and payment history from the Farmer Delivery App to answer farmer queries in the field (US-076).</w:t>
            </w:r>
          </w:p>
        </w:tc>
        <w:tc>
          <w:tcPr/>
          <w:p>
            <w:pPr>
              <w:pStyle w:val="Compact"/>
            </w:pPr>
            <w:r>
              <w:t xml:space="preserve">System Design</w:t>
            </w:r>
          </w:p>
        </w:tc>
      </w:tr>
    </w:tbl>
    <w:p>
      <w:r>
        <w:pict>
          <v:rect style="width:0;height:1.5pt" o:hralign="center" o:hrstd="t" o:hr="t"/>
        </w:pict>
      </w:r>
    </w:p>
    <w:bookmarkEnd w:id="50"/>
    <w:bookmarkStart w:id="51" w:name="X38be5f773b305eae046686b4105ecf8f96289a7"/>
    <w:p>
      <w:pPr>
        <w:pStyle w:val="Heading2"/>
      </w:pPr>
      <w:r>
        <w:t xml:space="preserve">5.5 Auditor General (OAG Uganda) — Audit Trail Completeness</w:t>
      </w:r>
    </w:p>
    <w:p>
      <w:pPr>
        <w:pStyle w:val="FirstParagraph"/>
      </w:pPr>
      <w:r>
        <w:rPr>
          <w:b/>
          <w:bCs/>
        </w:rPr>
        <w:t xml:space="preserve">Concern:</w:t>
      </w:r>
      <w:r>
        <w:t xml:space="preserve"> </w:t>
      </w:r>
      <w:r>
        <w:t xml:space="preserve">The OAG Uganda is the supreme audit institution for BIRDC's parliamentary expenditure. The OAG expects that the ERP system produces a complete, tamper-evident audit trail for every financial transaction, and that the audit team can access any transaction from the last 7 years without requiring BIRDC staff to generate manual extracts.</w:t>
      </w:r>
    </w:p>
    <w:p>
      <w:pPr>
        <w:pStyle w:val="BodyText"/>
      </w:pPr>
      <w:r>
        <w:rPr>
          <w:b/>
          <w:bCs/>
        </w:rPr>
        <w:t xml:space="preserve">Specific concerns:</w:t>
      </w:r>
    </w:p>
    <w:p>
      <w:pPr>
        <w:pStyle w:val="Compact"/>
        <w:numPr>
          <w:ilvl w:val="0"/>
          <w:numId w:val="1007"/>
        </w:numPr>
      </w:pPr>
      <w:r>
        <w:t xml:space="preserve">Whether the audit trail is truly tamper-evident (not just a software log that can be deleted by an administrator).</w:t>
      </w:r>
    </w:p>
    <w:p>
      <w:pPr>
        <w:pStyle w:val="Compact"/>
        <w:numPr>
          <w:ilvl w:val="0"/>
          <w:numId w:val="1007"/>
        </w:numPr>
      </w:pPr>
      <w:r>
        <w:t xml:space="preserve">Whether the 7-year retention requirement under the Uganda Companies Act and Income Tax Act is met.</w:t>
      </w:r>
    </w:p>
    <w:p>
      <w:pPr>
        <w:pStyle w:val="Compact"/>
        <w:numPr>
          <w:ilvl w:val="0"/>
          <w:numId w:val="1007"/>
        </w:numPr>
      </w:pPr>
      <w:r>
        <w:t xml:space="preserve">Whether the OAG auditor can trace every payment from the bank statement back to the original transaction trigger (invoice, PO, production order) without manual cross-referencing.</w:t>
      </w:r>
    </w:p>
    <w:p>
      <w:pPr>
        <w:pStyle w:val="FirstParagraph"/>
      </w:pPr>
      <w:r>
        <w:rPr>
          <w:b/>
          <w:bCs/>
        </w:rPr>
        <w:t xml:space="preserve">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w:t>
            </w:r>
          </w:p>
        </w:tc>
        <w:tc>
          <w:tcPr/>
          <w:p>
            <w:pPr>
              <w:pStyle w:val="Compact"/>
            </w:pPr>
            <w:r>
              <w:t xml:space="preserve">Classification</w:t>
            </w:r>
          </w:p>
        </w:tc>
      </w:tr>
      <w:tr>
        <w:tc>
          <w:tcPr/>
          <w:p>
            <w:pPr>
              <w:pStyle w:val="Compact"/>
            </w:pPr>
            <w:r>
              <w:t xml:space="preserve">Tamper-evident records</w:t>
            </w:r>
          </w:p>
        </w:tc>
        <w:tc>
          <w:tcPr/>
          <w:p>
            <w:pPr>
              <w:pStyle w:val="Compact"/>
            </w:pPr>
            <w:r>
              <w:t xml:space="preserve">BR-013 (GL Hash Chain Integrity): every GL entry contains the cryptographic SHA-256 hash of the previous entry. Any modification to a historical record breaks the chain. The hash chain verification function is accessible to the Finance Director and OAG auditor directly from the system and produces a dated certificate (US-026).</w:t>
            </w:r>
          </w:p>
        </w:tc>
        <w:tc>
          <w:tcPr/>
          <w:p>
            <w:pPr>
              <w:pStyle w:val="Compact"/>
            </w:pPr>
            <w:r>
              <w:t xml:space="preserve">System Design</w:t>
            </w:r>
          </w:p>
        </w:tc>
      </w:tr>
      <w:tr>
        <w:tc>
          <w:tcPr/>
          <w:p>
            <w:pPr>
              <w:pStyle w:val="Compact"/>
            </w:pPr>
            <w:r>
              <w:t xml:space="preserve">7-year retention</w:t>
            </w:r>
          </w:p>
        </w:tc>
        <w:tc>
          <w:tcPr/>
          <w:p>
            <w:pPr>
              <w:pStyle w:val="Compact"/>
            </w:pPr>
            <w:r>
              <w:t xml:space="preserve">DC-003 (Audit Readiness by Design): 7-year retention is enforced by the backup retention policy configuration (US-095). The IT Administrator configures a minimum retention period of 84 months; the system rejects any backup deletion policy that would result in records being purged before 7 years.</w:t>
            </w:r>
          </w:p>
        </w:tc>
        <w:tc>
          <w:tcPr/>
          <w:p>
            <w:pPr>
              <w:pStyle w:val="Compact"/>
            </w:pPr>
            <w:r>
              <w:t xml:space="preserve">System Design + Configuration</w:t>
            </w:r>
          </w:p>
        </w:tc>
      </w:tr>
      <w:tr>
        <w:tc>
          <w:tcPr/>
          <w:p>
            <w:pPr>
              <w:pStyle w:val="Compact"/>
            </w:pPr>
            <w:r>
              <w:t xml:space="preserve">End-to-end transaction traceability</w:t>
            </w:r>
          </w:p>
        </w:tc>
        <w:tc>
          <w:tcPr/>
          <w:p>
            <w:pPr>
              <w:pStyle w:val="Compact"/>
            </w:pPr>
            <w:r>
              <w:t xml:space="preserve">Every payment record links to: vendor invoice → GRN → LPO (standard supplier) or cooperative batch record → individual farmer contribution (farmer payment). Every sales invoice links to: customer → POS session or order → EFRIS FDN. The OAG auditor can navigate the full chain from the audit log search screen (US-094).</w:t>
            </w:r>
          </w:p>
        </w:tc>
        <w:tc>
          <w:tcPr/>
          <w:p>
            <w:pPr>
              <w:pStyle w:val="Compact"/>
            </w:pPr>
            <w:r>
              <w:t xml:space="preserve">System Design</w:t>
            </w:r>
          </w:p>
        </w:tc>
      </w:tr>
      <w:tr>
        <w:tc>
          <w:tcPr/>
          <w:p>
            <w:pPr>
              <w:pStyle w:val="Compact"/>
            </w:pPr>
            <w:r>
              <w:t xml:space="preserve">No-manual-reconciliation requirement</w:t>
            </w:r>
          </w:p>
        </w:tc>
        <w:tc>
          <w:tcPr/>
          <w:p>
            <w:pPr>
              <w:pStyle w:val="Compact"/>
            </w:pPr>
            <w:r>
              <w:t xml:space="preserve">The success criterion for Phase 2 delivery is: "External audit (OAG Uganda) requires no manual reconciliation — full audit trail in system." This is a go-live acceptance criterion, not a post-delivery aspiration.</w:t>
            </w:r>
          </w:p>
        </w:tc>
        <w:tc>
          <w:tcPr/>
          <w:p>
            <w:pPr>
              <w:pStyle w:val="Compact"/>
            </w:pPr>
            <w:r>
              <w:t xml:space="preserve">Process</w:t>
            </w:r>
          </w:p>
        </w:tc>
      </w:tr>
      <w:tr>
        <w:tc>
          <w:tcPr/>
          <w:p>
            <w:pPr>
              <w:pStyle w:val="Compact"/>
            </w:pPr>
            <w:r>
              <w:t xml:space="preserve">Audit log access control</w:t>
            </w:r>
          </w:p>
        </w:tc>
        <w:tc>
          <w:tcPr/>
          <w:p>
            <w:pPr>
              <w:pStyle w:val="Compact"/>
            </w:pPr>
            <w:r>
              <w:t xml:space="preserve">The audit log is read-only for all users including the IT Administrator. The OAG auditor is granted read-only access to the audit log for the audit period.</w:t>
            </w:r>
          </w:p>
        </w:tc>
        <w:tc>
          <w:tcPr/>
          <w:p>
            <w:pPr>
              <w:pStyle w:val="Compact"/>
            </w:pPr>
            <w:r>
              <w:t xml:space="preserve">System Design</w:t>
            </w:r>
          </w:p>
        </w:tc>
      </w:tr>
    </w:tbl>
    <w:bookmarkEnd w:id="51"/>
    <w:bookmarkEnd w:id="52"/>
    <w:bookmarkStart w:id="60" w:name="section-6-consultant-engagement-model"/>
    <w:p>
      <w:pPr>
        <w:pStyle w:val="Heading1"/>
      </w:pPr>
      <w:r>
        <w:t xml:space="preserve">Section 6: Consultant Engagement Model</w:t>
      </w:r>
    </w:p>
    <w:bookmarkStart w:id="53" w:name="X16ff12052b3b7c3b5a9d7c2802a427754b29fef"/>
    <w:p>
      <w:pPr>
        <w:pStyle w:val="Heading2"/>
      </w:pPr>
      <w:r>
        <w:t xml:space="preserve">6.1 Role and Authority</w:t>
      </w:r>
    </w:p>
    <w:p>
      <w:pPr>
        <w:pStyle w:val="FirstParagraph"/>
      </w:pPr>
      <w:r>
        <w:t xml:space="preserve">Peter Bamuhigire, ICT Consultant (techguypeter.com), serves as the sole architect, specification author, and delivery authority for all BIRDC ERP documentation deliverables. He is identified as STK-005 in the stakeholder register and holds the following formally scoped authority:</w:t>
      </w:r>
    </w:p>
    <w:p>
      <w:pPr>
        <w:pStyle w:val="Compact"/>
        <w:numPr>
          <w:ilvl w:val="0"/>
          <w:numId w:val="1008"/>
        </w:numPr>
      </w:pPr>
      <w:r>
        <w:rPr>
          <w:b/>
          <w:bCs/>
        </w:rPr>
        <w:t xml:space="preserve">Requirements authority:</w:t>
      </w:r>
      <w:r>
        <w:t xml:space="preserve"> </w:t>
      </w:r>
      <w:r>
        <w:t xml:space="preserve">Peter is the accountable author of all specification documents (SRS, User Stories, Stakeholder Analysis, Design Documents). He consults department heads for domain knowledge and presents drafts to the Finance Director and BIRDC Director for sign-off. No requirements are finalised without the Director's or Finance Director's explicit sign-off.</w:t>
      </w:r>
    </w:p>
    <w:p>
      <w:pPr>
        <w:pStyle w:val="Compact"/>
        <w:numPr>
          <w:ilvl w:val="0"/>
          <w:numId w:val="1008"/>
        </w:numPr>
      </w:pPr>
      <w:r>
        <w:rPr>
          <w:b/>
          <w:bCs/>
        </w:rPr>
        <w:t xml:space="preserve">Architecture authority:</w:t>
      </w:r>
      <w:r>
        <w:t xml:space="preserve"> </w:t>
      </w:r>
      <w:r>
        <w:t xml:space="preserve">Peter designs the system architecture, module boundaries, data model, and integration specifications. The IT Administrator reviews and approves all infrastructure-facing architecture decisions.</w:t>
      </w:r>
    </w:p>
    <w:p>
      <w:pPr>
        <w:pStyle w:val="Compact"/>
        <w:numPr>
          <w:ilvl w:val="0"/>
          <w:numId w:val="1008"/>
        </w:numPr>
      </w:pPr>
      <w:r>
        <w:rPr>
          <w:b/>
          <w:bCs/>
        </w:rPr>
        <w:t xml:space="preserve">Scope change authority:</w:t>
      </w:r>
      <w:r>
        <w:t xml:space="preserve"> </w:t>
      </w:r>
      <w:r>
        <w:t xml:space="preserve">Peter may recommend scope changes but cannot approve them unilaterally. All scope changes require written approval from the BIRDC Director.</w:t>
      </w:r>
    </w:p>
    <w:p>
      <w:pPr>
        <w:pStyle w:val="Compact"/>
        <w:numPr>
          <w:ilvl w:val="0"/>
          <w:numId w:val="1008"/>
        </w:numPr>
      </w:pPr>
      <w:r>
        <w:rPr>
          <w:b/>
          <w:bCs/>
        </w:rPr>
        <w:t xml:space="preserve">Phase-gate authority:</w:t>
      </w:r>
      <w:r>
        <w:t xml:space="preserve"> </w:t>
      </w:r>
      <w:r>
        <w:t xml:space="preserve">Peter chairs all phase-gate reviews and presents the go/no-go recommendation. The BIRDC Director holds the final go/no-go decision authority.</w:t>
      </w:r>
    </w:p>
    <w:p>
      <w:r>
        <w:pict>
          <v:rect style="width:0;height:1.5pt" o:hralign="center" o:hrstd="t" o:hr="t"/>
        </w:pict>
      </w:r>
    </w:p>
    <w:bookmarkEnd w:id="53"/>
    <w:bookmarkStart w:id="54" w:name="X04f1b96a223dcf845220d322f4b87e399f0345d"/>
    <w:p>
      <w:pPr>
        <w:pStyle w:val="Heading2"/>
      </w:pPr>
      <w:r>
        <w:t xml:space="preserve">6.2 Deliverable Milestones</w:t>
      </w:r>
    </w:p>
    <w:p>
      <w:pPr>
        <w:pStyle w:val="FirstParagraph"/>
      </w:pPr>
      <w:r>
        <w:t xml:space="preserve">The table below defines all consultant deliverables, the approving authority, and the acceptance condition for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Approving Authority</w:t>
            </w:r>
          </w:p>
        </w:tc>
        <w:tc>
          <w:tcPr/>
          <w:p>
            <w:pPr>
              <w:pStyle w:val="Compact"/>
            </w:pPr>
            <w:r>
              <w:t xml:space="preserve">Acceptance Condition</w:t>
            </w:r>
          </w:p>
        </w:tc>
      </w:tr>
      <w:tr>
        <w:tc>
          <w:tcPr/>
          <w:p>
            <w:pPr>
              <w:pStyle w:val="Compact"/>
            </w:pPr>
            <w:r>
              <w:t xml:space="preserve">M-01</w:t>
            </w:r>
          </w:p>
        </w:tc>
        <w:tc>
          <w:tcPr/>
          <w:p>
            <w:pPr>
              <w:pStyle w:val="Compact"/>
            </w:pPr>
            <w:r>
              <w:t xml:space="preserve">Project Kickoff and Context Documents</w:t>
            </w:r>
          </w:p>
        </w:tc>
        <w:tc>
          <w:tcPr/>
          <w:p>
            <w:pPr>
              <w:pStyle w:val="Compact"/>
            </w:pPr>
            <w:r>
              <w:t xml:space="preserve">BIRDC Director</w:t>
            </w:r>
          </w:p>
        </w:tc>
        <w:tc>
          <w:tcPr/>
          <w:p>
            <w:pPr>
              <w:pStyle w:val="Compact"/>
            </w:pPr>
            <w:r>
              <w:t xml:space="preserve">All 6</w:t>
            </w:r>
            <w:r>
              <w:t xml:space="preserve"> </w:t>
            </w:r>
            <w:r>
              <w:rPr>
                <w:rStyle w:val="VerbatimChar"/>
              </w:rPr>
              <w:t xml:space="preserve">_context/</w:t>
            </w:r>
            <w:r>
              <w:t xml:space="preserve"> </w:t>
            </w:r>
            <w:r>
              <w:t xml:space="preserve">files reviewed and confirmed accurate by Finance Director and Director</w:t>
            </w:r>
          </w:p>
        </w:tc>
      </w:tr>
      <w:tr>
        <w:tc>
          <w:tcPr/>
          <w:p>
            <w:pPr>
              <w:pStyle w:val="Compact"/>
            </w:pPr>
            <w:r>
              <w:t xml:space="preserve">M-02</w:t>
            </w:r>
          </w:p>
        </w:tc>
        <w:tc>
          <w:tcPr/>
          <w:p>
            <w:pPr>
              <w:pStyle w:val="Compact"/>
            </w:pPr>
            <w:r>
              <w:t xml:space="preserve">Phase 1 SRS Document</w:t>
            </w:r>
          </w:p>
        </w:tc>
        <w:tc>
          <w:tcPr/>
          <w:p>
            <w:pPr>
              <w:pStyle w:val="Compact"/>
            </w:pPr>
            <w:r>
              <w:t xml:space="preserve">Finance Director + BIRDC Director</w:t>
            </w:r>
          </w:p>
        </w:tc>
        <w:tc>
          <w:tcPr/>
          <w:p>
            <w:pPr>
              <w:pStyle w:val="Compact"/>
            </w:pPr>
            <w:r>
              <w:t xml:space="preserve">All FR for F-001, F-002, F-003, F-004 reviewed; no unresolved V&amp;V-FAIL tags</w:t>
            </w:r>
          </w:p>
        </w:tc>
      </w:tr>
      <w:tr>
        <w:tc>
          <w:tcPr/>
          <w:p>
            <w:pPr>
              <w:pStyle w:val="Compact"/>
            </w:pPr>
            <w:r>
              <w:t xml:space="preserve">M-03</w:t>
            </w:r>
          </w:p>
        </w:tc>
        <w:tc>
          <w:tcPr/>
          <w:p>
            <w:pPr>
              <w:pStyle w:val="Compact"/>
            </w:pPr>
            <w:r>
              <w:t xml:space="preserve">Phase 2 SRS Document</w:t>
            </w:r>
          </w:p>
        </w:tc>
        <w:tc>
          <w:tcPr/>
          <w:p>
            <w:pPr>
              <w:pStyle w:val="Compact"/>
            </w:pPr>
            <w:r>
              <w:t xml:space="preserve">Finance Director + BIRDC Director</w:t>
            </w:r>
          </w:p>
        </w:tc>
        <w:tc>
          <w:tcPr/>
          <w:p>
            <w:pPr>
              <w:pStyle w:val="Compact"/>
            </w:pPr>
            <w:r>
              <w:t xml:space="preserve">Dual-mode accounting specification signed off; hash chain design approved</w:t>
            </w:r>
          </w:p>
        </w:tc>
      </w:tr>
      <w:tr>
        <w:tc>
          <w:tcPr/>
          <w:p>
            <w:pPr>
              <w:pStyle w:val="Compact"/>
            </w:pPr>
            <w:r>
              <w:t xml:space="preserve">M-04</w:t>
            </w:r>
          </w:p>
        </w:tc>
        <w:tc>
          <w:tcPr/>
          <w:p>
            <w:pPr>
              <w:pStyle w:val="Compact"/>
            </w:pPr>
            <w:r>
              <w:t xml:space="preserve">Phase 3 SRS Document</w:t>
            </w:r>
          </w:p>
        </w:tc>
        <w:tc>
          <w:tcPr/>
          <w:p>
            <w:pPr>
              <w:pStyle w:val="Compact"/>
            </w:pPr>
            <w:r>
              <w:t xml:space="preserve">Procurement Manager + Finance Director</w:t>
            </w:r>
          </w:p>
        </w:tc>
        <w:tc>
          <w:tcPr/>
          <w:p>
            <w:pPr>
              <w:pStyle w:val="Compact"/>
            </w:pPr>
            <w:r>
              <w:t xml:space="preserve">PPDA workflow and 5-stage cooperative procurement specification approved</w:t>
            </w:r>
          </w:p>
        </w:tc>
      </w:tr>
      <w:tr>
        <w:tc>
          <w:tcPr/>
          <w:p>
            <w:pPr>
              <w:pStyle w:val="Compact"/>
            </w:pPr>
            <w:r>
              <w:t xml:space="preserve">M-05</w:t>
            </w:r>
          </w:p>
        </w:tc>
        <w:tc>
          <w:tcPr/>
          <w:p>
            <w:pPr>
              <w:pStyle w:val="Compact"/>
            </w:pPr>
            <w:r>
              <w:t xml:space="preserve">Phase 4 SRS Document</w:t>
            </w:r>
          </w:p>
        </w:tc>
        <w:tc>
          <w:tcPr/>
          <w:p>
            <w:pPr>
              <w:pStyle w:val="Compact"/>
            </w:pPr>
            <w:r>
              <w:t xml:space="preserve">Production Manager + QC Manager</w:t>
            </w:r>
          </w:p>
        </w:tc>
        <w:tc>
          <w:tcPr/>
          <w:p>
            <w:pPr>
              <w:pStyle w:val="Compact"/>
            </w:pPr>
            <w:r>
              <w:t xml:space="preserve">Mass balance specification (BR-008) and CoA template design approved</w:t>
            </w:r>
          </w:p>
        </w:tc>
      </w:tr>
      <w:tr>
        <w:tc>
          <w:tcPr/>
          <w:p>
            <w:pPr>
              <w:pStyle w:val="Compact"/>
            </w:pPr>
            <w:r>
              <w:t xml:space="preserve">M-06</w:t>
            </w:r>
          </w:p>
        </w:tc>
        <w:tc>
          <w:tcPr/>
          <w:p>
            <w:pPr>
              <w:pStyle w:val="Compact"/>
            </w:pPr>
            <w:r>
              <w:t xml:space="preserve">Phase 5 SRS Document</w:t>
            </w:r>
          </w:p>
        </w:tc>
        <w:tc>
          <w:tcPr/>
          <w:p>
            <w:pPr>
              <w:pStyle w:val="Compact"/>
            </w:pPr>
            <w:r>
              <w:t xml:space="preserve">Finance Director + HR Manager</w:t>
            </w:r>
          </w:p>
        </w:tc>
        <w:tc>
          <w:tcPr/>
          <w:p>
            <w:pPr>
              <w:pStyle w:val="Compact"/>
            </w:pPr>
            <w:r>
              <w:t xml:space="preserve">Payroll specification (PAYE, NSSF, LST) signed off</w:t>
            </w:r>
          </w:p>
        </w:tc>
      </w:tr>
      <w:tr>
        <w:tc>
          <w:tcPr/>
          <w:p>
            <w:pPr>
              <w:pStyle w:val="Compact"/>
            </w:pPr>
            <w:r>
              <w:t xml:space="preserve">M-07</w:t>
            </w:r>
          </w:p>
        </w:tc>
        <w:tc>
          <w:tcPr/>
          <w:p>
            <w:pPr>
              <w:pStyle w:val="Compact"/>
            </w:pPr>
            <w:r>
              <w:t xml:space="preserve">Phase 6 SRS Document</w:t>
            </w:r>
          </w:p>
        </w:tc>
        <w:tc>
          <w:tcPr/>
          <w:p>
            <w:pPr>
              <w:pStyle w:val="Compact"/>
            </w:pPr>
            <w:r>
              <w:t xml:space="preserve">BIRDC Director</w:t>
            </w:r>
          </w:p>
        </w:tc>
        <w:tc>
          <w:tcPr/>
          <w:p>
            <w:pPr>
              <w:pStyle w:val="Compact"/>
            </w:pPr>
            <w:r>
              <w:t xml:space="preserve">R&amp;D and Administration module specifications approved</w:t>
            </w:r>
          </w:p>
        </w:tc>
      </w:tr>
      <w:tr>
        <w:tc>
          <w:tcPr/>
          <w:p>
            <w:pPr>
              <w:pStyle w:val="Compact"/>
            </w:pPr>
            <w:r>
              <w:t xml:space="preserve">M-08</w:t>
            </w:r>
          </w:p>
        </w:tc>
        <w:tc>
          <w:tcPr/>
          <w:p>
            <w:pPr>
              <w:pStyle w:val="Compact"/>
            </w:pPr>
            <w:r>
              <w:t xml:space="preserve">User Stories Document (this document's companion)</w:t>
            </w:r>
          </w:p>
        </w:tc>
        <w:tc>
          <w:tcPr/>
          <w:p>
            <w:pPr>
              <w:pStyle w:val="Compact"/>
            </w:pPr>
            <w:r>
              <w:t xml:space="preserve">Finance Director + BIRDC Director</w:t>
            </w:r>
          </w:p>
        </w:tc>
        <w:tc>
          <w:tcPr/>
          <w:p>
            <w:pPr>
              <w:pStyle w:val="Compact"/>
            </w:pPr>
            <w:r>
              <w:t xml:space="preserve">Minimum 65 user stories; all 17 modules covered; acceptance criteria verified as deterministic</w:t>
            </w:r>
          </w:p>
        </w:tc>
      </w:tr>
      <w:tr>
        <w:tc>
          <w:tcPr/>
          <w:p>
            <w:pPr>
              <w:pStyle w:val="Compact"/>
            </w:pPr>
            <w:r>
              <w:t xml:space="preserve">M-09</w:t>
            </w:r>
          </w:p>
        </w:tc>
        <w:tc>
          <w:tcPr/>
          <w:p>
            <w:pPr>
              <w:pStyle w:val="Compact"/>
            </w:pPr>
            <w:r>
              <w:t xml:space="preserve">Stakeholder Analysis Document (this document)</w:t>
            </w:r>
          </w:p>
        </w:tc>
        <w:tc>
          <w:tcPr/>
          <w:p>
            <w:pPr>
              <w:pStyle w:val="Compact"/>
            </w:pPr>
            <w:r>
              <w:t xml:space="preserve">BIRDC Director</w:t>
            </w:r>
          </w:p>
        </w:tc>
        <w:tc>
          <w:tcPr/>
          <w:p>
            <w:pPr>
              <w:pStyle w:val="Compact"/>
            </w:pPr>
            <w:r>
              <w:t xml:space="preserve">All 29 stakeholders registered; RACI, communication plan, and concern register complete</w:t>
            </w:r>
          </w:p>
        </w:tc>
      </w:tr>
      <w:tr>
        <w:tc>
          <w:tcPr/>
          <w:p>
            <w:pPr>
              <w:pStyle w:val="Compact"/>
            </w:pPr>
            <w:r>
              <w:t xml:space="preserve">M-10</w:t>
            </w:r>
          </w:p>
        </w:tc>
        <w:tc>
          <w:tcPr/>
          <w:p>
            <w:pPr>
              <w:pStyle w:val="Compact"/>
            </w:pPr>
            <w:r>
              <w:t xml:space="preserve">Phase 7 Hardening and Go-Live Plan</w:t>
            </w:r>
          </w:p>
        </w:tc>
        <w:tc>
          <w:tcPr/>
          <w:p>
            <w:pPr>
              <w:pStyle w:val="Compact"/>
            </w:pPr>
            <w:r>
              <w:t xml:space="preserve">IT Administrator + BIRDC Director</w:t>
            </w:r>
          </w:p>
        </w:tc>
        <w:tc>
          <w:tcPr/>
          <w:p>
            <w:pPr>
              <w:pStyle w:val="Compact"/>
            </w:pPr>
            <w:r>
              <w:t xml:space="preserve">Penetration test scope agreed; load test scenario confirmed; training plan approved</w:t>
            </w:r>
          </w:p>
        </w:tc>
      </w:tr>
      <w:tr>
        <w:tc>
          <w:tcPr/>
          <w:p>
            <w:pPr>
              <w:pStyle w:val="Compact"/>
            </w:pPr>
            <w:r>
              <w:t xml:space="preserve">M-11</w:t>
            </w:r>
          </w:p>
        </w:tc>
        <w:tc>
          <w:tcPr/>
          <w:p>
            <w:pPr>
              <w:pStyle w:val="Compact"/>
            </w:pPr>
            <w:r>
              <w:t xml:space="preserve">Final Handover Package</w:t>
            </w:r>
          </w:p>
        </w:tc>
        <w:tc>
          <w:tcPr/>
          <w:p>
            <w:pPr>
              <w:pStyle w:val="Compact"/>
            </w:pPr>
            <w:r>
              <w:t xml:space="preserve">BIRDC Director</w:t>
            </w:r>
          </w:p>
        </w:tc>
        <w:tc>
          <w:tcPr/>
          <w:p>
            <w:pPr>
              <w:pStyle w:val="Compact"/>
            </w:pPr>
            <w:r>
              <w:t xml:space="preserve">All deliverables compiled; IT Administrator confirms infrastructure and maintenance documentation complete; consultant formally exited</w:t>
            </w:r>
          </w:p>
        </w:tc>
      </w:tr>
    </w:tbl>
    <w:p>
      <w:r>
        <w:pict>
          <v:rect style="width:0;height:1.5pt" o:hralign="center" o:hrstd="t" o:hr="t"/>
        </w:pict>
      </w:r>
    </w:p>
    <w:bookmarkEnd w:id="54"/>
    <w:bookmarkStart w:id="55" w:name="Xa2f6639aaa04e25dc945c4105ac6e87981e90ab"/>
    <w:p>
      <w:pPr>
        <w:pStyle w:val="Heading2"/>
      </w:pPr>
      <w:r>
        <w:t xml:space="preserve">6.3 Sign-Off Authority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 Type</w:t>
            </w:r>
          </w:p>
        </w:tc>
        <w:tc>
          <w:tcPr/>
          <w:p>
            <w:pPr>
              <w:pStyle w:val="Compact"/>
            </w:pPr>
            <w:r>
              <w:t xml:space="preserve">First Reviewer</w:t>
            </w:r>
          </w:p>
        </w:tc>
        <w:tc>
          <w:tcPr/>
          <w:p>
            <w:pPr>
              <w:pStyle w:val="Compact"/>
            </w:pPr>
            <w:r>
              <w:t xml:space="preserve">Approving Authority</w:t>
            </w:r>
          </w:p>
        </w:tc>
        <w:tc>
          <w:tcPr/>
          <w:p>
            <w:pPr>
              <w:pStyle w:val="Compact"/>
            </w:pPr>
            <w:r>
              <w:t xml:space="preserve">Sign-Off Format</w:t>
            </w:r>
          </w:p>
        </w:tc>
      </w:tr>
      <w:tr>
        <w:tc>
          <w:tcPr/>
          <w:p>
            <w:pPr>
              <w:pStyle w:val="Compact"/>
            </w:pPr>
            <w:r>
              <w:t xml:space="preserve">SRS Phase Documents (M-02 to M-07)</w:t>
            </w:r>
          </w:p>
        </w:tc>
        <w:tc>
          <w:tcPr/>
          <w:p>
            <w:pPr>
              <w:pStyle w:val="Compact"/>
            </w:pPr>
            <w:r>
              <w:t xml:space="preserve">Finance Director</w:t>
            </w:r>
          </w:p>
        </w:tc>
        <w:tc>
          <w:tcPr/>
          <w:p>
            <w:pPr>
              <w:pStyle w:val="Compact"/>
            </w:pPr>
            <w:r>
              <w:t xml:space="preserve">BIRDC Director</w:t>
            </w:r>
          </w:p>
        </w:tc>
        <w:tc>
          <w:tcPr/>
          <w:p>
            <w:pPr>
              <w:pStyle w:val="Compact"/>
            </w:pPr>
            <w:r>
              <w:t xml:space="preserve">Signed approval email or signed cover page</w:t>
            </w:r>
          </w:p>
        </w:tc>
      </w:tr>
      <w:tr>
        <w:tc>
          <w:tcPr/>
          <w:p>
            <w:pPr>
              <w:pStyle w:val="Compact"/>
            </w:pPr>
            <w:r>
              <w:t xml:space="preserve">User Stories and Stakeholder Analysis</w:t>
            </w:r>
          </w:p>
        </w:tc>
        <w:tc>
          <w:tcPr/>
          <w:p>
            <w:pPr>
              <w:pStyle w:val="Compact"/>
            </w:pPr>
            <w:r>
              <w:t xml:space="preserve">Finance Director</w:t>
            </w:r>
          </w:p>
        </w:tc>
        <w:tc>
          <w:tcPr/>
          <w:p>
            <w:pPr>
              <w:pStyle w:val="Compact"/>
            </w:pPr>
            <w:r>
              <w:t xml:space="preserve">BIRDC Director</w:t>
            </w:r>
          </w:p>
        </w:tc>
        <w:tc>
          <w:tcPr/>
          <w:p>
            <w:pPr>
              <w:pStyle w:val="Compact"/>
            </w:pPr>
            <w:r>
              <w:t xml:space="preserve">Signed approval email</w:t>
            </w:r>
          </w:p>
        </w:tc>
      </w:tr>
      <w:tr>
        <w:tc>
          <w:tcPr/>
          <w:p>
            <w:pPr>
              <w:pStyle w:val="Compact"/>
            </w:pPr>
            <w:r>
              <w:t xml:space="preserve">Architecture and Data Model</w:t>
            </w:r>
          </w:p>
        </w:tc>
        <w:tc>
          <w:tcPr/>
          <w:p>
            <w:pPr>
              <w:pStyle w:val="Compact"/>
            </w:pPr>
            <w:r>
              <w:t xml:space="preserve">IT Administrator</w:t>
            </w:r>
          </w:p>
        </w:tc>
        <w:tc>
          <w:tcPr/>
          <w:p>
            <w:pPr>
              <w:pStyle w:val="Compact"/>
            </w:pPr>
            <w:r>
              <w:t xml:space="preserve">BIRDC Director</w:t>
            </w:r>
          </w:p>
        </w:tc>
        <w:tc>
          <w:tcPr/>
          <w:p>
            <w:pPr>
              <w:pStyle w:val="Compact"/>
            </w:pPr>
            <w:r>
              <w:t xml:space="preserve">Signed approval email</w:t>
            </w:r>
          </w:p>
        </w:tc>
      </w:tr>
      <w:tr>
        <w:tc>
          <w:tcPr/>
          <w:p>
            <w:pPr>
              <w:pStyle w:val="Compact"/>
            </w:pPr>
            <w:r>
              <w:t xml:space="preserve">Payroll Specification</w:t>
            </w:r>
          </w:p>
        </w:tc>
        <w:tc>
          <w:tcPr/>
          <w:p>
            <w:pPr>
              <w:pStyle w:val="Compact"/>
            </w:pPr>
            <w:r>
              <w:t xml:space="preserve">Finance Director + HR Manager</w:t>
            </w:r>
          </w:p>
        </w:tc>
        <w:tc>
          <w:tcPr/>
          <w:p>
            <w:pPr>
              <w:pStyle w:val="Compact"/>
            </w:pPr>
            <w:r>
              <w:t xml:space="preserve">Finance Director (financial authority)</w:t>
            </w:r>
          </w:p>
        </w:tc>
        <w:tc>
          <w:tcPr/>
          <w:p>
            <w:pPr>
              <w:pStyle w:val="Compact"/>
            </w:pPr>
            <w:r>
              <w:t xml:space="preserve">Signed approval email</w:t>
            </w:r>
          </w:p>
        </w:tc>
      </w:tr>
      <w:tr>
        <w:tc>
          <w:tcPr/>
          <w:p>
            <w:pPr>
              <w:pStyle w:val="Compact"/>
            </w:pPr>
            <w:r>
              <w:t xml:space="preserve">PPDA Workflow and Procurement Specification</w:t>
            </w:r>
          </w:p>
        </w:tc>
        <w:tc>
          <w:tcPr/>
          <w:p>
            <w:pPr>
              <w:pStyle w:val="Compact"/>
            </w:pPr>
            <w:r>
              <w:t xml:space="preserve">Procurement Manager</w:t>
            </w:r>
          </w:p>
        </w:tc>
        <w:tc>
          <w:tcPr/>
          <w:p>
            <w:pPr>
              <w:pStyle w:val="Compact"/>
            </w:pPr>
            <w:r>
              <w:t xml:space="preserve">Finance Director + BIRDC Director</w:t>
            </w:r>
          </w:p>
        </w:tc>
        <w:tc>
          <w:tcPr/>
          <w:p>
            <w:pPr>
              <w:pStyle w:val="Compact"/>
            </w:pPr>
            <w:r>
              <w:t xml:space="preserve">Signed approval email</w:t>
            </w:r>
          </w:p>
        </w:tc>
      </w:tr>
      <w:tr>
        <w:tc>
          <w:tcPr/>
          <w:p>
            <w:pPr>
              <w:pStyle w:val="Compact"/>
            </w:pPr>
            <w:r>
              <w:t xml:space="preserve">CoA and QC Templates</w:t>
            </w:r>
          </w:p>
        </w:tc>
        <w:tc>
          <w:tcPr/>
          <w:p>
            <w:pPr>
              <w:pStyle w:val="Compact"/>
            </w:pPr>
            <w:r>
              <w:t xml:space="preserve">QC Manager</w:t>
            </w:r>
          </w:p>
        </w:tc>
        <w:tc>
          <w:tcPr/>
          <w:p>
            <w:pPr>
              <w:pStyle w:val="Compact"/>
            </w:pPr>
            <w:r>
              <w:t xml:space="preserve">Finance Director</w:t>
            </w:r>
          </w:p>
        </w:tc>
        <w:tc>
          <w:tcPr/>
          <w:p>
            <w:pPr>
              <w:pStyle w:val="Compact"/>
            </w:pPr>
            <w:r>
              <w:t xml:space="preserve">Signed approval email</w:t>
            </w:r>
          </w:p>
        </w:tc>
      </w:tr>
      <w:tr>
        <w:tc>
          <w:tcPr/>
          <w:p>
            <w:pPr>
              <w:pStyle w:val="Compact"/>
            </w:pPr>
            <w:r>
              <w:t xml:space="preserve">Go-Live Plan</w:t>
            </w:r>
          </w:p>
        </w:tc>
        <w:tc>
          <w:tcPr/>
          <w:p>
            <w:pPr>
              <w:pStyle w:val="Compact"/>
            </w:pPr>
            <w:r>
              <w:t xml:space="preserve">IT Administrator</w:t>
            </w:r>
          </w:p>
        </w:tc>
        <w:tc>
          <w:tcPr/>
          <w:p>
            <w:pPr>
              <w:pStyle w:val="Compact"/>
            </w:pPr>
            <w:r>
              <w:t xml:space="preserve">BIRDC Director</w:t>
            </w:r>
          </w:p>
        </w:tc>
        <w:tc>
          <w:tcPr/>
          <w:p>
            <w:pPr>
              <w:pStyle w:val="Compact"/>
            </w:pPr>
            <w:r>
              <w:t xml:space="preserve">Signed approval email</w:t>
            </w:r>
          </w:p>
        </w:tc>
      </w:tr>
      <w:tr>
        <w:tc>
          <w:tcPr/>
          <w:p>
            <w:pPr>
              <w:pStyle w:val="Compact"/>
            </w:pPr>
            <w:r>
              <w:t xml:space="preserve">Final Handover</w:t>
            </w:r>
          </w:p>
        </w:tc>
        <w:tc>
          <w:tcPr/>
          <w:p>
            <w:pPr>
              <w:pStyle w:val="Compact"/>
            </w:pPr>
            <w:r>
              <w:t xml:space="preserve">IT Administrator</w:t>
            </w:r>
          </w:p>
        </w:tc>
        <w:tc>
          <w:tcPr/>
          <w:p>
            <w:pPr>
              <w:pStyle w:val="Compact"/>
            </w:pPr>
            <w:r>
              <w:t xml:space="preserve">BIRDC Director</w:t>
            </w:r>
          </w:p>
        </w:tc>
        <w:tc>
          <w:tcPr/>
          <w:p>
            <w:pPr>
              <w:pStyle w:val="Compact"/>
            </w:pPr>
            <w:r>
              <w:t xml:space="preserve">Formal handover certificate, signed by both parties</w:t>
            </w:r>
          </w:p>
        </w:tc>
      </w:tr>
    </w:tbl>
    <w:p>
      <w:r>
        <w:pict>
          <v:rect style="width:0;height:1.5pt" o:hralign="center" o:hrstd="t" o:hr="t"/>
        </w:pict>
      </w:r>
    </w:p>
    <w:bookmarkEnd w:id="55"/>
    <w:bookmarkStart w:id="58" w:name="X54706f93eece272619aafac01af2e01b18d9b17"/>
    <w:p>
      <w:pPr>
        <w:pStyle w:val="Heading2"/>
      </w:pPr>
      <w:r>
        <w:t xml:space="preserve">6.4 Handover Plan</w:t>
      </w:r>
    </w:p>
    <w:p>
      <w:pPr>
        <w:pStyle w:val="FirstParagraph"/>
      </w:pPr>
      <w:r>
        <w:t xml:space="preserve">The handover transfers full operational and maintenance responsibility from the consultant to BIRDC's internal team. Handover is not a single event; it is a phased transfer of knowledge and accountability that begins at Phase 4 and completes 30 days after Phase 7 go-live.</w:t>
      </w:r>
    </w:p>
    <w:bookmarkStart w:id="56" w:name="handover-phases"/>
    <w:p>
      <w:pPr>
        <w:pStyle w:val="Heading3"/>
      </w:pPr>
      <w:r>
        <w:t xml:space="preserve">Handover Phases</w:t>
      </w:r>
    </w:p>
    <w:p>
      <w:pPr>
        <w:numPr>
          <w:ilvl w:val="0"/>
          <w:numId w:val="1009"/>
        </w:numPr>
      </w:pPr>
      <w:r>
        <w:rPr>
          <w:b/>
          <w:bCs/>
        </w:rPr>
        <w:t xml:space="preserve">Phase 4 knowledge transfer (during build):</w:t>
      </w:r>
      <w:r>
        <w:t xml:space="preserve"> </w:t>
      </w:r>
      <w:r>
        <w:t xml:space="preserve">Peter documents the architecture decision records (ADRs) for every non-obvious design decision. IT Administrator reviews and acknowledges each ADR.</w:t>
      </w:r>
    </w:p>
    <w:p>
      <w:pPr>
        <w:numPr>
          <w:ilvl w:val="0"/>
          <w:numId w:val="1009"/>
        </w:numPr>
      </w:pPr>
      <w:r>
        <w:rPr>
          <w:b/>
          <w:bCs/>
        </w:rPr>
        <w:t xml:space="preserve">Phase 5 knowledge transfer:</w:t>
      </w:r>
      <w:r>
        <w:t xml:space="preserve"> </w:t>
      </w:r>
      <w:r>
        <w:t xml:space="preserve">Payroll configuration guide and PAYE/NSSF/LST tax band update procedure delivered to Finance Director. Finance Director confirms she can update tax bands without developer involvement (per DC-002).</w:t>
      </w:r>
    </w:p>
    <w:p>
      <w:pPr>
        <w:numPr>
          <w:ilvl w:val="0"/>
          <w:numId w:val="1009"/>
        </w:numPr>
      </w:pPr>
      <w:r>
        <w:rPr>
          <w:b/>
          <w:bCs/>
        </w:rPr>
        <w:t xml:space="preserve">Phase 7 pre-go-live handover preparation:</w:t>
      </w:r>
      <w:r>
        <w:t xml:space="preserve"> </w:t>
      </w:r>
      <w:r>
        <w:t xml:space="preserve">Peter delivers to the IT Administrator:</w:t>
      </w:r>
    </w:p>
    <w:p>
      <w:pPr>
        <w:pStyle w:val="Compact"/>
        <w:numPr>
          <w:ilvl w:val="1"/>
          <w:numId w:val="1010"/>
        </w:numPr>
      </w:pPr>
      <w:r>
        <w:t xml:space="preserve">System Administration Guide (user management, role configuration, backup management, integration configuration).</w:t>
      </w:r>
    </w:p>
    <w:p>
      <w:pPr>
        <w:pStyle w:val="Compact"/>
        <w:numPr>
          <w:ilvl w:val="1"/>
          <w:numId w:val="1010"/>
        </w:numPr>
      </w:pPr>
      <w:r>
        <w:t xml:space="preserve">Maintenance SOP (database health checks, backup verification, EFRIS retry queue monitoring).</w:t>
      </w:r>
    </w:p>
    <w:p>
      <w:pPr>
        <w:pStyle w:val="Compact"/>
        <w:numPr>
          <w:ilvl w:val="1"/>
          <w:numId w:val="1010"/>
        </w:numPr>
      </w:pPr>
      <w:r>
        <w:t xml:space="preserve">Incident escalation procedure (what the IT Administrator does if a critical failure occurs after consultant exit).</w:t>
      </w:r>
    </w:p>
    <w:p>
      <w:pPr>
        <w:pStyle w:val="Compact"/>
        <w:numPr>
          <w:ilvl w:val="1"/>
          <w:numId w:val="1010"/>
        </w:numPr>
      </w:pPr>
      <w:r>
        <w:t xml:space="preserve">Training materials for all user groups.</w:t>
      </w:r>
    </w:p>
    <w:p>
      <w:pPr>
        <w:numPr>
          <w:ilvl w:val="0"/>
          <w:numId w:val="1009"/>
        </w:numPr>
      </w:pPr>
      <w:r>
        <w:rPr>
          <w:b/>
          <w:bCs/>
        </w:rPr>
        <w:t xml:space="preserve">Go-live hypercare (30 days post go-live):</w:t>
      </w:r>
      <w:r>
        <w:t xml:space="preserve"> </w:t>
      </w:r>
      <w:r>
        <w:t xml:space="preserve">Peter remains available for critical issue resolution via a defined response SLA: Priority 1 (system down) — 4-hour response; Priority 2 (critical function unavailable) — 1 business day; Priority 3 (non-critical issue) — 3 business days.</w:t>
      </w:r>
    </w:p>
    <w:p>
      <w:pPr>
        <w:numPr>
          <w:ilvl w:val="0"/>
          <w:numId w:val="1009"/>
        </w:numPr>
      </w:pPr>
      <w:r>
        <w:rPr>
          <w:b/>
          <w:bCs/>
        </w:rPr>
        <w:t xml:space="preserve">Formal handover and exit:</w:t>
      </w:r>
      <w:r>
        <w:t xml:space="preserve"> </w:t>
      </w:r>
      <w:r>
        <w:t xml:space="preserve">At the end of the 30-day hypercare period, Peter presents the Final Handover Package to the IT Administrator and BIRDC Director. Both parties sign the handover certificate. Peter's engagement ends.</w:t>
      </w:r>
    </w:p>
    <w:bookmarkEnd w:id="56"/>
    <w:bookmarkStart w:id="57" w:name="handover-package-contents"/>
    <w:p>
      <w:pPr>
        <w:pStyle w:val="Heading3"/>
      </w:pPr>
      <w:r>
        <w:t xml:space="preserve">Handover Package Contents</w:t>
      </w:r>
    </w:p>
    <w:p>
      <w:pPr>
        <w:pStyle w:val="Compact"/>
        <w:numPr>
          <w:ilvl w:val="0"/>
          <w:numId w:val="1011"/>
        </w:numPr>
      </w:pPr>
      <w:r>
        <w:t xml:space="preserve">All SRS and design documents in PDF and source format.</w:t>
      </w:r>
    </w:p>
    <w:p>
      <w:pPr>
        <w:pStyle w:val="Compact"/>
        <w:numPr>
          <w:ilvl w:val="0"/>
          <w:numId w:val="1011"/>
        </w:numPr>
      </w:pPr>
      <w:r>
        <w:t xml:space="preserve">Fully populated</w:t>
      </w:r>
      <w:r>
        <w:t xml:space="preserve"> </w:t>
      </w:r>
      <w:r>
        <w:rPr>
          <w:rStyle w:val="VerbatimChar"/>
        </w:rPr>
        <w:t xml:space="preserve">_context/</w:t>
      </w:r>
      <w:r>
        <w:t xml:space="preserve"> </w:t>
      </w:r>
      <w:r>
        <w:t xml:space="preserve">project folder.</w:t>
      </w:r>
    </w:p>
    <w:p>
      <w:pPr>
        <w:pStyle w:val="Compact"/>
        <w:numPr>
          <w:ilvl w:val="0"/>
          <w:numId w:val="1011"/>
        </w:numPr>
      </w:pPr>
      <w:r>
        <w:t xml:space="preserve">System configuration guide.</w:t>
      </w:r>
    </w:p>
    <w:p>
      <w:pPr>
        <w:pStyle w:val="Compact"/>
        <w:numPr>
          <w:ilvl w:val="0"/>
          <w:numId w:val="1011"/>
        </w:numPr>
      </w:pPr>
      <w:r>
        <w:t xml:space="preserve">User manuals for each role (web ERP and each Android app).</w:t>
      </w:r>
    </w:p>
    <w:p>
      <w:pPr>
        <w:pStyle w:val="Compact"/>
        <w:numPr>
          <w:ilvl w:val="0"/>
          <w:numId w:val="1011"/>
        </w:numPr>
      </w:pPr>
      <w:r>
        <w:t xml:space="preserve">Training materials (slides and quick reference cards).</w:t>
      </w:r>
    </w:p>
    <w:p>
      <w:pPr>
        <w:pStyle w:val="Compact"/>
        <w:numPr>
          <w:ilvl w:val="0"/>
          <w:numId w:val="1011"/>
        </w:numPr>
      </w:pPr>
      <w:r>
        <w:t xml:space="preserve">Architecture decision record log.</w:t>
      </w:r>
    </w:p>
    <w:p>
      <w:pPr>
        <w:pStyle w:val="Compact"/>
        <w:numPr>
          <w:ilvl w:val="0"/>
          <w:numId w:val="1011"/>
        </w:numPr>
      </w:pPr>
      <w:r>
        <w:t xml:space="preserve">Test results and UAT sign-off records.</w:t>
      </w:r>
    </w:p>
    <w:p>
      <w:pPr>
        <w:pStyle w:val="Compact"/>
        <w:numPr>
          <w:ilvl w:val="0"/>
          <w:numId w:val="1011"/>
        </w:numPr>
      </w:pPr>
      <w:r>
        <w:t xml:space="preserve">Penetration test report and remediation log.</w:t>
      </w:r>
    </w:p>
    <w:p>
      <w:pPr>
        <w:pStyle w:val="Compact"/>
        <w:numPr>
          <w:ilvl w:val="0"/>
          <w:numId w:val="1011"/>
        </w:numPr>
      </w:pPr>
      <w:r>
        <w:t xml:space="preserve">Load test report.</w:t>
      </w:r>
    </w:p>
    <w:p>
      <w:pPr>
        <w:pStyle w:val="Compact"/>
        <w:numPr>
          <w:ilvl w:val="0"/>
          <w:numId w:val="1011"/>
        </w:numPr>
      </w:pPr>
      <w:r>
        <w:t xml:space="preserve">PPDA procurement documentation for the ERP system itself.</w:t>
      </w:r>
    </w:p>
    <w:p>
      <w:r>
        <w:pict>
          <v:rect style="width:0;height:1.5pt" o:hralign="center" o:hrstd="t" o:hr="t"/>
        </w:pict>
      </w:r>
    </w:p>
    <w:bookmarkEnd w:id="57"/>
    <w:bookmarkEnd w:id="58"/>
    <w:bookmarkStart w:id="59" w:name="X853c83ada589e9aaba0c5790ec03714d211edcc"/>
    <w:p>
      <w:pPr>
        <w:pStyle w:val="Heading2"/>
      </w:pPr>
      <w:r>
        <w:t xml:space="preserve">6.5 Consultant Independence and Conflict of Interest</w:t>
      </w:r>
    </w:p>
    <w:p>
      <w:pPr>
        <w:pStyle w:val="FirstParagraph"/>
      </w:pPr>
      <w:r>
        <w:t xml:space="preserve">Peter Bamuhigire operates as an independent ICT consultant. He has no financial interest in any software vendor, hosting provider, or implementation partner that may be engaged by BIRDC to build the ERP system based on these specifications. The specifications are technology-neutral: they describe what the system must do, not which vendor or technology stack must be used.</w:t>
      </w:r>
    </w:p>
    <w:p>
      <w:pPr>
        <w:pStyle w:val="BodyText"/>
      </w:pPr>
      <w:r>
        <w:t xml:space="preserve">Peter will declare any material relationship with a prospective vendor in writing to the BIRDC Director before that vendor is shortlisted for any BIRDC ERP procurement. BIRDC retains the right to exclude Peter from any evaluation process where a conflict of interest, real or perceived, exists.</w:t>
      </w:r>
    </w:p>
    <w:p>
      <w:pPr>
        <w:pStyle w:val="BodyText"/>
      </w:pPr>
      <w:r>
        <w:t xml:space="preserve">All intellectual property in the delivered specification documents is transferred to BIRDC / PIBID upon payment of consultant fees. BIRDC may use, reproduce, and modify the documents without restriction after handover.</w:t>
      </w:r>
    </w:p>
    <w:bookmarkEnd w:id="59"/>
    <w:bookmarkEnd w:id="6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 — BIRDC ERP</dc:title>
  <dc:creator>Prepared by Peter Bamuhigire, ICT Consultant (techguypeter.com) for PIBID/BIRDC</dc:creator>
  <cp:keywords/>
  <dcterms:created xsi:type="dcterms:W3CDTF">2026-04-05T16:51:33Z</dcterms:created>
  <dcterms:modified xsi:type="dcterms:W3CDTF">2026-04-05T16:51:33Z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Requirements Engineering | Document 08</vt:lpwstr>
  </property>
  <property fmtid="{D5CDD505-2E9C-101B-9397-08002B2CF9AE}" pid="4" name="version">
    <vt:lpwstr>1.0</vt:lpwstr>
  </property>
</Properties>
</file>