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BIRDC ERP — Operations Runbook</w:t>
      </w:r>
    </w:p>
    <w:p>
      <w:pPr>
        <w:pStyle w:val="Subtitle"/>
      </w:pPr>
      <w:r>
        <w:t xml:space="preserve">Prepared by Peter Bamuhigire, ICT Consultant (techguypeter.com) for PIBID/BIRDC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0" w:name="birdc-erp-operations-runbook"/>
    <w:p>
      <w:pPr>
        <w:pStyle w:val="Heading1"/>
      </w:pPr>
      <w:r>
        <w:t xml:space="preserve">BIRDC ERP Operations Runbook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Operations Runbook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Peter Bamuhigire, ICT Consultant (techguypeter.com)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PIBID / BIRDC, Nyaruzinga hill, Bushenyi District, Western Uganda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2026-04-05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Deployment Model:</w:t>
      </w:r>
      <w:r>
        <w:t xml:space="preserve"> </w:t>
      </w:r>
      <w:r>
        <w:t xml:space="preserve">Single-tenant, on-premise at BIRDC Nyaruzinga, Bushenyi, Uganda</w:t>
      </w:r>
    </w:p>
    <w:p>
      <w:r>
        <w:pict>
          <v:rect style="width:0;height:1.5pt" o:hralign="center" o:hrstd="t" o:hr="t"/>
        </w:pict>
      </w:r>
    </w:p>
    <w:bookmarkStart w:id="21" w:name="how-to-use-this-runbook"/>
    <w:p>
      <w:pPr>
        <w:pStyle w:val="Heading2"/>
      </w:pPr>
      <w:r>
        <w:t xml:space="preserve">How to Use This Runbook</w:t>
      </w:r>
    </w:p>
    <w:p>
      <w:pPr>
        <w:pStyle w:val="FirstParagraph"/>
      </w:pPr>
      <w:r>
        <w:t xml:space="preserve">Each procedure in this runbook is written for the BIRDC IT Administrator or Finance Director. Procedures are self-contained: complete all steps in sequence, in order, without skipping. Steps marked</w:t>
      </w:r>
      <w:r>
        <w:t xml:space="preserve"> </w:t>
      </w:r>
      <w:r>
        <w:rPr>
          <w:b/>
          <w:bCs/>
        </w:rPr>
        <w:t xml:space="preserve">ESCALATE</w:t>
      </w:r>
      <w:r>
        <w:t xml:space="preserve"> </w:t>
      </w:r>
      <w:r>
        <w:t xml:space="preserve">require immediate notification of Peter Bamuhigire or the Finance Director before continuing.</w:t>
      </w:r>
    </w:p>
    <w:p>
      <w:pPr>
        <w:pStyle w:val="BodyText"/>
      </w:pPr>
      <w:r>
        <w:rPr>
          <w:b/>
          <w:bCs/>
        </w:rPr>
        <w:t xml:space="preserve">Escalation contacts: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Peter Bamuhigire</w:t>
            </w:r>
          </w:p>
        </w:tc>
        <w:tc>
          <w:tcPr/>
          <w:p>
            <w:pPr>
              <w:pStyle w:val="Compact"/>
            </w:pPr>
            <w:r>
              <w:t xml:space="preserve">ICT Consultant</w:t>
            </w:r>
          </w:p>
        </w:tc>
        <w:tc>
          <w:tcPr/>
          <w:p>
            <w:pPr>
              <w:pStyle w:val="Compact"/>
            </w:pPr>
            <w:r>
              <w:t xml:space="preserve">WhatsApp / Email: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peter@techguypeter.com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Finance Director</w:t>
            </w:r>
          </w:p>
        </w:tc>
        <w:tc>
          <w:tcPr/>
          <w:p>
            <w:pPr>
              <w:pStyle w:val="Compact"/>
            </w:pPr>
            <w:r>
              <w:t xml:space="preserve">BIRDC Finance Director</w:t>
            </w:r>
          </w:p>
        </w:tc>
        <w:tc>
          <w:tcPr/>
          <w:p>
            <w:pPr>
              <w:pStyle w:val="Compact"/>
            </w:pPr>
            <w:r>
              <w:t xml:space="preserve">Internal phone / 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URA EFRIS Support</w:t>
            </w:r>
          </w:p>
        </w:tc>
        <w:tc>
          <w:tcPr/>
          <w:p>
            <w:pPr>
              <w:pStyle w:val="Compact"/>
            </w:pPr>
            <w:r>
              <w:t xml:space="preserve">Uganda Revenue Authority</w:t>
            </w:r>
          </w:p>
        </w:tc>
        <w:tc>
          <w:tcPr/>
          <w:p>
            <w:pPr>
              <w:pStyle w:val="Compact"/>
            </w:pPr>
            <w:r>
              <w:t xml:space="preserve">EFRIS helpdesk: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efris@ura.go.ug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OAG Uganda</w:t>
            </w:r>
          </w:p>
        </w:tc>
        <w:tc>
          <w:tcPr/>
          <w:p>
            <w:pPr>
              <w:pStyle w:val="Compact"/>
            </w:pPr>
            <w:r>
              <w:t xml:space="preserve">Office of the Auditor General</w:t>
            </w:r>
          </w:p>
        </w:tc>
        <w:tc>
          <w:tcPr/>
          <w:p>
            <w:pPr>
              <w:pStyle w:val="Compact"/>
            </w:pPr>
            <w:r>
              <w:t xml:space="preserve">Formal written notification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art-a--incident-procedures"/>
    <w:p>
      <w:pPr>
        <w:pStyle w:val="Heading2"/>
      </w:pPr>
      <w:r>
        <w:t xml:space="preserve">Part A — Incident Procedures</w:t>
      </w:r>
    </w:p>
    <w:p>
      <w:pPr>
        <w:pStyle w:val="FirstParagraph"/>
      </w:pPr>
      <w:r>
        <w:t xml:space="preserve">Incident procedures address conditions that interrupt normal system operation. Each procedure states the symptoms, diagnosis steps, resolution steps, and escalation path.</w:t>
      </w:r>
    </w:p>
    <w:p>
      <w:r>
        <w:pict>
          <v:rect style="width:0;height:1.5pt" o:hralign="center" o:hrstd="t" o:hr="t"/>
        </w:pict>
      </w:r>
    </w:p>
    <w:bookmarkEnd w:id="22"/>
    <w:bookmarkStart w:id="27" w:name="inc-001-efris-submission-failure"/>
    <w:p>
      <w:pPr>
        <w:pStyle w:val="Heading2"/>
      </w:pPr>
      <w:r>
        <w:t xml:space="preserve">INC-001: EFRIS Submission Failure</w:t>
      </w:r>
    </w:p>
    <w:bookmarkStart w:id="23" w:name="symptoms"/>
    <w:p>
      <w:pPr>
        <w:pStyle w:val="Heading3"/>
      </w:pPr>
      <w:r>
        <w:t xml:space="preserve">Symptoms</w:t>
      </w:r>
    </w:p>
    <w:p>
      <w:pPr>
        <w:pStyle w:val="Compact"/>
        <w:numPr>
          <w:ilvl w:val="0"/>
          <w:numId w:val="1001"/>
        </w:numPr>
      </w:pPr>
      <w:r>
        <w:t xml:space="preserve">An invoice or POS receipt shows status</w:t>
      </w:r>
      <w:r>
        <w:t xml:space="preserve"> </w:t>
      </w:r>
      <w:r>
        <w:rPr>
          <w:b/>
          <w:bCs/>
        </w:rPr>
        <w:t xml:space="preserve">EFRIS: Pending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EFRIS: Failed</w:t>
      </w:r>
      <w:r>
        <w:t xml:space="preserve"> </w:t>
      </w:r>
      <w:r>
        <w:t xml:space="preserve">in the transaction list.</w:t>
      </w:r>
    </w:p>
    <w:p>
      <w:pPr>
        <w:pStyle w:val="Compact"/>
        <w:numPr>
          <w:ilvl w:val="0"/>
          <w:numId w:val="1001"/>
        </w:numPr>
      </w:pPr>
      <w:r>
        <w:t xml:space="preserve">The Finance Manager receives an automated email alert: "EFRIS submission failed after 3 retries."</w:t>
      </w:r>
    </w:p>
    <w:p>
      <w:pPr>
        <w:pStyle w:val="Compact"/>
        <w:numPr>
          <w:ilvl w:val="0"/>
          <w:numId w:val="1001"/>
        </w:numPr>
      </w:pPr>
      <w:r>
        <w:t xml:space="preserve">The transaction does not show a Fiscal Document Number (FDN) or QR code.</w:t>
      </w:r>
    </w:p>
    <w:bookmarkEnd w:id="23"/>
    <w:bookmarkStart w:id="24" w:name="diagnosis"/>
    <w:p>
      <w:pPr>
        <w:pStyle w:val="Heading3"/>
      </w:pPr>
      <w:r>
        <w:t xml:space="preserve">Diagnosis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Admin &gt; Integrations &gt; EFRIS &gt; Submission Queue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Locate the failed submission — note the error message and HTTP response code.</w:t>
      </w:r>
    </w:p>
    <w:p>
      <w:pPr>
        <w:pStyle w:val="Compact"/>
        <w:numPr>
          <w:ilvl w:val="0"/>
          <w:numId w:val="1002"/>
        </w:numPr>
      </w:pPr>
      <w:r>
        <w:t xml:space="preserve">Common error codes and their meanings: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 Code</w:t>
            </w:r>
          </w:p>
        </w:tc>
        <w:tc>
          <w:tcPr/>
          <w:p>
            <w:pPr>
              <w:pStyle w:val="Compact"/>
            </w:pPr>
            <w:r>
              <w:t xml:space="preserve">EFRIS Error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Authentication failure</w:t>
            </w:r>
          </w:p>
        </w:tc>
        <w:tc>
          <w:tcPr/>
          <w:p>
            <w:pPr>
              <w:pStyle w:val="Compact"/>
            </w:pPr>
            <w:r>
              <w:t xml:space="preserve">EFRIS certificate expired or credentials 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Invalid payload</w:t>
            </w:r>
          </w:p>
        </w:tc>
        <w:tc>
          <w:tcPr/>
          <w:p>
            <w:pPr>
              <w:pStyle w:val="Compact"/>
            </w:pPr>
            <w:r>
              <w:t xml:space="preserve">Invoice data fails URA validation (e.g., missing TIN, invalid item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Service unavailable</w:t>
            </w:r>
          </w:p>
        </w:tc>
        <w:tc>
          <w:tcPr/>
          <w:p>
            <w:pPr>
              <w:pStyle w:val="Compact"/>
            </w:pPr>
            <w:r>
              <w:t xml:space="preserve">URA EFRIS system is down or under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408</w:t>
            </w:r>
          </w:p>
        </w:tc>
        <w:tc>
          <w:tcPr/>
          <w:p>
            <w:pPr>
              <w:pStyle w:val="Compact"/>
            </w:pPr>
            <w:r>
              <w:t xml:space="preserve">Request timeout</w:t>
            </w:r>
          </w:p>
        </w:tc>
        <w:tc>
          <w:tcPr/>
          <w:p>
            <w:pPr>
              <w:pStyle w:val="Compact"/>
            </w:pPr>
            <w:r>
              <w:t xml:space="preserve">Network connectivity to URA EFRIS endpoint lost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Check internet connectivity from the server: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https://efris.ura.go.ug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HTTP/2 200</w:t>
      </w:r>
      <w:r>
        <w:t xml:space="preserve">. If the command fails or returns an error, the problem is network connectivity.</w:t>
      </w:r>
    </w:p>
    <w:p>
      <w:pPr>
        <w:pStyle w:val="Compact"/>
        <w:numPr>
          <w:ilvl w:val="0"/>
          <w:numId w:val="1004"/>
        </w:numPr>
      </w:pPr>
      <w:r>
        <w:t xml:space="preserve">Check the application error log: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/var/log/apache2/birdc-erp-error.log</w:t>
      </w:r>
    </w:p>
    <w:bookmarkEnd w:id="24"/>
    <w:bookmarkStart w:id="25" w:name="resolution-steps"/>
    <w:p>
      <w:pPr>
        <w:pStyle w:val="Heading3"/>
      </w:pPr>
      <w:r>
        <w:t xml:space="preserve">Resolution Steps</w:t>
      </w:r>
    </w:p>
    <w:p>
      <w:pPr>
        <w:pStyle w:val="FirstParagraph"/>
      </w:pPr>
      <w:r>
        <w:rPr>
          <w:b/>
          <w:bCs/>
        </w:rPr>
        <w:t xml:space="preserve">Case A — Network connectivity failure (HTTP 408 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curl</w:t>
      </w:r>
      <w:r>
        <w:rPr>
          <w:b/>
          <w:bCs/>
        </w:rPr>
        <w:t xml:space="preserve"> </w:t>
      </w:r>
      <w:r>
        <w:rPr>
          <w:b/>
          <w:bCs/>
        </w:rPr>
        <w:t xml:space="preserve">fails):</w:t>
      </w:r>
    </w:p>
    <w:p>
      <w:pPr>
        <w:pStyle w:val="Compact"/>
        <w:numPr>
          <w:ilvl w:val="0"/>
          <w:numId w:val="1005"/>
        </w:numPr>
      </w:pPr>
      <w:r>
        <w:t xml:space="preserve">Verify the server's internet connection: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4 8.8.8.8</w:t>
      </w:r>
    </w:p>
    <w:p>
      <w:pPr>
        <w:pStyle w:val="Compact"/>
        <w:numPr>
          <w:ilvl w:val="0"/>
          <w:numId w:val="1006"/>
        </w:numPr>
      </w:pPr>
      <w:r>
        <w:t xml:space="preserve">If the server has no internet: contact BIRDC IT to restore the internet connection.</w:t>
      </w:r>
    </w:p>
    <w:p>
      <w:pPr>
        <w:pStyle w:val="Compact"/>
        <w:numPr>
          <w:ilvl w:val="0"/>
          <w:numId w:val="1006"/>
        </w:numPr>
      </w:pPr>
      <w:r>
        <w:t xml:space="preserve">Once connectivity is restored, navigate to</w:t>
      </w:r>
      <w:r>
        <w:t xml:space="preserve"> </w:t>
      </w:r>
      <w:r>
        <w:rPr>
          <w:b/>
          <w:bCs/>
        </w:rPr>
        <w:t xml:space="preserve">Admin &gt; Integrations &gt; EFRIS &gt; Submission Queue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Select all failed submissions and click</w:t>
      </w:r>
      <w:r>
        <w:t xml:space="preserve"> </w:t>
      </w:r>
      <w:r>
        <w:rPr>
          <w:b/>
          <w:bCs/>
        </w:rPr>
        <w:t xml:space="preserve">Retry All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Monitor the queue for 5 minutes — all items must move to</w:t>
      </w:r>
      <w:r>
        <w:t xml:space="preserve"> </w:t>
      </w:r>
      <w:r>
        <w:rPr>
          <w:b/>
          <w:bCs/>
        </w:rPr>
        <w:t xml:space="preserve">Submitted</w:t>
      </w:r>
      <w:r>
        <w:t xml:space="preserve"> </w:t>
      </w:r>
      <w:r>
        <w:t xml:space="preserve">status.</w:t>
      </w:r>
    </w:p>
    <w:p>
      <w:pPr>
        <w:pStyle w:val="FirstParagraph"/>
      </w:pPr>
      <w:r>
        <w:rPr>
          <w:b/>
          <w:bCs/>
        </w:rPr>
        <w:t xml:space="preserve">Case B — Authentication failure (HTTP 401):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ESCALATE</w:t>
      </w:r>
      <w:r>
        <w:t xml:space="preserve"> </w:t>
      </w:r>
      <w:r>
        <w:t xml:space="preserve">to Peter Bamuhigire immediately.</w:t>
      </w:r>
    </w:p>
    <w:p>
      <w:pPr>
        <w:pStyle w:val="Compact"/>
        <w:numPr>
          <w:ilvl w:val="0"/>
          <w:numId w:val="1007"/>
        </w:numPr>
      </w:pPr>
      <w:r>
        <w:t xml:space="preserve">Do not post any further invoices until the EFRIS credentials are verified.</w:t>
      </w:r>
    </w:p>
    <w:p>
      <w:pPr>
        <w:pStyle w:val="Compact"/>
        <w:numPr>
          <w:ilvl w:val="0"/>
          <w:numId w:val="1007"/>
        </w:numPr>
      </w:pPr>
      <w:r>
        <w:t xml:space="preserve">Peter Bamuhigire will: verify the certificate expiry date, renew the certificate if expired (see Maintenance Procedure MNT-005), and update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with new credentials.</w:t>
      </w:r>
    </w:p>
    <w:p>
      <w:pPr>
        <w:pStyle w:val="FirstParagraph"/>
      </w:pPr>
      <w:r>
        <w:rPr>
          <w:b/>
          <w:bCs/>
        </w:rPr>
        <w:t xml:space="preserve">Case C — URA EFRIS system down (HTTP 503):</w:t>
      </w:r>
    </w:p>
    <w:p>
      <w:pPr>
        <w:pStyle w:val="Compact"/>
        <w:numPr>
          <w:ilvl w:val="0"/>
          <w:numId w:val="1008"/>
        </w:numPr>
      </w:pPr>
      <w:r>
        <w:t xml:space="preserve">Navigate to the URA EFRIS status page or call URA EFRIS support:</w:t>
      </w:r>
      <w:r>
        <w:t xml:space="preserve"> </w:t>
      </w:r>
      <w:hyperlink r:id="rId20">
        <w:r>
          <w:rPr>
            <w:rStyle w:val="Hyperlink"/>
          </w:rPr>
          <w:t xml:space="preserve">efris@ura.go.ug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Continue posting invoices — the system queues failed submissions automatically.</w:t>
      </w:r>
    </w:p>
    <w:p>
      <w:pPr>
        <w:pStyle w:val="Compact"/>
        <w:numPr>
          <w:ilvl w:val="0"/>
          <w:numId w:val="1008"/>
        </w:numPr>
      </w:pPr>
      <w:r>
        <w:t xml:space="preserve">Once URA confirms the system is restored, retry all queued submissions from</w:t>
      </w:r>
      <w:r>
        <w:t xml:space="preserve"> </w:t>
      </w:r>
      <w:r>
        <w:rPr>
          <w:b/>
          <w:bCs/>
        </w:rPr>
        <w:t xml:space="preserve">Admin &gt; Integrations &gt; EFRIS &gt; Submission Queue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Case D — Invalid payload (HTTP 400):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ESCALATE</w:t>
      </w:r>
      <w:r>
        <w:t xml:space="preserve"> </w:t>
      </w:r>
      <w:r>
        <w:t xml:space="preserve">to Peter Bamuhigire.</w:t>
      </w:r>
    </w:p>
    <w:p>
      <w:pPr>
        <w:pStyle w:val="Compact"/>
        <w:numPr>
          <w:ilvl w:val="0"/>
          <w:numId w:val="1009"/>
        </w:numPr>
      </w:pPr>
      <w:r>
        <w:t xml:space="preserve">Do not retry the submission until the payload error is investigated — retrying invalid data will not succeed and will clutter the queue.</w:t>
      </w:r>
    </w:p>
    <w:bookmarkEnd w:id="25"/>
    <w:bookmarkStart w:id="26" w:name="escalation-to-ura"/>
    <w:p>
      <w:pPr>
        <w:pStyle w:val="Heading3"/>
      </w:pPr>
      <w:r>
        <w:t xml:space="preserve">Escalation to URA</w:t>
      </w:r>
    </w:p>
    <w:p>
      <w:pPr>
        <w:pStyle w:val="FirstParagraph"/>
      </w:pPr>
      <w:r>
        <w:t xml:space="preserve">If EFRIS is unavailable for more than 4 hours during business hours:</w:t>
      </w:r>
    </w:p>
    <w:p>
      <w:pPr>
        <w:pStyle w:val="Compact"/>
        <w:numPr>
          <w:ilvl w:val="0"/>
          <w:numId w:val="1010"/>
        </w:numPr>
      </w:pPr>
      <w:r>
        <w:t xml:space="preserve">Send a formal email to URA EFRIS support at</w:t>
      </w:r>
      <w:r>
        <w:t xml:space="preserve"> </w:t>
      </w:r>
      <w:hyperlink r:id="rId20">
        <w:r>
          <w:rPr>
            <w:rStyle w:val="Hyperlink"/>
          </w:rPr>
          <w:t xml:space="preserve">efris@ura.go.ug</w:t>
        </w:r>
      </w:hyperlink>
      <w:r>
        <w:t xml:space="preserve"> </w:t>
      </w:r>
      <w:r>
        <w:t xml:space="preserve">stating: BIRDC TIN, description of the error, and time of first failure.</w:t>
      </w:r>
    </w:p>
    <w:p>
      <w:pPr>
        <w:pStyle w:val="Compact"/>
        <w:numPr>
          <w:ilvl w:val="0"/>
          <w:numId w:val="1010"/>
        </w:numPr>
      </w:pPr>
      <w:r>
        <w:t xml:space="preserve">Request a URA incident reference number and record it in the BIRDC IT incident log.</w:t>
      </w:r>
    </w:p>
    <w:p>
      <w:pPr>
        <w:pStyle w:val="Compact"/>
        <w:numPr>
          <w:ilvl w:val="0"/>
          <w:numId w:val="1010"/>
        </w:numPr>
      </w:pPr>
      <w:r>
        <w:t xml:space="preserve">Notify the Finance Director that EFRIS is unavailable — invoices can still be posted but will not have FDNs until EFRIS is restored.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inc-002-android-app-sync-failure"/>
    <w:p>
      <w:pPr>
        <w:pStyle w:val="Heading2"/>
      </w:pPr>
      <w:r>
        <w:t xml:space="preserve">INC-002: Android App Sync Failure</w:t>
      </w:r>
    </w:p>
    <w:bookmarkStart w:id="28" w:name="symptoms-1"/>
    <w:p>
      <w:pPr>
        <w:pStyle w:val="Heading3"/>
      </w:pPr>
      <w:r>
        <w:t xml:space="preserve">Symptoms</w:t>
      </w:r>
    </w:p>
    <w:p>
      <w:pPr>
        <w:pStyle w:val="Compact"/>
        <w:numPr>
          <w:ilvl w:val="0"/>
          <w:numId w:val="1011"/>
        </w:numPr>
      </w:pPr>
      <w:r>
        <w:t xml:space="preserve">A field agent or field officer reports: transactions entered offline on the Android app have not appeared in the ERP system after reconnecting to Wi-Fi or mobile data.</w:t>
      </w:r>
    </w:p>
    <w:p>
      <w:pPr>
        <w:pStyle w:val="Compact"/>
        <w:numPr>
          <w:ilvl w:val="0"/>
          <w:numId w:val="1011"/>
        </w:numPr>
      </w:pPr>
      <w:r>
        <w:t xml:space="preserve">The Android app shows a sync error notification or a sync status indicator that has not updated.</w:t>
      </w:r>
    </w:p>
    <w:bookmarkEnd w:id="28"/>
    <w:bookmarkStart w:id="29" w:name="diagnosis-1"/>
    <w:p>
      <w:pPr>
        <w:pStyle w:val="Heading3"/>
      </w:pPr>
      <w:r>
        <w:t xml:space="preserve">Diagnosis</w:t>
      </w:r>
    </w:p>
    <w:p>
      <w:pPr>
        <w:pStyle w:val="Compact"/>
        <w:numPr>
          <w:ilvl w:val="0"/>
          <w:numId w:val="1012"/>
        </w:numPr>
      </w:pPr>
      <w:r>
        <w:t xml:space="preserve">Ask the user to open the app and navigate to</w:t>
      </w:r>
      <w:r>
        <w:t xml:space="preserve"> </w:t>
      </w:r>
      <w:r>
        <w:rPr>
          <w:b/>
          <w:bCs/>
        </w:rPr>
        <w:t xml:space="preserve">Settings &gt; Sync Status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Note the last successful sync timestamp and the error message (if displayed).</w:t>
      </w:r>
    </w:p>
    <w:p>
      <w:pPr>
        <w:pStyle w:val="Compact"/>
        <w:numPr>
          <w:ilvl w:val="0"/>
          <w:numId w:val="1012"/>
        </w:numPr>
      </w:pPr>
      <w:r>
        <w:t xml:space="preserve">Common sync failure causes: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internet on the device</w:t>
            </w:r>
          </w:p>
        </w:tc>
        <w:tc>
          <w:tcPr/>
          <w:p>
            <w:pPr>
              <w:pStyle w:val="Compact"/>
            </w:pPr>
            <w:r>
              <w:t xml:space="preserve">Sync status shows "No connection"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access token expired</w:t>
            </w:r>
          </w:p>
        </w:tc>
        <w:tc>
          <w:tcPr/>
          <w:p>
            <w:pPr>
              <w:pStyle w:val="Compact"/>
            </w:pPr>
            <w:r>
              <w:t xml:space="preserve">Sync error: "Authentication failed" or HTTP 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unreachable from the internet</w:t>
            </w:r>
          </w:p>
        </w:tc>
        <w:tc>
          <w:tcPr/>
          <w:p>
            <w:pPr>
              <w:pStyle w:val="Compact"/>
            </w:pPr>
            <w:r>
              <w:t xml:space="preserve">Sync error: "Server error" or HTTP 503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database conflict</w:t>
            </w:r>
          </w:p>
        </w:tc>
        <w:tc>
          <w:tcPr/>
          <w:p>
            <w:pPr>
              <w:pStyle w:val="Compact"/>
            </w:pPr>
            <w:r>
              <w:t xml:space="preserve">Sync error: "Conflict detected"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t xml:space="preserve">From the ERP admin panel, navigate to</w:t>
      </w:r>
      <w:r>
        <w:t xml:space="preserve"> </w:t>
      </w:r>
      <w:r>
        <w:rPr>
          <w:b/>
          <w:bCs/>
        </w:rPr>
        <w:t xml:space="preserve">Admin &gt; Mobile Sync Log</w:t>
      </w:r>
      <w:r>
        <w:t xml:space="preserve"> </w:t>
      </w:r>
      <w:r>
        <w:t xml:space="preserve">and search for the device's user account — review the last sync attempt and any error detail.</w:t>
      </w:r>
    </w:p>
    <w:bookmarkEnd w:id="29"/>
    <w:bookmarkStart w:id="30" w:name="resolution-steps-1"/>
    <w:p>
      <w:pPr>
        <w:pStyle w:val="Heading3"/>
      </w:pPr>
      <w:r>
        <w:t xml:space="preserve">Resolution Steps</w:t>
      </w:r>
    </w:p>
    <w:p>
      <w:pPr>
        <w:pStyle w:val="FirstParagraph"/>
      </w:pPr>
      <w:r>
        <w:rPr>
          <w:b/>
          <w:bCs/>
        </w:rPr>
        <w:t xml:space="preserve">Case A — No internet on device:</w:t>
      </w:r>
    </w:p>
    <w:p>
      <w:pPr>
        <w:pStyle w:val="Compact"/>
        <w:numPr>
          <w:ilvl w:val="0"/>
          <w:numId w:val="1014"/>
        </w:numPr>
      </w:pPr>
      <w:r>
        <w:t xml:space="preserve">Ask the user to connect to a Wi-Fi network or confirm mobile data is enabled.</w:t>
      </w:r>
    </w:p>
    <w:p>
      <w:pPr>
        <w:pStyle w:val="Compact"/>
        <w:numPr>
          <w:ilvl w:val="0"/>
          <w:numId w:val="1014"/>
        </w:numPr>
      </w:pPr>
      <w:r>
        <w:t xml:space="preserve">In the app, navigate to</w:t>
      </w:r>
      <w:r>
        <w:t xml:space="preserve"> </w:t>
      </w:r>
      <w:r>
        <w:rPr>
          <w:b/>
          <w:bCs/>
        </w:rPr>
        <w:t xml:space="preserve">Settings &gt; Sync</w:t>
      </w:r>
      <w:r>
        <w:t xml:space="preserve"> </w:t>
      </w:r>
      <w:r>
        <w:t xml:space="preserve">and tap</w:t>
      </w:r>
      <w:r>
        <w:t xml:space="preserve"> </w:t>
      </w:r>
      <w:r>
        <w:rPr>
          <w:b/>
          <w:bCs/>
        </w:rPr>
        <w:t xml:space="preserve">Sync Now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Verify the sync completes within 60 seconds and the sync status updates to the current timestamp.</w:t>
      </w:r>
    </w:p>
    <w:p>
      <w:pPr>
        <w:pStyle w:val="FirstParagraph"/>
      </w:pPr>
      <w:r>
        <w:rPr>
          <w:b/>
          <w:bCs/>
        </w:rPr>
        <w:t xml:space="preserve">Case B — Authentication failure (JWT expired or revoked):</w:t>
      </w:r>
    </w:p>
    <w:p>
      <w:pPr>
        <w:pStyle w:val="Compact"/>
        <w:numPr>
          <w:ilvl w:val="0"/>
          <w:numId w:val="1015"/>
        </w:numPr>
      </w:pPr>
      <w:r>
        <w:t xml:space="preserve">Ask the user to log out of the app completely.</w:t>
      </w:r>
    </w:p>
    <w:p>
      <w:pPr>
        <w:pStyle w:val="Compact"/>
        <w:numPr>
          <w:ilvl w:val="0"/>
          <w:numId w:val="1015"/>
        </w:numPr>
      </w:pPr>
      <w:r>
        <w:t xml:space="preserve">Log back in with their credentials.</w:t>
      </w:r>
    </w:p>
    <w:p>
      <w:pPr>
        <w:pStyle w:val="Compact"/>
        <w:numPr>
          <w:ilvl w:val="0"/>
          <w:numId w:val="1015"/>
        </w:numPr>
      </w:pPr>
      <w:r>
        <w:t xml:space="preserve">The login process issues a new JWT access token and refresh token.</w:t>
      </w:r>
    </w:p>
    <w:p>
      <w:pPr>
        <w:pStyle w:val="Compact"/>
        <w:numPr>
          <w:ilvl w:val="0"/>
          <w:numId w:val="1015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Sync Now</w:t>
      </w:r>
      <w:r>
        <w:t xml:space="preserve"> </w:t>
      </w:r>
      <w:r>
        <w:t xml:space="preserve">after login.</w:t>
      </w:r>
    </w:p>
    <w:p>
      <w:pPr>
        <w:pStyle w:val="FirstParagraph"/>
      </w:pPr>
      <w:r>
        <w:rPr>
          <w:b/>
          <w:bCs/>
        </w:rPr>
        <w:t xml:space="preserve">Case C — Server unreachable:</w:t>
      </w:r>
    </w:p>
    <w:p>
      <w:pPr>
        <w:pStyle w:val="Compact"/>
        <w:numPr>
          <w:ilvl w:val="0"/>
          <w:numId w:val="1016"/>
        </w:numPr>
      </w:pPr>
      <w:r>
        <w:t xml:space="preserve">Verify the BIRDC ERP server is running: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apache2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php8.3-fpm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mysql</w:t>
      </w:r>
    </w:p>
    <w:p>
      <w:pPr>
        <w:pStyle w:val="Compact"/>
        <w:numPr>
          <w:ilvl w:val="0"/>
          <w:numId w:val="1017"/>
        </w:numPr>
      </w:pPr>
      <w:r>
        <w:t xml:space="preserve">All 3 services must show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. If any is stopped, start it: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service-name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018"/>
        </w:numPr>
      </w:pPr>
      <w:r>
        <w:t xml:space="preserve">Once the server is confirmed running, ask the user to retry the sync.</w:t>
      </w:r>
    </w:p>
    <w:bookmarkEnd w:id="30"/>
    <w:bookmarkStart w:id="31" w:name="force-sync-procedure"/>
    <w:p>
      <w:pPr>
        <w:pStyle w:val="Heading3"/>
      </w:pPr>
      <w:r>
        <w:t xml:space="preserve">Force Sync Procedure</w:t>
      </w:r>
    </w:p>
    <w:p>
      <w:pPr>
        <w:pStyle w:val="FirstParagraph"/>
      </w:pPr>
      <w:r>
        <w:t xml:space="preserve">If the standard sync does not resolve the issue:</w:t>
      </w:r>
    </w:p>
    <w:p>
      <w:pPr>
        <w:pStyle w:val="Compact"/>
        <w:numPr>
          <w:ilvl w:val="0"/>
          <w:numId w:val="1019"/>
        </w:numPr>
      </w:pPr>
      <w:r>
        <w:t xml:space="preserve">In the app, navigate to</w:t>
      </w:r>
      <w:r>
        <w:t xml:space="preserve"> </w:t>
      </w:r>
      <w:r>
        <w:rPr>
          <w:b/>
          <w:bCs/>
        </w:rPr>
        <w:t xml:space="preserve">Settings &gt; Advanced &gt; Force Full Sync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This discards the local sync delta and re-downloads the server state.</w:t>
      </w:r>
    </w:p>
    <w:p>
      <w:pPr>
        <w:pStyle w:val="Compact"/>
        <w:numPr>
          <w:ilvl w:val="0"/>
          <w:numId w:val="1019"/>
        </w:numPr>
      </w:pPr>
      <w:r>
        <w:t xml:space="preserve">Warn the user: any data entered offline that has not been marked as synced will be included in the force sync — it will not be lost.</w:t>
      </w:r>
    </w:p>
    <w:bookmarkEnd w:id="31"/>
    <w:bookmarkStart w:id="32" w:name="data-recovery"/>
    <w:p>
      <w:pPr>
        <w:pStyle w:val="Heading3"/>
      </w:pPr>
      <w:r>
        <w:t xml:space="preserve">Data Recovery</w:t>
      </w:r>
    </w:p>
    <w:p>
      <w:pPr>
        <w:pStyle w:val="FirstParagraph"/>
      </w:pPr>
      <w:r>
        <w:t xml:space="preserve">If the user suspects offline transactions are missing after sync:</w:t>
      </w:r>
    </w:p>
    <w:p>
      <w:pPr>
        <w:pStyle w:val="Compact"/>
        <w:numPr>
          <w:ilvl w:val="0"/>
          <w:numId w:val="1020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Admin &gt; Mobile Sync Log &gt; [username] &gt; Offline Transactions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The system records every offline transaction with its local timestamp and sync status.</w:t>
      </w:r>
    </w:p>
    <w:p>
      <w:pPr>
        <w:pStyle w:val="Compact"/>
        <w:numPr>
          <w:ilvl w:val="0"/>
          <w:numId w:val="1020"/>
        </w:numPr>
      </w:pPr>
      <w:r>
        <w:t xml:space="preserve">If a transaction shows</w:t>
      </w:r>
      <w:r>
        <w:t xml:space="preserve"> </w:t>
      </w:r>
      <w:r>
        <w:rPr>
          <w:b/>
          <w:bCs/>
        </w:rPr>
        <w:t xml:space="preserve">Synced</w:t>
      </w:r>
      <w:r>
        <w:t xml:space="preserve"> </w:t>
      </w:r>
      <w:r>
        <w:t xml:space="preserve">status, it is in the database — search the relevant module (Sales, Farmer Delivery) by date and user.</w:t>
      </w:r>
    </w:p>
    <w:p>
      <w:pPr>
        <w:pStyle w:val="Compact"/>
        <w:numPr>
          <w:ilvl w:val="0"/>
          <w:numId w:val="1020"/>
        </w:numPr>
      </w:pPr>
      <w:r>
        <w:t xml:space="preserve">If a transaction shows</w:t>
      </w:r>
      <w:r>
        <w:t xml:space="preserve"> </w:t>
      </w:r>
      <w:r>
        <w:rPr>
          <w:b/>
          <w:bCs/>
        </w:rPr>
        <w:t xml:space="preserve">Sync Failed</w:t>
      </w:r>
      <w:r>
        <w:t xml:space="preserve"> </w:t>
      </w:r>
      <w:r>
        <w:t xml:space="preserve">status,</w:t>
      </w:r>
      <w:r>
        <w:t xml:space="preserve"> </w:t>
      </w:r>
      <w:r>
        <w:rPr>
          <w:b/>
          <w:bCs/>
        </w:rPr>
        <w:t xml:space="preserve">ESCALATE</w:t>
      </w:r>
      <w:r>
        <w:t xml:space="preserve"> </w:t>
      </w:r>
      <w:r>
        <w:t xml:space="preserve">to Peter Bamuhigire for manual data recovery from the device's Room (SQLite) database.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inc-003-database-connection-failure"/>
    <w:p>
      <w:pPr>
        <w:pStyle w:val="Heading2"/>
      </w:pPr>
      <w:r>
        <w:t xml:space="preserve">INC-003: Database Connection Failure</w:t>
      </w:r>
    </w:p>
    <w:bookmarkStart w:id="34" w:name="symptoms-2"/>
    <w:p>
      <w:pPr>
        <w:pStyle w:val="Heading3"/>
      </w:pPr>
      <w:r>
        <w:t xml:space="preserve">Symptoms</w:t>
      </w:r>
    </w:p>
    <w:p>
      <w:pPr>
        <w:pStyle w:val="Compact"/>
        <w:numPr>
          <w:ilvl w:val="0"/>
          <w:numId w:val="1021"/>
        </w:numPr>
      </w:pPr>
      <w:r>
        <w:t xml:space="preserve">The web application displays an error page containing: "Database connection failed", "SQLSTATE", or "Can't connect to MySQL server."</w:t>
      </w:r>
    </w:p>
    <w:p>
      <w:pPr>
        <w:pStyle w:val="Compact"/>
        <w:numPr>
          <w:ilvl w:val="0"/>
          <w:numId w:val="1021"/>
        </w:numPr>
      </w:pPr>
      <w:r>
        <w:t xml:space="preserve">All users are unable to log in or load any page beyond the login screen.</w:t>
      </w:r>
    </w:p>
    <w:p>
      <w:pPr>
        <w:pStyle w:val="Compact"/>
        <w:numPr>
          <w:ilvl w:val="0"/>
          <w:numId w:val="1021"/>
        </w:numPr>
      </w:pPr>
      <w:r>
        <w:t xml:space="preserve">Android app sync fails with a server error.</w:t>
      </w:r>
    </w:p>
    <w:bookmarkEnd w:id="34"/>
    <w:bookmarkStart w:id="35" w:name="diagnosis-2"/>
    <w:p>
      <w:pPr>
        <w:pStyle w:val="Heading3"/>
      </w:pPr>
      <w:r>
        <w:t xml:space="preserve">Diagnosis</w:t>
      </w:r>
    </w:p>
    <w:p>
      <w:pPr>
        <w:pStyle w:val="Compact"/>
        <w:numPr>
          <w:ilvl w:val="0"/>
          <w:numId w:val="1022"/>
        </w:numPr>
      </w:pPr>
      <w:r>
        <w:t xml:space="preserve">Verify MySQL is running: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mysql</w:t>
      </w:r>
    </w:p>
    <w:p>
      <w:pPr>
        <w:pStyle w:val="FirstParagraph"/>
      </w:pPr>
      <w:r>
        <w:t xml:space="preserve">If the status shows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, proceed to Resolution Steps Case A.</w:t>
      </w:r>
    </w:p>
    <w:p>
      <w:pPr>
        <w:pStyle w:val="Compact"/>
        <w:numPr>
          <w:ilvl w:val="0"/>
          <w:numId w:val="1023"/>
        </w:numPr>
      </w:pPr>
      <w:r>
        <w:t xml:space="preserve">If MySQL is running, verify the application can connect: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birdc_app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127.0.0.1 birdc_erp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1;"</w:t>
      </w:r>
    </w:p>
    <w:p>
      <w:pPr>
        <w:pStyle w:val="FirstParagraph"/>
      </w:pPr>
      <w:r>
        <w:t xml:space="preserve">If this fails with an access denied error, the database user credentials may have changed — proceed to Case B.</w:t>
      </w:r>
    </w:p>
    <w:p>
      <w:pPr>
        <w:pStyle w:val="Compact"/>
        <w:numPr>
          <w:ilvl w:val="0"/>
          <w:numId w:val="1024"/>
        </w:numPr>
      </w:pPr>
      <w:r>
        <w:t xml:space="preserve">Check MySQL error log for crash details: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 /var/log/mysql/error.log</w:t>
      </w:r>
    </w:p>
    <w:p>
      <w:pPr>
        <w:pStyle w:val="Compact"/>
        <w:numPr>
          <w:ilvl w:val="0"/>
          <w:numId w:val="1025"/>
        </w:numPr>
      </w:pPr>
      <w:r>
        <w:t xml:space="preserve">Check disk space — a full disk will prevent MySQL from writing: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t xml:space="preserve">If the volume hosting MySQL data is at 100% capacity, proceed to Case C.</w:t>
      </w:r>
    </w:p>
    <w:bookmarkEnd w:id="35"/>
    <w:bookmarkStart w:id="36" w:name="resolution-steps-2"/>
    <w:p>
      <w:pPr>
        <w:pStyle w:val="Heading3"/>
      </w:pPr>
      <w:r>
        <w:t xml:space="preserve">Resolution Steps</w:t>
      </w:r>
    </w:p>
    <w:p>
      <w:pPr>
        <w:pStyle w:val="FirstParagraph"/>
      </w:pPr>
      <w:r>
        <w:rPr>
          <w:b/>
          <w:bCs/>
        </w:rPr>
        <w:t xml:space="preserve">Case A — MySQL service stopped:</w:t>
      </w:r>
    </w:p>
    <w:p>
      <w:pPr>
        <w:pStyle w:val="Compact"/>
        <w:numPr>
          <w:ilvl w:val="0"/>
          <w:numId w:val="1026"/>
        </w:numPr>
      </w:pPr>
      <w:r>
        <w:t xml:space="preserve">Restart MySQL: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mysql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mysql</w:t>
      </w:r>
    </w:p>
    <w:p>
      <w:pPr>
        <w:pStyle w:val="Compact"/>
        <w:numPr>
          <w:ilvl w:val="0"/>
          <w:numId w:val="1027"/>
        </w:numPr>
      </w:pPr>
      <w:r>
        <w:t xml:space="preserve">If MySQL restarts successfully, test the web application within 30 seconds.</w:t>
      </w:r>
    </w:p>
    <w:p>
      <w:pPr>
        <w:pStyle w:val="Compact"/>
        <w:numPr>
          <w:ilvl w:val="0"/>
          <w:numId w:val="1027"/>
        </w:numPr>
      </w:pPr>
      <w:r>
        <w:t xml:space="preserve">If MySQL fails to restart, review</w:t>
      </w:r>
      <w:r>
        <w:t xml:space="preserve"> </w:t>
      </w:r>
      <w:r>
        <w:rPr>
          <w:rStyle w:val="VerbatimChar"/>
        </w:rPr>
        <w:t xml:space="preserve">/var/log/mysql/error.log</w:t>
      </w:r>
      <w:r>
        <w:t xml:space="preserve"> </w:t>
      </w:r>
      <w:r>
        <w:t xml:space="preserve">for a specific crash reason.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ESCALATE</w:t>
      </w:r>
      <w:r>
        <w:t xml:space="preserve"> </w:t>
      </w:r>
      <w:r>
        <w:t xml:space="preserve">to Peter Bamuhigire if MySQL cannot be restarted within 5 minutes.</w:t>
      </w:r>
    </w:p>
    <w:p>
      <w:pPr>
        <w:pStyle w:val="FirstParagraph"/>
      </w:pPr>
      <w:r>
        <w:rPr>
          <w:b/>
          <w:bCs/>
        </w:rPr>
        <w:t xml:space="preserve">Case B — Database user authentication failure:</w:t>
      </w:r>
    </w:p>
    <w:p>
      <w:pPr>
        <w:pStyle w:val="Compact"/>
        <w:numPr>
          <w:ilvl w:val="0"/>
          <w:numId w:val="1028"/>
        </w:numPr>
      </w:pPr>
      <w:r>
        <w:t xml:space="preserve">Log in to MySQL as root: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mysql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</w:p>
    <w:p>
      <w:pPr>
        <w:pStyle w:val="Compact"/>
        <w:numPr>
          <w:ilvl w:val="0"/>
          <w:numId w:val="1029"/>
        </w:numPr>
      </w:pPr>
      <w:r>
        <w:t xml:space="preserve">Reset the application user's password: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'birdc_app'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'&lt;new-strong-password&gt;'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EXIT;</w:t>
      </w:r>
    </w:p>
    <w:p>
      <w:pPr>
        <w:pStyle w:val="Compact"/>
        <w:numPr>
          <w:ilvl w:val="0"/>
          <w:numId w:val="1030"/>
        </w:numPr>
      </w:pPr>
      <w:r>
        <w:t xml:space="preserve">Update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with the new password and restart PHP-FPM: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php8.3-fpm</w:t>
      </w:r>
    </w:p>
    <w:p>
      <w:pPr>
        <w:pStyle w:val="FirstParagraph"/>
      </w:pPr>
      <w:r>
        <w:rPr>
          <w:b/>
          <w:bCs/>
        </w:rPr>
        <w:t xml:space="preserve">Case C — Disk full: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ESCALATE</w:t>
      </w:r>
      <w:r>
        <w:t xml:space="preserve"> </w:t>
      </w:r>
      <w:r>
        <w:t xml:space="preserve">to Peter Bamuhigire immediately.</w:t>
      </w:r>
    </w:p>
    <w:p>
      <w:pPr>
        <w:pStyle w:val="Compact"/>
        <w:numPr>
          <w:ilvl w:val="0"/>
          <w:numId w:val="1031"/>
        </w:numPr>
      </w:pPr>
      <w:r>
        <w:t xml:space="preserve">Do not attempt to delete files without guidance — deleting the wrong files can corrupt the MySQL data directory.</w:t>
      </w:r>
    </w:p>
    <w:p>
      <w:pPr>
        <w:pStyle w:val="Compact"/>
        <w:numPr>
          <w:ilvl w:val="0"/>
          <w:numId w:val="1031"/>
        </w:numPr>
      </w:pPr>
      <w:r>
        <w:t xml:space="preserve">As a temporary measure, identify the largest log files: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du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/var/log/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pPr>
        <w:pStyle w:val="Compact"/>
        <w:numPr>
          <w:ilvl w:val="0"/>
          <w:numId w:val="1032"/>
        </w:numPr>
      </w:pPr>
      <w:r>
        <w:t xml:space="preserve">Peter Bamuhigire will direct which log files can safely be cleared or rotated.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3ebe8a56c4e700ee97747e63200ca4ebcf1de35"/>
    <w:p>
      <w:pPr>
        <w:pStyle w:val="Heading2"/>
      </w:pPr>
      <w:r>
        <w:t xml:space="preserve">INC-004: MTN MoMo / Airtel Money Bulk Payment Failure</w:t>
      </w:r>
    </w:p>
    <w:bookmarkStart w:id="38" w:name="symptoms-3"/>
    <w:p>
      <w:pPr>
        <w:pStyle w:val="Heading3"/>
      </w:pPr>
      <w:r>
        <w:t xml:space="preserve">Symptoms</w:t>
      </w:r>
    </w:p>
    <w:p>
      <w:pPr>
        <w:pStyle w:val="Compact"/>
        <w:numPr>
          <w:ilvl w:val="0"/>
          <w:numId w:val="1033"/>
        </w:numPr>
      </w:pPr>
      <w:r>
        <w:t xml:space="preserve">A farmer payment batch or casual worker salary batch shows status</w:t>
      </w:r>
      <w:r>
        <w:t xml:space="preserve"> </w:t>
      </w:r>
      <w:r>
        <w:rPr>
          <w:b/>
          <w:bCs/>
        </w:rPr>
        <w:t xml:space="preserve">Payment Failed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Partially Paid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The Finance Director receives an automated alert: "Bulk payment batch [Batch ID] failed."</w:t>
      </w:r>
    </w:p>
    <w:p>
      <w:pPr>
        <w:pStyle w:val="Compact"/>
        <w:numPr>
          <w:ilvl w:val="0"/>
          <w:numId w:val="1033"/>
        </w:numPr>
      </w:pPr>
      <w:r>
        <w:t xml:space="preserve">Individual payment lines show error codes from the MTN MoMo or Airtel Money API.</w:t>
      </w:r>
    </w:p>
    <w:bookmarkEnd w:id="38"/>
    <w:bookmarkStart w:id="39" w:name="diagnosis-3"/>
    <w:p>
      <w:pPr>
        <w:pStyle w:val="Heading3"/>
      </w:pPr>
      <w:r>
        <w:t xml:space="preserve">Diagnosis</w:t>
      </w:r>
    </w:p>
    <w:p>
      <w:pPr>
        <w:pStyle w:val="Compact"/>
        <w:numPr>
          <w:ilvl w:val="0"/>
          <w:numId w:val="1034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Finance &gt; Payments &gt; Bulk Payment Batches</w:t>
      </w:r>
      <w:r>
        <w:t xml:space="preserve"> </w:t>
      </w:r>
      <w:r>
        <w:t xml:space="preserve">and open the failed batch.</w:t>
      </w:r>
    </w:p>
    <w:p>
      <w:pPr>
        <w:pStyle w:val="Compact"/>
        <w:numPr>
          <w:ilvl w:val="0"/>
          <w:numId w:val="1034"/>
        </w:numPr>
      </w:pPr>
      <w:r>
        <w:t xml:space="preserve">Review the status column for each payment line — note which lines failed and their error codes.</w:t>
      </w:r>
    </w:p>
    <w:p>
      <w:pPr>
        <w:pStyle w:val="Compact"/>
        <w:numPr>
          <w:ilvl w:val="0"/>
          <w:numId w:val="1034"/>
        </w:numPr>
      </w:pPr>
      <w:r>
        <w:t xml:space="preserve">Common MTN MoMo API error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PAYER_NOT_FOUND</w:t>
            </w:r>
          </w:p>
        </w:tc>
        <w:tc>
          <w:tcPr/>
          <w:p>
            <w:pPr>
              <w:pStyle w:val="Compact"/>
            </w:pPr>
            <w:r>
              <w:t xml:space="preserve">The mobile number is not registered on MTN MoMo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NOT_ENOUGH_FUNDS</w:t>
            </w:r>
          </w:p>
        </w:tc>
        <w:tc>
          <w:tcPr/>
          <w:p>
            <w:pPr>
              <w:pStyle w:val="Compact"/>
            </w:pPr>
            <w:r>
              <w:t xml:space="preserve">The BIRDC MoMo business account has insufficient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INTERNAL_PROCESSING_ERROR</w:t>
            </w:r>
          </w:p>
        </w:tc>
        <w:tc>
          <w:tcPr/>
          <w:p>
            <w:pPr>
              <w:pStyle w:val="Compact"/>
            </w:pPr>
            <w:r>
              <w:t xml:space="preserve">MTN MoMo system error — 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APPROVAL_REJECTED</w:t>
            </w:r>
          </w:p>
        </w:tc>
        <w:tc>
          <w:tcPr/>
          <w:p>
            <w:pPr>
              <w:pStyle w:val="Compact"/>
            </w:pPr>
            <w:r>
              <w:t xml:space="preserve">The BIRDC authorised approver rejected the batch in the MoMo portal</w:t>
            </w:r>
          </w:p>
        </w:tc>
      </w:tr>
    </w:tbl>
    <w:p>
      <w:pPr>
        <w:pStyle w:val="Compact"/>
        <w:numPr>
          <w:ilvl w:val="0"/>
          <w:numId w:val="1035"/>
        </w:numPr>
      </w:pPr>
      <w:r>
        <w:t xml:space="preserve">Check the BIRDC MTN MoMo business account balance in the MTN Business Portal.</w:t>
      </w:r>
    </w:p>
    <w:bookmarkEnd w:id="39"/>
    <w:bookmarkStart w:id="40" w:name="resolution-steps-3"/>
    <w:p>
      <w:pPr>
        <w:pStyle w:val="Heading3"/>
      </w:pPr>
      <w:r>
        <w:t xml:space="preserve">Resolution Steps</w:t>
      </w:r>
    </w:p>
    <w:p>
      <w:pPr>
        <w:pStyle w:val="FirstParagraph"/>
      </w:pPr>
      <w:r>
        <w:rPr>
          <w:b/>
          <w:bCs/>
        </w:rPr>
        <w:t xml:space="preserve">Case A — Insufficient funds in MoMo account:</w:t>
      </w:r>
    </w:p>
    <w:p>
      <w:pPr>
        <w:pStyle w:val="Compact"/>
        <w:numPr>
          <w:ilvl w:val="0"/>
          <w:numId w:val="1036"/>
        </w:numPr>
      </w:pPr>
      <w:r>
        <w:t xml:space="preserve">Notify the Finance Director immediately.</w:t>
      </w:r>
    </w:p>
    <w:p>
      <w:pPr>
        <w:pStyle w:val="Compact"/>
        <w:numPr>
          <w:ilvl w:val="0"/>
          <w:numId w:val="1036"/>
        </w:numPr>
      </w:pPr>
      <w:r>
        <w:t xml:space="preserve">Do not retry the batch until the MoMo account is topped up.</w:t>
      </w:r>
    </w:p>
    <w:p>
      <w:pPr>
        <w:pStyle w:val="Compact"/>
        <w:numPr>
          <w:ilvl w:val="0"/>
          <w:numId w:val="1036"/>
        </w:numPr>
      </w:pPr>
      <w:r>
        <w:t xml:space="preserve">Finance Director authorises a top-up via the bank or BIRDC cashier.</w:t>
      </w:r>
    </w:p>
    <w:p>
      <w:pPr>
        <w:pStyle w:val="Compact"/>
        <w:numPr>
          <w:ilvl w:val="0"/>
          <w:numId w:val="1036"/>
        </w:numPr>
      </w:pPr>
      <w:r>
        <w:t xml:space="preserve">Once the balance is confirmed, retry the failed payment lines from</w:t>
      </w:r>
      <w:r>
        <w:t xml:space="preserve"> </w:t>
      </w:r>
      <w:r>
        <w:rPr>
          <w:b/>
          <w:bCs/>
        </w:rPr>
        <w:t xml:space="preserve">Finance &gt; Payments &gt; Bulk Payment Batches &gt; [Batch ID] &gt; Retry Failed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Case B — Invalid mobile numbers (</w:t>
      </w:r>
      <w:r>
        <w:rPr>
          <w:rStyle w:val="VerbatimChar"/>
          <w:b/>
          <w:bCs/>
        </w:rPr>
        <w:t xml:space="preserve">PAYER_NOT_FOUND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37"/>
        </w:numPr>
      </w:pPr>
      <w:r>
        <w:t xml:space="preserve">Export the failed payment lines to Excel.</w:t>
      </w:r>
    </w:p>
    <w:p>
      <w:pPr>
        <w:pStyle w:val="Compact"/>
        <w:numPr>
          <w:ilvl w:val="0"/>
          <w:numId w:val="1037"/>
        </w:numPr>
      </w:pPr>
      <w:r>
        <w:t xml:space="preserve">Contact the relevant field officer or farmer coordinator to obtain the correct mobile numbers.</w:t>
      </w:r>
    </w:p>
    <w:p>
      <w:pPr>
        <w:pStyle w:val="Compact"/>
        <w:numPr>
          <w:ilvl w:val="0"/>
          <w:numId w:val="1037"/>
        </w:numPr>
      </w:pPr>
      <w:r>
        <w:t xml:space="preserve">Update the farmer or employee records in the system.</w:t>
      </w:r>
    </w:p>
    <w:p>
      <w:pPr>
        <w:pStyle w:val="Compact"/>
        <w:numPr>
          <w:ilvl w:val="0"/>
          <w:numId w:val="1037"/>
        </w:numPr>
      </w:pPr>
      <w:r>
        <w:t xml:space="preserve">Create a new payment batch for the corrected numbers — do not retry the original batch line with the incorrect number.</w:t>
      </w:r>
    </w:p>
    <w:p>
      <w:pPr>
        <w:pStyle w:val="FirstParagraph"/>
      </w:pPr>
      <w:r>
        <w:rPr>
          <w:b/>
          <w:bCs/>
        </w:rPr>
        <w:t xml:space="preserve">Case C — Manual payment fallback (when API is fully unavailable):</w:t>
      </w:r>
    </w:p>
    <w:p>
      <w:pPr>
        <w:pStyle w:val="BodyText"/>
      </w:pPr>
      <w:r>
        <w:t xml:space="preserve">If the MTN MoMo API is unavailable and farmers are waiting for payment: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ESCALATE</w:t>
      </w:r>
      <w:r>
        <w:t xml:space="preserve"> </w:t>
      </w:r>
      <w:r>
        <w:t xml:space="preserve">to Finance Director and Peter Bamuhigire.</w:t>
      </w:r>
    </w:p>
    <w:p>
      <w:pPr>
        <w:pStyle w:val="Compact"/>
        <w:numPr>
          <w:ilvl w:val="0"/>
          <w:numId w:val="1038"/>
        </w:numPr>
      </w:pPr>
      <w:r>
        <w:t xml:space="preserve">Generate the payment list from</w:t>
      </w:r>
      <w:r>
        <w:t xml:space="preserve"> </w:t>
      </w:r>
      <w:r>
        <w:rPr>
          <w:b/>
          <w:bCs/>
        </w:rPr>
        <w:t xml:space="preserve">Finance &gt; Payments &gt; Bulk Payment Batches &gt; [Batch ID] &gt; Export to Excel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Finance Director authorises manual bank transfer or cash payment for urgent cases.</w:t>
      </w:r>
    </w:p>
    <w:p>
      <w:pPr>
        <w:pStyle w:val="Compact"/>
        <w:numPr>
          <w:ilvl w:val="0"/>
          <w:numId w:val="1038"/>
        </w:numPr>
      </w:pPr>
      <w:r>
        <w:t xml:space="preserve">Record each manual payment in the system under</w:t>
      </w:r>
      <w:r>
        <w:t xml:space="preserve"> </w:t>
      </w:r>
      <w:r>
        <w:rPr>
          <w:b/>
          <w:bCs/>
        </w:rPr>
        <w:t xml:space="preserve">Finance &gt; Payments &gt; Manual Payment</w:t>
      </w:r>
      <w:r>
        <w:t xml:space="preserve"> </w:t>
      </w:r>
      <w:r>
        <w:t xml:space="preserve">— this preserves the audit trail.</w:t>
      </w:r>
    </w:p>
    <w:p>
      <w:pPr>
        <w:pStyle w:val="Compact"/>
        <w:numPr>
          <w:ilvl w:val="0"/>
          <w:numId w:val="1038"/>
        </w:numPr>
      </w:pPr>
      <w:r>
        <w:t xml:space="preserve">When the API is restored, mark the manually paid lines as</w:t>
      </w:r>
      <w:r>
        <w:t xml:space="preserve"> </w:t>
      </w:r>
      <w:r>
        <w:rPr>
          <w:b/>
          <w:bCs/>
        </w:rPr>
        <w:t xml:space="preserve">Paid — Manual Override</w:t>
      </w:r>
      <w:r>
        <w:t xml:space="preserve"> </w:t>
      </w:r>
      <w:r>
        <w:t xml:space="preserve">in the batch, with a note referencing the manual payment record.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Xead0581cfdb086bd47a63c6a89ee315b71d1125"/>
    <w:p>
      <w:pPr>
        <w:pStyle w:val="Heading2"/>
      </w:pPr>
      <w:r>
        <w:t xml:space="preserve">INC-005: Payroll Calculation Discrepancy Discovered Post-Approval</w:t>
      </w:r>
    </w:p>
    <w:bookmarkStart w:id="42" w:name="symptoms-4"/>
    <w:p>
      <w:pPr>
        <w:pStyle w:val="Heading3"/>
      </w:pPr>
      <w:r>
        <w:t xml:space="preserve">Symptoms</w:t>
      </w:r>
    </w:p>
    <w:p>
      <w:pPr>
        <w:pStyle w:val="Compact"/>
        <w:numPr>
          <w:ilvl w:val="0"/>
          <w:numId w:val="1039"/>
        </w:numPr>
      </w:pPr>
      <w:r>
        <w:t xml:space="preserve">After a payroll has been approved, a calculation error is discovered (wrong PAYE rate, incorrect allowance, missing deduction).</w:t>
      </w:r>
    </w:p>
    <w:p>
      <w:pPr>
        <w:pStyle w:val="Compact"/>
        <w:numPr>
          <w:ilvl w:val="0"/>
          <w:numId w:val="1039"/>
        </w:numPr>
      </w:pPr>
      <w:r>
        <w:t xml:space="preserve">A staff member reports their payslip shows an incorrect net pay amount.</w:t>
      </w:r>
    </w:p>
    <w:bookmarkEnd w:id="42"/>
    <w:bookmarkStart w:id="43" w:name="design-constraint"/>
    <w:p>
      <w:pPr>
        <w:pStyle w:val="Heading3"/>
      </w:pPr>
      <w:r>
        <w:t xml:space="preserve">Design Constraint</w:t>
      </w:r>
    </w:p>
    <w:p>
      <w:pPr>
        <w:pStyle w:val="FirstParagraph"/>
      </w:pPr>
      <w:r>
        <w:t xml:space="preserve">Business Rule</w:t>
      </w:r>
      <w:r>
        <w:t xml:space="preserve"> </w:t>
      </w:r>
      <w:r>
        <w:rPr>
          <w:b/>
          <w:bCs/>
        </w:rPr>
        <w:t xml:space="preserve">BR-010</w:t>
      </w:r>
      <w:r>
        <w:t xml:space="preserve"> </w:t>
      </w:r>
      <w:r>
        <w:t xml:space="preserve">enforces payroll immutability: an approved payroll run cannot be edited or deleted. This is required for audit compliance under the Uganda Income Tax Act 7-year retention requirement (Design Covenant DC-003). The payroll journal entry is locked and cannot be reversed by a user.</w:t>
      </w:r>
    </w:p>
    <w:bookmarkEnd w:id="43"/>
    <w:bookmarkStart w:id="44" w:name="resolution-steps-4"/>
    <w:p>
      <w:pPr>
        <w:pStyle w:val="Heading3"/>
      </w:pPr>
      <w:r>
        <w:t xml:space="preserve">Resolution Steps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Do not attempt to edit or delete the approved payroll run.</w:t>
      </w:r>
      <w:r>
        <w:t xml:space="preserve"> </w:t>
      </w:r>
      <w:r>
        <w:t xml:space="preserve">Any such attempt will be blocked by the system and logged in the audit trail.</w:t>
      </w:r>
    </w:p>
    <w:p>
      <w:pPr>
        <w:pStyle w:val="Compact"/>
        <w:numPr>
          <w:ilvl w:val="0"/>
          <w:numId w:val="1040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HR &gt; Payroll &gt; Payroll Runs</w:t>
      </w:r>
      <w:r>
        <w:t xml:space="preserve"> </w:t>
      </w:r>
      <w:r>
        <w:t xml:space="preserve">and open the affected run.</w:t>
      </w:r>
    </w:p>
    <w:p>
      <w:pPr>
        <w:pStyle w:val="Compact"/>
        <w:numPr>
          <w:ilvl w:val="0"/>
          <w:numId w:val="104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View Discrepancy Report</w:t>
      </w:r>
      <w:r>
        <w:t xml:space="preserve"> </w:t>
      </w:r>
      <w:r>
        <w:t xml:space="preserve">— enter a description of the error discovered.</w:t>
      </w:r>
    </w:p>
    <w:p>
      <w:pPr>
        <w:pStyle w:val="Compact"/>
        <w:numPr>
          <w:ilvl w:val="0"/>
          <w:numId w:val="1040"/>
        </w:numPr>
      </w:pPr>
      <w:r>
        <w:t xml:space="preserve">Notify the Finance Director by phone or WhatsApp immediately.</w:t>
      </w:r>
    </w:p>
    <w:p>
      <w:pPr>
        <w:pStyle w:val="Compact"/>
        <w:numPr>
          <w:ilvl w:val="0"/>
          <w:numId w:val="1040"/>
        </w:numPr>
      </w:pPr>
      <w:r>
        <w:t xml:space="preserve">The Finance Director navigates to</w:t>
      </w:r>
      <w:r>
        <w:t xml:space="preserve"> </w:t>
      </w:r>
      <w:r>
        <w:rPr>
          <w:b/>
          <w:bCs/>
        </w:rPr>
        <w:t xml:space="preserve">HR &gt; Payroll &gt; Correction Runs</w:t>
      </w:r>
      <w:r>
        <w:t xml:space="preserve"> </w:t>
      </w:r>
      <w:r>
        <w:t xml:space="preserve">and creates a new correction run:</w:t>
      </w:r>
    </w:p>
    <w:p>
      <w:pPr>
        <w:pStyle w:val="Compact"/>
        <w:numPr>
          <w:ilvl w:val="1"/>
          <w:numId w:val="1041"/>
        </w:numPr>
      </w:pPr>
      <w:r>
        <w:t xml:space="preserve">Select the original payroll period.</w:t>
      </w:r>
    </w:p>
    <w:p>
      <w:pPr>
        <w:pStyle w:val="Compact"/>
        <w:numPr>
          <w:ilvl w:val="1"/>
          <w:numId w:val="1041"/>
        </w:numPr>
      </w:pPr>
      <w:r>
        <w:t xml:space="preserve">Select only the affected employees.</w:t>
      </w:r>
    </w:p>
    <w:p>
      <w:pPr>
        <w:pStyle w:val="Compact"/>
        <w:numPr>
          <w:ilvl w:val="1"/>
          <w:numId w:val="1041"/>
        </w:numPr>
      </w:pPr>
      <w:r>
        <w:t xml:space="preserve">Enter the correction amounts as positive (underpayment) or negative (overpayment) adjustments.</w:t>
      </w:r>
    </w:p>
    <w:p>
      <w:pPr>
        <w:pStyle w:val="Compact"/>
        <w:numPr>
          <w:ilvl w:val="1"/>
          <w:numId w:val="1041"/>
        </w:numPr>
      </w:pPr>
      <w:r>
        <w:t xml:space="preserve">Provide a mandatory correction reason that will appear in the audit trail.</w:t>
      </w:r>
    </w:p>
    <w:p>
      <w:pPr>
        <w:pStyle w:val="Compact"/>
        <w:numPr>
          <w:ilvl w:val="0"/>
          <w:numId w:val="1040"/>
        </w:numPr>
      </w:pPr>
      <w:r>
        <w:t xml:space="preserve">The correction run goes through the standard payroll approval workflow before it is locked.</w:t>
      </w:r>
    </w:p>
    <w:p>
      <w:pPr>
        <w:pStyle w:val="Compact"/>
        <w:numPr>
          <w:ilvl w:val="0"/>
          <w:numId w:val="1040"/>
        </w:numPr>
      </w:pPr>
      <w:r>
        <w:t xml:space="preserve">The correction run's journal entry posts separately to the GL — both the original and the correction are visible in the audit trail.</w:t>
      </w:r>
    </w:p>
    <w:bookmarkEnd w:id="44"/>
    <w:bookmarkStart w:id="45" w:name="audit-trail-requirements"/>
    <w:p>
      <w:pPr>
        <w:pStyle w:val="Heading3"/>
      </w:pPr>
      <w:r>
        <w:t xml:space="preserve">Audit Trail Requirements</w:t>
      </w:r>
    </w:p>
    <w:p>
      <w:pPr>
        <w:pStyle w:val="FirstParagraph"/>
      </w:pPr>
      <w:r>
        <w:t xml:space="preserve">The system automatically records:</w:t>
      </w:r>
    </w:p>
    <w:p>
      <w:pPr>
        <w:pStyle w:val="Compact"/>
        <w:numPr>
          <w:ilvl w:val="0"/>
          <w:numId w:val="1042"/>
        </w:numPr>
      </w:pPr>
      <w:r>
        <w:t xml:space="preserve">The user who discovered and logged the discrepancy.</w:t>
      </w:r>
    </w:p>
    <w:p>
      <w:pPr>
        <w:pStyle w:val="Compact"/>
        <w:numPr>
          <w:ilvl w:val="0"/>
          <w:numId w:val="1042"/>
        </w:numPr>
      </w:pPr>
      <w:r>
        <w:t xml:space="preserve">The Finance Director who authorised the correction run.</w:t>
      </w:r>
    </w:p>
    <w:p>
      <w:pPr>
        <w:pStyle w:val="Compact"/>
        <w:numPr>
          <w:ilvl w:val="0"/>
          <w:numId w:val="1042"/>
        </w:numPr>
      </w:pPr>
      <w:r>
        <w:t xml:space="preserve">The original payroll run ID and the correction run ID (linked).</w:t>
      </w:r>
    </w:p>
    <w:p>
      <w:pPr>
        <w:pStyle w:val="Compact"/>
        <w:numPr>
          <w:ilvl w:val="0"/>
          <w:numId w:val="1042"/>
        </w:numPr>
      </w:pPr>
      <w:r>
        <w:t xml:space="preserve">The old and new values for each affected payroll line.</w:t>
      </w:r>
    </w:p>
    <w:p>
      <w:pPr>
        <w:pStyle w:val="FirstParagraph"/>
      </w:pPr>
      <w:r>
        <w:t xml:space="preserve">No additional manual audit documentation is required — the system captures all fields automatically.</w:t>
      </w:r>
    </w:p>
    <w:bookmarkEnd w:id="45"/>
    <w:bookmarkStart w:id="46" w:name="finance-director-notification"/>
    <w:p>
      <w:pPr>
        <w:pStyle w:val="Heading3"/>
      </w:pPr>
      <w:r>
        <w:t xml:space="preserve">Finance Director Notification</w:t>
      </w:r>
    </w:p>
    <w:p>
      <w:pPr>
        <w:pStyle w:val="FirstParagraph"/>
      </w:pPr>
      <w:r>
        <w:t xml:space="preserve">Send the Finance Director a written WhatsApp message (for record) stating:</w:t>
      </w:r>
    </w:p>
    <w:p>
      <w:pPr>
        <w:pStyle w:val="Compact"/>
        <w:numPr>
          <w:ilvl w:val="0"/>
          <w:numId w:val="1043"/>
        </w:numPr>
      </w:pPr>
      <w:r>
        <w:t xml:space="preserve">Payroll period affected.</w:t>
      </w:r>
    </w:p>
    <w:p>
      <w:pPr>
        <w:pStyle w:val="Compact"/>
        <w:numPr>
          <w:ilvl w:val="0"/>
          <w:numId w:val="1043"/>
        </w:numPr>
      </w:pPr>
      <w:r>
        <w:t xml:space="preserve">Number of employees affected.</w:t>
      </w:r>
    </w:p>
    <w:p>
      <w:pPr>
        <w:pStyle w:val="Compact"/>
        <w:numPr>
          <w:ilvl w:val="0"/>
          <w:numId w:val="1043"/>
        </w:numPr>
      </w:pPr>
      <w:r>
        <w:t xml:space="preserve">Nature of the error.</w:t>
      </w:r>
    </w:p>
    <w:p>
      <w:pPr>
        <w:pStyle w:val="Compact"/>
        <w:numPr>
          <w:ilvl w:val="0"/>
          <w:numId w:val="1043"/>
        </w:numPr>
      </w:pPr>
      <w:r>
        <w:t xml:space="preserve">Estimated total correction amount.</w:t>
      </w:r>
    </w:p>
    <w:p>
      <w:pPr>
        <w:pStyle w:val="Compact"/>
        <w:numPr>
          <w:ilvl w:val="0"/>
          <w:numId w:val="1043"/>
        </w:numPr>
      </w:pPr>
      <w:r>
        <w:t xml:space="preserve">Proposed correction run date.</w:t>
      </w:r>
    </w:p>
    <w:p>
      <w:pPr>
        <w:pStyle w:val="FirstParagraph"/>
      </w:pPr>
      <w:r>
        <w:t xml:space="preserve">The Finance Director must acknowledge in writing before the correction run is created.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inc-006-biometric-device-offline"/>
    <w:p>
      <w:pPr>
        <w:pStyle w:val="Heading2"/>
      </w:pPr>
      <w:r>
        <w:t xml:space="preserve">INC-006: Biometric Device Offline</w:t>
      </w:r>
    </w:p>
    <w:bookmarkStart w:id="48" w:name="symptoms-5"/>
    <w:p>
      <w:pPr>
        <w:pStyle w:val="Heading3"/>
      </w:pPr>
      <w:r>
        <w:t xml:space="preserve">Symptoms</w:t>
      </w:r>
    </w:p>
    <w:p>
      <w:pPr>
        <w:pStyle w:val="Compact"/>
        <w:numPr>
          <w:ilvl w:val="0"/>
          <w:numId w:val="1044"/>
        </w:numPr>
      </w:pPr>
      <w:r>
        <w:t xml:space="preserve">The attendance import job in</w:t>
      </w:r>
      <w:r>
        <w:t xml:space="preserve"> </w:t>
      </w:r>
      <w:r>
        <w:rPr>
          <w:b/>
          <w:bCs/>
        </w:rPr>
        <w:t xml:space="preserve">HR &gt; Attendance &gt; Import</w:t>
      </w:r>
      <w:r>
        <w:t xml:space="preserve"> </w:t>
      </w:r>
      <w:r>
        <w:t xml:space="preserve">returns: "Device [device-name] unreachable."</w:t>
      </w:r>
    </w:p>
    <w:p>
      <w:pPr>
        <w:pStyle w:val="Compact"/>
        <w:numPr>
          <w:ilvl w:val="0"/>
          <w:numId w:val="1044"/>
        </w:numPr>
      </w:pPr>
      <w:r>
        <w:t xml:space="preserve">Employees cannot register their fingerprint attendance at the affected terminal.</w:t>
      </w:r>
    </w:p>
    <w:p>
      <w:pPr>
        <w:pStyle w:val="Compact"/>
        <w:numPr>
          <w:ilvl w:val="0"/>
          <w:numId w:val="1044"/>
        </w:numPr>
      </w:pPr>
      <w:r>
        <w:t xml:space="preserve">The BIRDC IT Administrator receives an automated alert: "Biometric device [device-name] offline."</w:t>
      </w:r>
    </w:p>
    <w:bookmarkEnd w:id="48"/>
    <w:bookmarkStart w:id="49" w:name="manual-attendance-fallback-procedure"/>
    <w:p>
      <w:pPr>
        <w:pStyle w:val="Heading3"/>
      </w:pPr>
      <w:r>
        <w:t xml:space="preserve">Manual Attendance Fallback Procedure</w:t>
      </w:r>
    </w:p>
    <w:p>
      <w:pPr>
        <w:pStyle w:val="FirstParagraph"/>
      </w:pPr>
      <w:r>
        <w:t xml:space="preserve">When a biometric device is offline, revert to manual attendance recording immediately:</w:t>
      </w:r>
    </w:p>
    <w:p>
      <w:pPr>
        <w:pStyle w:val="Compact"/>
        <w:numPr>
          <w:ilvl w:val="0"/>
          <w:numId w:val="1045"/>
        </w:numPr>
      </w:pPr>
      <w:r>
        <w:t xml:space="preserve">The HR Supervisor retrieves the paper attendance register for the affected location.</w:t>
      </w:r>
    </w:p>
    <w:p>
      <w:pPr>
        <w:pStyle w:val="Compact"/>
        <w:numPr>
          <w:ilvl w:val="0"/>
          <w:numId w:val="1045"/>
        </w:numPr>
      </w:pPr>
      <w:r>
        <w:t xml:space="preserve">All employees at that location sign in and out on the paper register for each shift until the device is restored.</w:t>
      </w:r>
    </w:p>
    <w:p>
      <w:pPr>
        <w:pStyle w:val="Compact"/>
        <w:numPr>
          <w:ilvl w:val="0"/>
          <w:numId w:val="1045"/>
        </w:numPr>
      </w:pPr>
      <w:r>
        <w:t xml:space="preserve">The HR Supervisor initials the register at the end of each shift.</w:t>
      </w:r>
    </w:p>
    <w:p>
      <w:pPr>
        <w:pStyle w:val="FirstParagraph"/>
      </w:pPr>
      <w:r>
        <w:t xml:space="preserve">Do not allow employees to sign in retroactively after the shift ends — each entry must be made in real time.</w:t>
      </w:r>
    </w:p>
    <w:bookmarkEnd w:id="49"/>
    <w:bookmarkStart w:id="50" w:name="device-restoration"/>
    <w:p>
      <w:pPr>
        <w:pStyle w:val="Heading3"/>
      </w:pPr>
      <w:r>
        <w:t xml:space="preserve">Device Restoration</w:t>
      </w:r>
    </w:p>
    <w:p>
      <w:pPr>
        <w:pStyle w:val="Compact"/>
        <w:numPr>
          <w:ilvl w:val="0"/>
          <w:numId w:val="1046"/>
        </w:numPr>
      </w:pPr>
      <w:r>
        <w:t xml:space="preserve">Check the device's power supply — confirm the device is powered on and the display is active.</w:t>
      </w:r>
    </w:p>
    <w:p>
      <w:pPr>
        <w:pStyle w:val="Compact"/>
        <w:numPr>
          <w:ilvl w:val="0"/>
          <w:numId w:val="1046"/>
        </w:numPr>
      </w:pPr>
      <w:r>
        <w:t xml:space="preserve">Check the network cable or Wi-Fi connection.</w:t>
      </w:r>
    </w:p>
    <w:p>
      <w:pPr>
        <w:pStyle w:val="Compact"/>
        <w:numPr>
          <w:ilvl w:val="0"/>
          <w:numId w:val="1046"/>
        </w:numPr>
      </w:pPr>
      <w:r>
        <w:t xml:space="preserve">From the ERP server, test connectivity: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zkteco-device-ip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047"/>
        </w:numPr>
      </w:pPr>
      <w:r>
        <w:t xml:space="preserve">If the ping fails, check the BIRDC network switch for the port the device is connected to.</w:t>
      </w:r>
    </w:p>
    <w:p>
      <w:pPr>
        <w:pStyle w:val="Compact"/>
        <w:numPr>
          <w:ilvl w:val="0"/>
          <w:numId w:val="1047"/>
        </w:numPr>
      </w:pPr>
      <w:r>
        <w:t xml:space="preserve">If the device is powered and networked but still unreachable, restart the device using the power button.</w:t>
      </w:r>
    </w:p>
    <w:p>
      <w:pPr>
        <w:pStyle w:val="Compact"/>
        <w:numPr>
          <w:ilvl w:val="0"/>
          <w:numId w:val="1047"/>
        </w:numPr>
      </w:pPr>
      <w:r>
        <w:t xml:space="preserve">After restart, test connectivity again and verify the connection in</w:t>
      </w:r>
      <w:r>
        <w:t xml:space="preserve"> </w:t>
      </w:r>
      <w:r>
        <w:rPr>
          <w:b/>
          <w:bCs/>
        </w:rPr>
        <w:t xml:space="preserve">Admin &gt; Integrations &gt; Biometric Devices &gt; [device-name] &gt; Test Connection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ESCALATE</w:t>
      </w:r>
      <w:r>
        <w:t xml:space="preserve"> </w:t>
      </w:r>
      <w:r>
        <w:t xml:space="preserve">to Peter Bamuhigire if the device cannot be restored within 2 hours.</w:t>
      </w:r>
    </w:p>
    <w:bookmarkEnd w:id="50"/>
    <w:bookmarkStart w:id="51" w:name="reconciliation-when-device-reconnects"/>
    <w:p>
      <w:pPr>
        <w:pStyle w:val="Heading3"/>
      </w:pPr>
      <w:r>
        <w:t xml:space="preserve">Reconciliation When Device Reconnects</w:t>
      </w:r>
    </w:p>
    <w:p>
      <w:pPr>
        <w:pStyle w:val="Compact"/>
        <w:numPr>
          <w:ilvl w:val="0"/>
          <w:numId w:val="1048"/>
        </w:numPr>
      </w:pPr>
      <w:r>
        <w:t xml:space="preserve">Once the device is back online, navigate to</w:t>
      </w:r>
      <w:r>
        <w:t xml:space="preserve"> </w:t>
      </w:r>
      <w:r>
        <w:rPr>
          <w:b/>
          <w:bCs/>
        </w:rPr>
        <w:t xml:space="preserve">HR &gt; Attendance &gt; Import &gt; Manual Reconciliation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Enter the date range during which the device was offline.</w:t>
      </w:r>
    </w:p>
    <w:p>
      <w:pPr>
        <w:pStyle w:val="Compact"/>
        <w:numPr>
          <w:ilvl w:val="0"/>
          <w:numId w:val="1048"/>
        </w:numPr>
      </w:pPr>
      <w:r>
        <w:t xml:space="preserve">Upload the scanned paper attendance register as a PDF (for audit purposes).</w:t>
      </w:r>
    </w:p>
    <w:p>
      <w:pPr>
        <w:pStyle w:val="Compact"/>
        <w:numPr>
          <w:ilvl w:val="0"/>
          <w:numId w:val="1048"/>
        </w:numPr>
      </w:pPr>
      <w:r>
        <w:t xml:space="preserve">Manually enter each attendance record from the paper register into the manual entry form.</w:t>
      </w:r>
    </w:p>
    <w:p>
      <w:pPr>
        <w:pStyle w:val="Compact"/>
        <w:numPr>
          <w:ilvl w:val="0"/>
          <w:numId w:val="1048"/>
        </w:numPr>
      </w:pPr>
      <w:r>
        <w:t xml:space="preserve">The HR Supervisor and Finance Director both digitally sign the reconciliation record in the system before the period is closed.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Xf644987f14434b73dc0bc472162ae2c6f4eefed"/>
    <w:p>
      <w:pPr>
        <w:pStyle w:val="Heading2"/>
      </w:pPr>
      <w:r>
        <w:t xml:space="preserve">INC-007: Duplicate Invoice Number Detected</w:t>
      </w:r>
    </w:p>
    <w:bookmarkStart w:id="53" w:name="symptoms-6"/>
    <w:p>
      <w:pPr>
        <w:pStyle w:val="Heading3"/>
      </w:pPr>
      <w:r>
        <w:t xml:space="preserve">Symptoms</w:t>
      </w:r>
    </w:p>
    <w:p>
      <w:pPr>
        <w:pStyle w:val="Compact"/>
        <w:numPr>
          <w:ilvl w:val="0"/>
          <w:numId w:val="1049"/>
        </w:numPr>
      </w:pPr>
      <w:r>
        <w:t xml:space="preserve">The system displays an alert: "Invoice number [INV-XXXX] already exists."</w:t>
      </w:r>
    </w:p>
    <w:p>
      <w:pPr>
        <w:pStyle w:val="Compact"/>
        <w:numPr>
          <w:ilvl w:val="0"/>
          <w:numId w:val="1049"/>
        </w:numPr>
      </w:pPr>
      <w:r>
        <w:t xml:space="preserve">A user reports that two invoices appear to share the same number.</w:t>
      </w:r>
    </w:p>
    <w:p>
      <w:pPr>
        <w:pStyle w:val="Compact"/>
        <w:numPr>
          <w:ilvl w:val="0"/>
          <w:numId w:val="1049"/>
        </w:numPr>
      </w:pPr>
      <w:r>
        <w:t xml:space="preserve">An automated gap/duplicate check (Business Rule</w:t>
      </w:r>
      <w:r>
        <w:t xml:space="preserve"> </w:t>
      </w:r>
      <w:r>
        <w:rPr>
          <w:b/>
          <w:bCs/>
        </w:rPr>
        <w:t xml:space="preserve">BR-009</w:t>
      </w:r>
      <w:r>
        <w:t xml:space="preserve">) sends an alert to the Finance Director.</w:t>
      </w:r>
    </w:p>
    <w:bookmarkEnd w:id="53"/>
    <w:bookmarkStart w:id="54" w:name="diagnosis-4"/>
    <w:p>
      <w:pPr>
        <w:pStyle w:val="Heading3"/>
      </w:pPr>
      <w:r>
        <w:t xml:space="preserve">Diagnosis</w:t>
      </w:r>
    </w:p>
    <w:p>
      <w:pPr>
        <w:pStyle w:val="FirstParagraph"/>
      </w:pPr>
      <w:r>
        <w:t xml:space="preserve">The system enforces unique invoice numbering via a database unique index. A true duplicate at the database level should be impossible. If the alert fires, the most likely causes are:</w:t>
      </w:r>
    </w:p>
    <w:p>
      <w:pPr>
        <w:pStyle w:val="Compact"/>
        <w:numPr>
          <w:ilvl w:val="0"/>
          <w:numId w:val="1050"/>
        </w:numPr>
      </w:pPr>
      <w:r>
        <w:t xml:space="preserve">A manual journal entry or data import bypassed the invoice numbering sequence.</w:t>
      </w:r>
    </w:p>
    <w:p>
      <w:pPr>
        <w:pStyle w:val="Compact"/>
        <w:numPr>
          <w:ilvl w:val="0"/>
          <w:numId w:val="1050"/>
        </w:numPr>
      </w:pPr>
      <w:r>
        <w:t xml:space="preserve">A legacy data migration introduced duplicate numbers in the opening balance import.</w:t>
      </w:r>
    </w:p>
    <w:p>
      <w:pPr>
        <w:pStyle w:val="Compact"/>
        <w:numPr>
          <w:ilvl w:val="0"/>
          <w:numId w:val="1050"/>
        </w:numPr>
      </w:pPr>
      <w:r>
        <w:t xml:space="preserve">An edge case in the invoice number generator (race condition under high concurrency) — this must be treated as a system defect.</w:t>
      </w:r>
    </w:p>
    <w:bookmarkEnd w:id="54"/>
    <w:bookmarkStart w:id="55" w:name="investigation-steps"/>
    <w:p>
      <w:pPr>
        <w:pStyle w:val="Heading3"/>
      </w:pPr>
      <w:r>
        <w:t xml:space="preserve">Investigation Steps</w:t>
      </w:r>
    </w:p>
    <w:p>
      <w:pPr>
        <w:pStyle w:val="Compact"/>
        <w:numPr>
          <w:ilvl w:val="0"/>
          <w:numId w:val="1051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Finance &gt; Invoices &gt; Audit &gt; Duplicate Check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The system generates a duplicate invoice number report — download it.</w:t>
      </w:r>
    </w:p>
    <w:p>
      <w:pPr>
        <w:pStyle w:val="Compact"/>
        <w:numPr>
          <w:ilvl w:val="0"/>
          <w:numId w:val="1051"/>
        </w:numPr>
      </w:pPr>
      <w:r>
        <w:t xml:space="preserve">Identify which invoice number is duplicated and the two (or more) records using it.</w:t>
      </w:r>
    </w:p>
    <w:p>
      <w:pPr>
        <w:pStyle w:val="Compact"/>
        <w:numPr>
          <w:ilvl w:val="0"/>
          <w:numId w:val="1051"/>
        </w:numPr>
      </w:pPr>
      <w:r>
        <w:t xml:space="preserve">Determine the posting date and user for each record.</w:t>
      </w:r>
    </w:p>
    <w:bookmarkEnd w:id="55"/>
    <w:bookmarkStart w:id="56" w:name="finance-director-notification-1"/>
    <w:p>
      <w:pPr>
        <w:pStyle w:val="Heading3"/>
      </w:pPr>
      <w:r>
        <w:t xml:space="preserve">Finance Director Notification</w:t>
      </w:r>
    </w:p>
    <w:p>
      <w:pPr>
        <w:pStyle w:val="FirstParagraph"/>
      </w:pPr>
      <w:r>
        <w:t xml:space="preserve">Send the Finance Director a written WhatsApp message immediately stating:</w:t>
      </w:r>
    </w:p>
    <w:p>
      <w:pPr>
        <w:pStyle w:val="Compact"/>
        <w:numPr>
          <w:ilvl w:val="0"/>
          <w:numId w:val="1052"/>
        </w:numPr>
      </w:pPr>
      <w:r>
        <w:t xml:space="preserve">The duplicate invoice number detected.</w:t>
      </w:r>
    </w:p>
    <w:p>
      <w:pPr>
        <w:pStyle w:val="Compact"/>
        <w:numPr>
          <w:ilvl w:val="0"/>
          <w:numId w:val="1052"/>
        </w:numPr>
      </w:pPr>
      <w:r>
        <w:t xml:space="preserve">The transaction amounts and dates of both records.</w:t>
      </w:r>
    </w:p>
    <w:p>
      <w:pPr>
        <w:pStyle w:val="Compact"/>
        <w:numPr>
          <w:ilvl w:val="0"/>
          <w:numId w:val="1052"/>
        </w:numPr>
      </w:pPr>
      <w:r>
        <w:t xml:space="preserve">Whether either invoice has been submitted to EFRIS (check the EFRIS Submission Queue).</w:t>
      </w:r>
    </w:p>
    <w:p>
      <w:pPr>
        <w:pStyle w:val="FirstParagraph"/>
      </w:pPr>
      <w:r>
        <w:t xml:space="preserve">The Finance Director must not approve any further invoices or payments referencing the duplicate number until the investigation concludes.</w:t>
      </w:r>
    </w:p>
    <w:bookmarkEnd w:id="56"/>
    <w:bookmarkStart w:id="57" w:name="audit-log-review"/>
    <w:p>
      <w:pPr>
        <w:pStyle w:val="Heading3"/>
      </w:pPr>
      <w:r>
        <w:t xml:space="preserve">Audit Log Review</w:t>
      </w:r>
    </w:p>
    <w:p>
      <w:pPr>
        <w:pStyle w:val="Compact"/>
        <w:numPr>
          <w:ilvl w:val="0"/>
          <w:numId w:val="1053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Admin &gt; Audit Log</w:t>
      </w:r>
      <w:r>
        <w:t xml:space="preserve"> </w:t>
      </w:r>
      <w:r>
        <w:t xml:space="preserve">and filter by:</w:t>
      </w:r>
    </w:p>
    <w:p>
      <w:pPr>
        <w:pStyle w:val="Compact"/>
        <w:numPr>
          <w:ilvl w:val="1"/>
          <w:numId w:val="1054"/>
        </w:numPr>
      </w:pPr>
      <w:r>
        <w:t xml:space="preserve">Resource type: Invoice</w:t>
      </w:r>
    </w:p>
    <w:p>
      <w:pPr>
        <w:pStyle w:val="Compact"/>
        <w:numPr>
          <w:ilvl w:val="1"/>
          <w:numId w:val="1054"/>
        </w:numPr>
      </w:pPr>
      <w:r>
        <w:t xml:space="preserve">Invoice number: [duplicate number]</w:t>
      </w:r>
    </w:p>
    <w:p>
      <w:pPr>
        <w:pStyle w:val="Compact"/>
        <w:numPr>
          <w:ilvl w:val="0"/>
          <w:numId w:val="1053"/>
        </w:numPr>
      </w:pPr>
      <w:r>
        <w:t xml:space="preserve">Review every action taken on both records: who created them, when, from which IP address.</w:t>
      </w:r>
    </w:p>
    <w:p>
      <w:pPr>
        <w:pStyle w:val="Compact"/>
        <w:numPr>
          <w:ilvl w:val="0"/>
          <w:numId w:val="1053"/>
        </w:numPr>
      </w:pPr>
      <w:r>
        <w:t xml:space="preserve">Export the audit log to PDF and preserve it as an investigation artefact.</w:t>
      </w:r>
    </w:p>
    <w:bookmarkEnd w:id="57"/>
    <w:bookmarkStart w:id="58" w:name="resolution"/>
    <w:p>
      <w:pPr>
        <w:pStyle w:val="Heading3"/>
      </w:pPr>
      <w:r>
        <w:t xml:space="preserve">Resolution</w:t>
      </w:r>
    </w:p>
    <w:p>
      <w:pPr>
        <w:pStyle w:val="Compact"/>
        <w:numPr>
          <w:ilvl w:val="0"/>
          <w:numId w:val="1055"/>
        </w:numPr>
      </w:pPr>
      <w:r>
        <w:t xml:space="preserve">Determine which invoice record is correct based on supporting documents (delivery notes, purchase orders, contracts).</w:t>
      </w:r>
    </w:p>
    <w:p>
      <w:pPr>
        <w:pStyle w:val="Compact"/>
        <w:numPr>
          <w:ilvl w:val="0"/>
          <w:numId w:val="1055"/>
        </w:numPr>
      </w:pPr>
      <w:r>
        <w:t xml:space="preserve">The incorrect invoice must be voided — not deleted — by the Finance Director. A voided invoice remains visible in the audit trail with a</w:t>
      </w:r>
      <w:r>
        <w:t xml:space="preserve"> </w:t>
      </w:r>
      <w:r>
        <w:rPr>
          <w:b/>
          <w:bCs/>
        </w:rPr>
        <w:t xml:space="preserve">VOID</w:t>
      </w:r>
      <w:r>
        <w:t xml:space="preserve"> </w:t>
      </w:r>
      <w:r>
        <w:t xml:space="preserve">status and the reason for voiding.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ESCALATE</w:t>
      </w:r>
      <w:r>
        <w:t xml:space="preserve"> </w:t>
      </w:r>
      <w:r>
        <w:t xml:space="preserve">to Peter Bamuhigire if the duplication cannot be explained by user action — this may indicate a system defect requiring a code fix.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Xdb54bb009e41e604ff0c9f6c0fcfc6bf41e8e82"/>
    <w:p>
      <w:pPr>
        <w:pStyle w:val="Heading2"/>
      </w:pPr>
      <w:r>
        <w:t xml:space="preserve">INC-008: GL Hash Chain Integrity Check Failure</w:t>
      </w:r>
    </w:p>
    <w:bookmarkStart w:id="60" w:name="symptoms-7"/>
    <w:p>
      <w:pPr>
        <w:pStyle w:val="Heading3"/>
      </w:pPr>
      <w:r>
        <w:t xml:space="preserve">Symptoms</w:t>
      </w:r>
    </w:p>
    <w:p>
      <w:pPr>
        <w:pStyle w:val="Compact"/>
        <w:numPr>
          <w:ilvl w:val="0"/>
          <w:numId w:val="1056"/>
        </w:numPr>
      </w:pPr>
      <w:r>
        <w:t xml:space="preserve">The system's automated nightly integrity check sends an alert: "GL hash chain integrity check FAILED for [date range]."</w:t>
      </w:r>
    </w:p>
    <w:p>
      <w:pPr>
        <w:pStyle w:val="Compact"/>
        <w:numPr>
          <w:ilvl w:val="0"/>
          <w:numId w:val="1056"/>
        </w:numPr>
      </w:pPr>
      <w:r>
        <w:t xml:space="preserve">A user running a manual integrity check from</w:t>
      </w:r>
      <w:r>
        <w:t xml:space="preserve"> </w:t>
      </w:r>
      <w:r>
        <w:rPr>
          <w:b/>
          <w:bCs/>
        </w:rPr>
        <w:t xml:space="preserve">Finance &gt; Audit &gt; Hash Chain Integrity</w:t>
      </w:r>
      <w:r>
        <w:t xml:space="preserve"> </w:t>
      </w:r>
      <w:r>
        <w:t xml:space="preserve">receives a</w:t>
      </w:r>
      <w:r>
        <w:t xml:space="preserve"> </w:t>
      </w:r>
      <w:r>
        <w:rPr>
          <w:b/>
          <w:bCs/>
        </w:rPr>
        <w:t xml:space="preserve">CHAIN BROKEN</w:t>
      </w:r>
      <w:r>
        <w:t xml:space="preserve"> </w:t>
      </w:r>
      <w:r>
        <w:t xml:space="preserve">result.</w:t>
      </w:r>
    </w:p>
    <w:bookmarkEnd w:id="60"/>
    <w:bookmarkStart w:id="61" w:name="severity"/>
    <w:p>
      <w:pPr>
        <w:pStyle w:val="Heading3"/>
      </w:pPr>
      <w:r>
        <w:t xml:space="preserve">Severity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incident. A hash chain failure indicates that one or more posted journal entries have been modified outside the application after posting. This is:</w:t>
      </w:r>
    </w:p>
    <w:p>
      <w:pPr>
        <w:pStyle w:val="Compact"/>
        <w:numPr>
          <w:ilvl w:val="0"/>
          <w:numId w:val="1057"/>
        </w:numPr>
      </w:pPr>
      <w:r>
        <w:t xml:space="preserve">A potential indicator of financial tampering.</w:t>
      </w:r>
    </w:p>
    <w:p>
      <w:pPr>
        <w:pStyle w:val="Compact"/>
        <w:numPr>
          <w:ilvl w:val="0"/>
          <w:numId w:val="1057"/>
        </w:numPr>
      </w:pPr>
      <w:r>
        <w:t xml:space="preserve">An audit anomaly that must be reported to the Office of the Auditor General (OAG Uganda) if tampering is confirmed.</w:t>
      </w:r>
    </w:p>
    <w:bookmarkEnd w:id="61"/>
    <w:bookmarkStart w:id="62" w:name="immediate-actions"/>
    <w:p>
      <w:pPr>
        <w:pStyle w:val="Heading3"/>
      </w:pPr>
      <w:r>
        <w:t xml:space="preserve">Immediate Actions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ESCALATE immediately</w:t>
      </w:r>
      <w:r>
        <w:t xml:space="preserve"> </w:t>
      </w:r>
      <w:r>
        <w:t xml:space="preserve">to Peter Bamuhigire and the Finance Director by phone — do not send by WhatsApp alone for this incident.</w:t>
      </w:r>
    </w:p>
    <w:p>
      <w:pPr>
        <w:pStyle w:val="Compact"/>
        <w:numPr>
          <w:ilvl w:val="0"/>
          <w:numId w:val="1058"/>
        </w:numPr>
      </w:pPr>
      <w:r>
        <w:t xml:space="preserve">Do not post any new journal entries until the investigation is complete. The Finance Director issues a freeze order verbally — this is documented in the incident log.</w:t>
      </w:r>
    </w:p>
    <w:p>
      <w:pPr>
        <w:pStyle w:val="Compact"/>
        <w:numPr>
          <w:ilvl w:val="0"/>
          <w:numId w:val="1058"/>
        </w:numPr>
      </w:pPr>
      <w:r>
        <w:t xml:space="preserve">Do not restart MySQL or modify any files. Preserve the current state of the database.</w:t>
      </w:r>
    </w:p>
    <w:p>
      <w:pPr>
        <w:pStyle w:val="Compact"/>
        <w:numPr>
          <w:ilvl w:val="0"/>
          <w:numId w:val="1058"/>
        </w:numPr>
      </w:pPr>
      <w:r>
        <w:t xml:space="preserve">Take a full database dump immediately (before any further action):</w:t>
      </w:r>
    </w:p>
    <w:p>
      <w:p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birdc_app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--single-transaction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--routines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--triggers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birdc_erp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/backups/incident_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.sql.gz</w:t>
      </w:r>
    </w:p>
    <w:bookmarkEnd w:id="62"/>
    <w:bookmarkStart w:id="63" w:name="evidence-preservation"/>
    <w:p>
      <w:pPr>
        <w:pStyle w:val="Heading3"/>
      </w:pPr>
      <w:r>
        <w:t xml:space="preserve">Evidence Preservation</w:t>
      </w:r>
    </w:p>
    <w:p>
      <w:pPr>
        <w:pStyle w:val="Compact"/>
        <w:numPr>
          <w:ilvl w:val="0"/>
          <w:numId w:val="1059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Finance &gt; Audit &gt; Hash Chain Integrity &gt; Export Failure Report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report identifies: the first transaction in the broken chain, the expected hash, and the actual hash found.</w:t>
      </w:r>
    </w:p>
    <w:p>
      <w:pPr>
        <w:pStyle w:val="Compact"/>
        <w:numPr>
          <w:ilvl w:val="0"/>
          <w:numId w:val="1059"/>
        </w:numPr>
      </w:pPr>
      <w:r>
        <w:t xml:space="preserve">Export the full audit log for the affected date range to PDF.</w:t>
      </w:r>
    </w:p>
    <w:p>
      <w:pPr>
        <w:pStyle w:val="Compact"/>
        <w:numPr>
          <w:ilvl w:val="0"/>
          <w:numId w:val="1059"/>
        </w:numPr>
      </w:pPr>
      <w:r>
        <w:t xml:space="preserve">Peter Bamuhigire will compare the affected journal entry records against the previous day's database backup to identify which fields were changed.</w:t>
      </w:r>
    </w:p>
    <w:bookmarkEnd w:id="63"/>
    <w:bookmarkStart w:id="64" w:name="investigation-procedure"/>
    <w:p>
      <w:pPr>
        <w:pStyle w:val="Heading3"/>
      </w:pPr>
      <w:r>
        <w:t xml:space="preserve">Investigation Procedure</w:t>
      </w:r>
    </w:p>
    <w:p>
      <w:pPr>
        <w:pStyle w:val="FirstParagraph"/>
      </w:pPr>
      <w:r>
        <w:t xml:space="preserve">Peter Bamuhigire will:</w:t>
      </w:r>
    </w:p>
    <w:p>
      <w:pPr>
        <w:pStyle w:val="Compact"/>
        <w:numPr>
          <w:ilvl w:val="0"/>
          <w:numId w:val="1060"/>
        </w:numPr>
      </w:pPr>
      <w:r>
        <w:t xml:space="preserve">Restore the previous day's backup to an isolated test database (not the production database).</w:t>
      </w:r>
    </w:p>
    <w:p>
      <w:pPr>
        <w:pStyle w:val="Compact"/>
        <w:numPr>
          <w:ilvl w:val="0"/>
          <w:numId w:val="1060"/>
        </w:numPr>
      </w:pPr>
      <w:r>
        <w:t xml:space="preserve">Compare the affected journal entry records field by field between the test (pre-incident) database and the production database.</w:t>
      </w:r>
    </w:p>
    <w:p>
      <w:pPr>
        <w:pStyle w:val="Compact"/>
        <w:numPr>
          <w:ilvl w:val="0"/>
          <w:numId w:val="1060"/>
        </w:numPr>
      </w:pPr>
      <w:r>
        <w:t xml:space="preserve">Identify the specific field(s) that changed and correlate with the MySQL binary log (if enabled) to determine whether the change came from the application or was a direct database modification.</w:t>
      </w:r>
    </w:p>
    <w:bookmarkEnd w:id="64"/>
    <w:bookmarkStart w:id="65" w:name="oag-notification"/>
    <w:p>
      <w:pPr>
        <w:pStyle w:val="Heading3"/>
      </w:pPr>
      <w:r>
        <w:t xml:space="preserve">OAG Notification</w:t>
      </w:r>
    </w:p>
    <w:p>
      <w:pPr>
        <w:pStyle w:val="FirstParagraph"/>
      </w:pPr>
      <w:r>
        <w:t xml:space="preserve">If the investigation confirms that a journal entry was modified outside the application:</w:t>
      </w:r>
    </w:p>
    <w:p>
      <w:pPr>
        <w:pStyle w:val="Compact"/>
        <w:numPr>
          <w:ilvl w:val="0"/>
          <w:numId w:val="1061"/>
        </w:numPr>
      </w:pPr>
      <w:r>
        <w:t xml:space="preserve">The Finance Director prepares a formal written incident report addressed to the OAG Uganda.</w:t>
      </w:r>
    </w:p>
    <w:p>
      <w:pPr>
        <w:pStyle w:val="Compact"/>
        <w:numPr>
          <w:ilvl w:val="0"/>
          <w:numId w:val="1061"/>
        </w:numPr>
      </w:pPr>
      <w:r>
        <w:t xml:space="preserve">The report includes: the transaction ID, the original values, the modified values, the date the modification was detected, the names of all users with database access, and the steps taken to preserve evidence.</w:t>
      </w:r>
    </w:p>
    <w:p>
      <w:pPr>
        <w:pStyle w:val="Compact"/>
        <w:numPr>
          <w:ilvl w:val="0"/>
          <w:numId w:val="1061"/>
        </w:numPr>
      </w:pPr>
      <w:r>
        <w:t xml:space="preserve">The report must be submitted within 5 business days of the confirmed tampering finding.</w:t>
      </w:r>
    </w:p>
    <w:p>
      <w:pPr>
        <w:pStyle w:val="Compact"/>
        <w:numPr>
          <w:ilvl w:val="0"/>
          <w:numId w:val="1061"/>
        </w:numPr>
      </w:pPr>
      <w:r>
        <w:t xml:space="preserve">Simultaneously, the Finance Director notifies the BIRDC Board of Directors.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part-b--maintenance-procedures"/>
    <w:p>
      <w:pPr>
        <w:pStyle w:val="Heading2"/>
      </w:pPr>
      <w:r>
        <w:t xml:space="preserve">Part B — Maintenance Procedures</w:t>
      </w:r>
    </w:p>
    <w:p>
      <w:pPr>
        <w:pStyle w:val="FirstParagraph"/>
      </w:pPr>
      <w:r>
        <w:t xml:space="preserve">Maintenance procedures are scheduled, planned activities that keep the system operating correctly. Unlike incident procedures, maintenance procedures are performed at defined intervals by authorised personnel.</w:t>
      </w:r>
    </w:p>
    <w:p>
      <w:r>
        <w:pict>
          <v:rect style="width:0;height:1.5pt" o:hralign="center" o:hrstd="t" o:hr="t"/>
        </w:pict>
      </w:r>
    </w:p>
    <w:bookmarkEnd w:id="67"/>
    <w:bookmarkStart w:id="74" w:name="mnt-001-monthly-payroll-close"/>
    <w:p>
      <w:pPr>
        <w:pStyle w:val="Heading2"/>
      </w:pPr>
      <w:r>
        <w:t xml:space="preserve">MNT-001: Monthly Payroll Close</w:t>
      </w:r>
    </w:p>
    <w:p>
      <w:pPr>
        <w:pStyle w:val="FirstParagraph"/>
      </w:pPr>
      <w:r>
        <w:rPr>
          <w:b/>
          <w:bCs/>
        </w:rPr>
        <w:t xml:space="preserve">Performed by:</w:t>
      </w:r>
      <w:r>
        <w:t xml:space="preserve"> </w:t>
      </w:r>
      <w:r>
        <w:t xml:space="preserve">HR Manager (payroll preparation) + Finance Director (approval)</w:t>
      </w:r>
      <w:r>
        <w:t xml:space="preserve"> </w:t>
      </w:r>
      <w:r>
        <w:rPr>
          <w:b/>
          <w:bCs/>
        </w:rPr>
        <w:t xml:space="preserve">Schedule:</w:t>
      </w:r>
      <w:r>
        <w:t xml:space="preserve"> </w:t>
      </w:r>
      <w:r>
        <w:t xml:space="preserve">Last working week of each month (recommend Tuesday–Wednesday to allow Thursday for corrections before Friday bank transfer)</w:t>
      </w:r>
      <w:r>
        <w:t xml:space="preserve"> </w:t>
      </w:r>
      <w:r>
        <w:rPr>
          <w:b/>
          <w:bCs/>
        </w:rPr>
        <w:t xml:space="preserve">Pre-condition:</w:t>
      </w:r>
      <w:r>
        <w:t xml:space="preserve"> </w:t>
      </w:r>
      <w:r>
        <w:t xml:space="preserve">All employee attendance records for the month are confirmed and imported from ZKTeco devices.</w:t>
      </w:r>
    </w:p>
    <w:bookmarkStart w:id="68" w:name="payroll-run-checklist"/>
    <w:p>
      <w:pPr>
        <w:pStyle w:val="Heading3"/>
      </w:pPr>
      <w:r>
        <w:t xml:space="preserve">Payroll Run Checklist</w:t>
      </w:r>
    </w:p>
    <w:p>
      <w:pPr>
        <w:pStyle w:val="Compact"/>
        <w:numPr>
          <w:ilvl w:val="0"/>
          <w:numId w:val="1062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HR &gt; Payroll &gt; New Payroll Run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Select the payroll period (month and year).</w:t>
      </w:r>
    </w:p>
    <w:p>
      <w:pPr>
        <w:pStyle w:val="Compact"/>
        <w:numPr>
          <w:ilvl w:val="0"/>
          <w:numId w:val="1062"/>
        </w:numPr>
      </w:pPr>
      <w:r>
        <w:t xml:space="preserve">Verify the employee count shown matches the active employee headcount — if there is a discrepancy, resolve it before proceeding.</w:t>
      </w:r>
    </w:p>
    <w:p>
      <w:pPr>
        <w:pStyle w:val="Compact"/>
        <w:numPr>
          <w:ilvl w:val="0"/>
          <w:numId w:val="106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Calculate</w:t>
      </w:r>
      <w:r>
        <w:t xml:space="preserve"> </w:t>
      </w:r>
      <w:r>
        <w:t xml:space="preserve">— the system calculates gross pay, PAYE, NSSF, LST, and all deductions for every employee.</w:t>
      </w:r>
    </w:p>
    <w:p>
      <w:pPr>
        <w:pStyle w:val="Compact"/>
        <w:numPr>
          <w:ilvl w:val="0"/>
          <w:numId w:val="1062"/>
        </w:numPr>
      </w:pPr>
      <w:r>
        <w:t xml:space="preserve">Review the</w:t>
      </w:r>
      <w:r>
        <w:t xml:space="preserve"> </w:t>
      </w:r>
      <w:r>
        <w:rPr>
          <w:b/>
          <w:bCs/>
        </w:rPr>
        <w:t xml:space="preserve">Payroll Summary</w:t>
      </w:r>
      <w:r>
        <w:t xml:space="preserve"> </w:t>
      </w:r>
      <w:r>
        <w:t xml:space="preserve">— check that:</w:t>
      </w:r>
    </w:p>
    <w:p>
      <w:pPr>
        <w:pStyle w:val="Compact"/>
        <w:numPr>
          <w:ilvl w:val="1"/>
          <w:numId w:val="1063"/>
        </w:numPr>
      </w:pPr>
      <w:r>
        <w:t xml:space="preserve">Total gross pay is within 5% of the previous month's total (flag larger variances for review).</w:t>
      </w:r>
    </w:p>
    <w:p>
      <w:pPr>
        <w:pStyle w:val="Compact"/>
        <w:numPr>
          <w:ilvl w:val="1"/>
          <w:numId w:val="1063"/>
        </w:numPr>
      </w:pPr>
      <w:r>
        <w:t xml:space="preserve">PAYE total is consistent with the employee count and salary distribution.</w:t>
      </w:r>
    </w:p>
    <w:p>
      <w:pPr>
        <w:pStyle w:val="Compact"/>
        <w:numPr>
          <w:ilvl w:val="1"/>
          <w:numId w:val="1063"/>
        </w:numPr>
      </w:pPr>
      <w:r>
        <w:t xml:space="preserve">No employee shows a negative net pay (this indicates a deduction configuration error).</w:t>
      </w:r>
    </w:p>
    <w:p>
      <w:pPr>
        <w:pStyle w:val="Compact"/>
        <w:numPr>
          <w:ilvl w:val="0"/>
          <w:numId w:val="1062"/>
        </w:numPr>
      </w:pPr>
      <w:r>
        <w:t xml:space="preserve">Spot-check at least 3 employees' payslip calculations manually against their contract salary and deduction records.</w:t>
      </w:r>
    </w:p>
    <w:p>
      <w:pPr>
        <w:pStyle w:val="Compact"/>
        <w:numPr>
          <w:ilvl w:val="0"/>
          <w:numId w:val="1062"/>
        </w:numPr>
      </w:pPr>
      <w:r>
        <w:t xml:space="preserve">If corrections are needed, adjust employee records or deduction configurations — do not proceed to approval until the calculation is correct.</w:t>
      </w:r>
    </w:p>
    <w:bookmarkEnd w:id="68"/>
    <w:bookmarkStart w:id="69" w:name="approval"/>
    <w:p>
      <w:pPr>
        <w:pStyle w:val="Heading3"/>
      </w:pPr>
      <w:r>
        <w:t xml:space="preserve">Approval</w:t>
      </w:r>
    </w:p>
    <w:p>
      <w:pPr>
        <w:pStyle w:val="Compact"/>
        <w:numPr>
          <w:ilvl w:val="0"/>
          <w:numId w:val="1064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HR &gt; Payroll &gt; [Current Run] &gt; Submit for Approval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The Finance Director receives an email notification.</w:t>
      </w:r>
    </w:p>
    <w:p>
      <w:pPr>
        <w:pStyle w:val="Compact"/>
        <w:numPr>
          <w:ilvl w:val="0"/>
          <w:numId w:val="1064"/>
        </w:numPr>
      </w:pPr>
      <w:r>
        <w:t xml:space="preserve">The Finance Director logs in, reviews the payroll summary, and clicks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— this locks the payroll run under BR-010 immutability.</w:t>
      </w:r>
    </w:p>
    <w:bookmarkEnd w:id="69"/>
    <w:bookmarkStart w:id="70" w:name="gl-posting"/>
    <w:p>
      <w:pPr>
        <w:pStyle w:val="Heading3"/>
      </w:pPr>
      <w:r>
        <w:t xml:space="preserve">GL Posting</w:t>
      </w:r>
    </w:p>
    <w:p>
      <w:pPr>
        <w:pStyle w:val="Compact"/>
        <w:numPr>
          <w:ilvl w:val="0"/>
          <w:numId w:val="1065"/>
        </w:numPr>
      </w:pPr>
      <w:r>
        <w:t xml:space="preserve">After approval, navigate to</w:t>
      </w:r>
      <w:r>
        <w:t xml:space="preserve"> </w:t>
      </w:r>
      <w:r>
        <w:rPr>
          <w:b/>
          <w:bCs/>
        </w:rPr>
        <w:t xml:space="preserve">HR &gt; Payroll &gt; [Approved Run] &gt; Post to GL</w:t>
      </w:r>
      <w:r>
        <w:t xml:space="preserve">.</w:t>
      </w:r>
    </w:p>
    <w:p>
      <w:pPr>
        <w:pStyle w:val="Compact"/>
        <w:numPr>
          <w:ilvl w:val="0"/>
          <w:numId w:val="1065"/>
        </w:numPr>
      </w:pPr>
      <w:r>
        <w:t xml:space="preserve">Verify the GL posting creates the correct debit entries (Salaries Expense accounts) and credit entries (PAYE Payable, NSSF Payable, Net Salaries Payable).</w:t>
      </w:r>
    </w:p>
    <w:p>
      <w:pPr>
        <w:pStyle w:val="Compact"/>
        <w:numPr>
          <w:ilvl w:val="0"/>
          <w:numId w:val="1065"/>
        </w:numPr>
      </w:pPr>
      <w:r>
        <w:t xml:space="preserve">Confirm the journal entry appears in the General Ledger with the correct posting date.</w:t>
      </w:r>
    </w:p>
    <w:bookmarkEnd w:id="70"/>
    <w:bookmarkStart w:id="71" w:name="bank-file-generation"/>
    <w:p>
      <w:pPr>
        <w:pStyle w:val="Heading3"/>
      </w:pPr>
      <w:r>
        <w:t xml:space="preserve">Bank File Generation</w:t>
      </w:r>
    </w:p>
    <w:p>
      <w:pPr>
        <w:pStyle w:val="Compact"/>
        <w:numPr>
          <w:ilvl w:val="0"/>
          <w:numId w:val="1066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HR &gt; Payroll &gt; [Approved Run] &gt; Export Bank Transfer File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t xml:space="preserve">The system generates the bank credit transfer file in the format required by BIRDC's bank. [CONTEXT-GAP: GAP-006]</w:t>
      </w:r>
    </w:p>
    <w:p>
      <w:pPr>
        <w:pStyle w:val="Compact"/>
        <w:numPr>
          <w:ilvl w:val="0"/>
          <w:numId w:val="1066"/>
        </w:numPr>
      </w:pPr>
      <w:r>
        <w:t xml:space="preserve">The Finance Director downloads the file and submits it to the bank via the bank's internet banking portal.</w:t>
      </w:r>
    </w:p>
    <w:p>
      <w:pPr>
        <w:pStyle w:val="Compact"/>
        <w:numPr>
          <w:ilvl w:val="0"/>
          <w:numId w:val="1066"/>
        </w:numPr>
      </w:pPr>
      <w:r>
        <w:t xml:space="preserve">Retain a copy of the bank submission confirmation in</w:t>
      </w:r>
      <w:r>
        <w:t xml:space="preserve"> </w:t>
      </w:r>
      <w:r>
        <w:rPr>
          <w:b/>
          <w:bCs/>
        </w:rPr>
        <w:t xml:space="preserve">HR &gt; Payroll &gt; [Approved Run] &gt; Bank Submission Documents</w:t>
      </w:r>
      <w:r>
        <w:t xml:space="preserve">.</w:t>
      </w:r>
    </w:p>
    <w:bookmarkEnd w:id="71"/>
    <w:bookmarkStart w:id="72" w:name="nssf-schedule-export"/>
    <w:p>
      <w:pPr>
        <w:pStyle w:val="Heading3"/>
      </w:pPr>
      <w:r>
        <w:t xml:space="preserve">NSSF Schedule Export</w:t>
      </w:r>
    </w:p>
    <w:p>
      <w:pPr>
        <w:pStyle w:val="Compact"/>
        <w:numPr>
          <w:ilvl w:val="0"/>
          <w:numId w:val="1067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HR &gt; Payroll &gt; [Approved Run] &gt; Export NSSF Schedule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The system generates the NSSF contribution schedule in the format required by NSSF Uganda. [CONTEXT-GAP: GAP-009]</w:t>
      </w:r>
    </w:p>
    <w:p>
      <w:pPr>
        <w:pStyle w:val="Compact"/>
        <w:numPr>
          <w:ilvl w:val="0"/>
          <w:numId w:val="1067"/>
        </w:numPr>
      </w:pPr>
      <w:r>
        <w:t xml:space="preserve">Submit the schedule and payment to NSSF Uganda by the statutory deadline (15th of the following month).</w:t>
      </w:r>
    </w:p>
    <w:p>
      <w:pPr>
        <w:pStyle w:val="Compact"/>
        <w:numPr>
          <w:ilvl w:val="0"/>
          <w:numId w:val="1067"/>
        </w:numPr>
      </w:pPr>
      <w:r>
        <w:t xml:space="preserve">Upload the NSSF submission confirmation receipt to</w:t>
      </w:r>
      <w:r>
        <w:t xml:space="preserve"> </w:t>
      </w:r>
      <w:r>
        <w:rPr>
          <w:b/>
          <w:bCs/>
        </w:rPr>
        <w:t xml:space="preserve">HR &gt; Payroll &gt; [Approved Run] &gt; NSSF Submission Documents</w:t>
      </w:r>
      <w:r>
        <w:t xml:space="preserve">.</w:t>
      </w:r>
    </w:p>
    <w:bookmarkEnd w:id="72"/>
    <w:bookmarkStart w:id="73" w:name="payslip-delivery"/>
    <w:p>
      <w:pPr>
        <w:pStyle w:val="Heading3"/>
      </w:pPr>
      <w:r>
        <w:t xml:space="preserve">Payslip Delivery</w:t>
      </w:r>
    </w:p>
    <w:p>
      <w:pPr>
        <w:pStyle w:val="Compact"/>
        <w:numPr>
          <w:ilvl w:val="0"/>
          <w:numId w:val="1068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HR &gt; Payroll &gt; [Approved Run] &gt; Distribute Payslips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t xml:space="preserve">The system sends payslips to each employee via:</w:t>
      </w:r>
    </w:p>
    <w:p>
      <w:pPr>
        <w:pStyle w:val="Compact"/>
        <w:numPr>
          <w:ilvl w:val="0"/>
          <w:numId w:val="1069"/>
        </w:numPr>
      </w:pPr>
      <w:r>
        <w:t xml:space="preserve">Email (for staff with registered email addresses), and</w:t>
      </w:r>
    </w:p>
    <w:p>
      <w:pPr>
        <w:pStyle w:val="Compact"/>
        <w:numPr>
          <w:ilvl w:val="0"/>
          <w:numId w:val="1069"/>
        </w:numPr>
      </w:pPr>
      <w:r>
        <w:t xml:space="preserve">HR Self-Service App (visible in the app's Payslips section).</w:t>
      </w:r>
    </w:p>
    <w:p>
      <w:pPr>
        <w:pStyle w:val="Compact"/>
        <w:numPr>
          <w:ilvl w:val="0"/>
          <w:numId w:val="1070"/>
        </w:numPr>
      </w:pPr>
      <w:r>
        <w:t xml:space="preserve">For staff without email or smartphone access, print payslips from</w:t>
      </w:r>
      <w:r>
        <w:t xml:space="preserve"> </w:t>
      </w:r>
      <w:r>
        <w:rPr>
          <w:b/>
          <w:bCs/>
        </w:rPr>
        <w:t xml:space="preserve">HR &gt; Payroll &gt; [Approved Run] &gt; Print Payslips</w:t>
      </w:r>
      <w:r>
        <w:t xml:space="preserve"> </w:t>
      </w:r>
      <w:r>
        <w:t xml:space="preserve">and distribute physically.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mnt-002-paye-tax-band-update"/>
    <w:p>
      <w:pPr>
        <w:pStyle w:val="Heading2"/>
      </w:pPr>
      <w:r>
        <w:t xml:space="preserve">MNT-002: PAYE Tax Band Update</w:t>
      </w:r>
    </w:p>
    <w:p>
      <w:pPr>
        <w:pStyle w:val="FirstParagraph"/>
      </w:pPr>
      <w:r>
        <w:rPr>
          <w:b/>
          <w:bCs/>
        </w:rPr>
        <w:t xml:space="preserve">Triggered by:</w:t>
      </w:r>
      <w:r>
        <w:t xml:space="preserve"> </w:t>
      </w:r>
      <w:r>
        <w:t xml:space="preserve">URA publishing new PAYE tax bands (typically following the annual Uganda budget, June each year)</w:t>
      </w:r>
      <w:r>
        <w:t xml:space="preserve"> </w:t>
      </w:r>
      <w:r>
        <w:rPr>
          <w:b/>
          <w:bCs/>
        </w:rPr>
        <w:t xml:space="preserve">Performed by:</w:t>
      </w:r>
      <w:r>
        <w:t xml:space="preserve"> </w:t>
      </w:r>
      <w:r>
        <w:t xml:space="preserve">Finance Director</w:t>
      </w:r>
      <w:r>
        <w:t xml:space="preserve"> </w:t>
      </w:r>
      <w:r>
        <w:rPr>
          <w:b/>
          <w:bCs/>
        </w:rPr>
        <w:t xml:space="preserve">Pre-condition:</w:t>
      </w:r>
      <w:r>
        <w:t xml:space="preserve"> </w:t>
      </w:r>
      <w:r>
        <w:t xml:space="preserve">URA has published the new tax bands in the Official Gazette or via formal URA communication. Do not update rates based on media reports alone.</w:t>
      </w:r>
    </w:p>
    <w:p>
      <w:pPr>
        <w:pStyle w:val="Compact"/>
        <w:numPr>
          <w:ilvl w:val="0"/>
          <w:numId w:val="1071"/>
        </w:numPr>
      </w:pPr>
      <w:r>
        <w:t xml:space="preserve">Obtain the official URA PAYE tax band schedule from the Uganda Gazette or the URA website.</w:t>
      </w:r>
    </w:p>
    <w:p>
      <w:pPr>
        <w:pStyle w:val="Compact"/>
        <w:numPr>
          <w:ilvl w:val="0"/>
          <w:numId w:val="1071"/>
        </w:numPr>
      </w:pPr>
      <w:r>
        <w:t xml:space="preserve">Log in to the ERP as Finance Director.</w:t>
      </w:r>
    </w:p>
    <w:p>
      <w:pPr>
        <w:pStyle w:val="Compact"/>
        <w:numPr>
          <w:ilvl w:val="0"/>
          <w:numId w:val="1071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HR &gt; Payroll Configuration &gt; PAYE Tax Bands</w:t>
      </w:r>
      <w:r>
        <w:t xml:space="preserve">.</w:t>
      </w:r>
    </w:p>
    <w:p>
      <w:pPr>
        <w:pStyle w:val="Compact"/>
        <w:numPr>
          <w:ilvl w:val="0"/>
          <w:numId w:val="107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New Band Set</w:t>
      </w:r>
      <w:r>
        <w:t xml:space="preserve"> </w:t>
      </w:r>
      <w:r>
        <w:t xml:space="preserve">— enter the effective date as the first day of the new tax year (typically 1 July).</w:t>
      </w:r>
    </w:p>
    <w:p>
      <w:pPr>
        <w:pStyle w:val="Compact"/>
        <w:numPr>
          <w:ilvl w:val="1"/>
          <w:numId w:val="1072"/>
        </w:numPr>
      </w:pPr>
      <w:r>
        <w:t xml:space="preserve">Do not edit the existing band set — create a new version. The system uses the effective date to determine which band set applies to each payroll run.</w:t>
      </w:r>
    </w:p>
    <w:p>
      <w:pPr>
        <w:pStyle w:val="Compact"/>
        <w:numPr>
          <w:ilvl w:val="0"/>
          <w:numId w:val="1071"/>
        </w:numPr>
      </w:pPr>
      <w:r>
        <w:t xml:space="preserve">Enter each income bracket and its applicable tax rate from the official URA schedule.</w:t>
      </w:r>
    </w:p>
    <w:p>
      <w:pPr>
        <w:pStyle w:val="Compact"/>
        <w:numPr>
          <w:ilvl w:val="0"/>
          <w:numId w:val="107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Draft</w:t>
      </w:r>
      <w:r>
        <w:t xml:space="preserve"> </w:t>
      </w:r>
      <w:r>
        <w:t xml:space="preserve">— do not activate yet.</w:t>
      </w:r>
    </w:p>
    <w:bookmarkStart w:id="75" w:name="test-payroll-run"/>
    <w:p>
      <w:pPr>
        <w:pStyle w:val="Heading3"/>
      </w:pPr>
      <w:r>
        <w:t xml:space="preserve">Test Payroll Run</w:t>
      </w:r>
    </w:p>
    <w:p>
      <w:pPr>
        <w:pStyle w:val="Compact"/>
        <w:numPr>
          <w:ilvl w:val="0"/>
          <w:numId w:val="1073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HR &gt; Payroll &gt; New Payroll Run &gt; Test Mode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Select 3–5 representative employees covering different income brackets (low, middle, high earner).</w:t>
      </w:r>
    </w:p>
    <w:p>
      <w:pPr>
        <w:pStyle w:val="Compact"/>
        <w:numPr>
          <w:ilvl w:val="0"/>
          <w:numId w:val="1073"/>
        </w:numPr>
      </w:pPr>
      <w:r>
        <w:t xml:space="preserve">Run a test payroll for the new period using the new band set.</w:t>
      </w:r>
    </w:p>
    <w:p>
      <w:pPr>
        <w:pStyle w:val="Compact"/>
        <w:numPr>
          <w:ilvl w:val="0"/>
          <w:numId w:val="1073"/>
        </w:numPr>
      </w:pPr>
      <w:r>
        <w:t xml:space="preserve">Manually verify the PAYE calculation for each test employee against the URA tax band schedule:</w:t>
      </w:r>
    </w:p>
    <w:p>
      <w:pPr>
        <w:pStyle w:val="FirstParagraph"/>
      </w:pPr>
      <m:oMath>
        <m:r>
          <m:t>P</m:t>
        </m:r>
        <m:r>
          <m:t>A</m:t>
        </m:r>
        <m:r>
          <m:t>Y</m:t>
        </m:r>
        <m:r>
          <m:t>E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m</m:t>
        </m:r>
        <m:r>
          <m:t>i</m:t>
        </m:r>
        <m:r>
          <m:t>n</m:t>
        </m:r>
        <m:r>
          <m:rPr>
            <m:sty m:val="p"/>
          </m:rPr>
          <m:t>(</m:t>
        </m:r>
        <m:r>
          <m:t>I</m:t>
        </m:r>
        <m:r>
          <m:t>n</m:t>
        </m:r>
        <m:r>
          <m:t>c</m:t>
        </m:r>
        <m:r>
          <m:t>o</m:t>
        </m:r>
        <m:r>
          <m:t>m</m:t>
        </m:r>
        <m:r>
          <m:t>e</m:t>
        </m:r>
        <m:r>
          <m:rPr>
            <m:sty m:val="p"/>
          </m:rPr>
          <m:t>,</m:t>
        </m:r>
        <m:r>
          <m:t>B</m:t>
        </m:r>
        <m:r>
          <m:t>a</m:t>
        </m:r>
        <m:r>
          <m:t>n</m:t>
        </m:r>
        <m:r>
          <m:t>d</m:t>
        </m:r>
        <m:r>
          <m:t>M</m:t>
        </m:r>
        <m:r>
          <m:t>a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t>a</m:t>
        </m:r>
        <m:r>
          <m:t>n</m:t>
        </m:r>
        <m:r>
          <m:t>d</m:t>
        </m:r>
        <m:r>
          <m:t>M</m:t>
        </m:r>
        <m:r>
          <m:t>i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  <m:r>
          <m:t>R</m:t>
        </m:r>
        <m:r>
          <m:t>a</m:t>
        </m:r>
        <m:r>
          <m:t>t</m:t>
        </m:r>
        <m:sSub>
          <m:e>
            <m:r>
              <m:t>e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74"/>
        </w:numPr>
      </w:pPr>
      <w:r>
        <w:t xml:space="preserve">If the calculated PAYE matches the manual calculation for all test employees, proceed to activation.</w:t>
      </w:r>
    </w:p>
    <w:p>
      <w:pPr>
        <w:pStyle w:val="Compact"/>
        <w:numPr>
          <w:ilvl w:val="0"/>
          <w:numId w:val="1074"/>
        </w:numPr>
      </w:pPr>
      <w:r>
        <w:t xml:space="preserve">If any discrepancy is found, review the band entry for that income bracket and correct it. Repeat the test run.</w:t>
      </w:r>
    </w:p>
    <w:bookmarkEnd w:id="75"/>
    <w:bookmarkStart w:id="76" w:name="production-implementation"/>
    <w:p>
      <w:pPr>
        <w:pStyle w:val="Heading3"/>
      </w:pPr>
      <w:r>
        <w:t xml:space="preserve">Production Implementation</w:t>
      </w:r>
    </w:p>
    <w:p>
      <w:pPr>
        <w:pStyle w:val="Compact"/>
        <w:numPr>
          <w:ilvl w:val="0"/>
          <w:numId w:val="1075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HR &gt; Payroll Configuration &gt; PAYE Tax Bands &gt; [New Band Set] &gt; Activate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r>
        <w:t xml:space="preserve">Confirm the activation — the new bands are now live for all payroll runs with a period start date on or after the effective date.</w:t>
      </w:r>
    </w:p>
    <w:p>
      <w:pPr>
        <w:pStyle w:val="Compact"/>
        <w:numPr>
          <w:ilvl w:val="0"/>
          <w:numId w:val="1075"/>
        </w:numPr>
      </w:pPr>
      <w:r>
        <w:t xml:space="preserve">The old band set remains in the system (read-only) for historical payroll recalculation.</w:t>
      </w:r>
    </w:p>
    <w:bookmarkEnd w:id="76"/>
    <w:bookmarkStart w:id="77" w:name="audit-trail"/>
    <w:p>
      <w:pPr>
        <w:pStyle w:val="Heading3"/>
      </w:pPr>
      <w:r>
        <w:t xml:space="preserve">Audit Trail</w:t>
      </w:r>
    </w:p>
    <w:p>
      <w:pPr>
        <w:pStyle w:val="FirstParagraph"/>
      </w:pPr>
      <w:r>
        <w:t xml:space="preserve">The system automatically records:</w:t>
      </w:r>
    </w:p>
    <w:p>
      <w:pPr>
        <w:pStyle w:val="Compact"/>
        <w:numPr>
          <w:ilvl w:val="0"/>
          <w:numId w:val="1076"/>
        </w:numPr>
      </w:pPr>
      <w:r>
        <w:t xml:space="preserve">The Finance Director user who created and activated the new band set.</w:t>
      </w:r>
    </w:p>
    <w:p>
      <w:pPr>
        <w:pStyle w:val="Compact"/>
        <w:numPr>
          <w:ilvl w:val="0"/>
          <w:numId w:val="1076"/>
        </w:numPr>
      </w:pPr>
      <w:r>
        <w:t xml:space="preserve">The timestamp of activation.</w:t>
      </w:r>
    </w:p>
    <w:p>
      <w:pPr>
        <w:pStyle w:val="Compact"/>
        <w:numPr>
          <w:ilvl w:val="0"/>
          <w:numId w:val="1076"/>
        </w:numPr>
      </w:pPr>
      <w:r>
        <w:t xml:space="preserve">The previous band set values and the new band set values.</w:t>
      </w:r>
    </w:p>
    <w:p>
      <w:pPr>
        <w:pStyle w:val="FirstParagraph"/>
      </w:pPr>
      <w:r>
        <w:t xml:space="preserve">No additional manual documentation is required.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mnt-003-database-backup-verification"/>
    <w:p>
      <w:pPr>
        <w:pStyle w:val="Heading2"/>
      </w:pPr>
      <w:r>
        <w:t xml:space="preserve">MNT-003: Database Backup Verification</w:t>
      </w:r>
    </w:p>
    <w:p>
      <w:pPr>
        <w:pStyle w:val="FirstParagraph"/>
      </w:pPr>
      <w:r>
        <w:rPr>
          <w:b/>
          <w:bCs/>
        </w:rPr>
        <w:t xml:space="preserve">Schedule:</w:t>
      </w:r>
      <w:r>
        <w:t xml:space="preserve"> </w:t>
      </w:r>
      <w:r>
        <w:t xml:space="preserve">First Monday of every month</w:t>
      </w:r>
      <w:r>
        <w:t xml:space="preserve"> </w:t>
      </w:r>
      <w:r>
        <w:rPr>
          <w:b/>
          <w:bCs/>
        </w:rPr>
        <w:t xml:space="preserve">Performed by:</w:t>
      </w:r>
      <w:r>
        <w:t xml:space="preserve"> </w:t>
      </w:r>
      <w:r>
        <w:t xml:space="preserve">IT Administrator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Confirm that the daily automated backup is restorable and complete. A backup that cannot be restored is not a backup.</w:t>
      </w:r>
    </w:p>
    <w:p>
      <w:pPr>
        <w:pStyle w:val="Compact"/>
        <w:numPr>
          <w:ilvl w:val="0"/>
          <w:numId w:val="1077"/>
        </w:numPr>
      </w:pPr>
      <w:r>
        <w:t xml:space="preserve">Identify the most recent backup file: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/backups/birdc-erp/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</w:p>
    <w:p>
      <w:pPr>
        <w:pStyle w:val="Compact"/>
        <w:numPr>
          <w:ilvl w:val="0"/>
          <w:numId w:val="1078"/>
        </w:numPr>
      </w:pPr>
      <w:r>
        <w:t xml:space="preserve">Verify the backup file is not corrupted:</w:t>
      </w:r>
    </w:p>
    <w:p>
      <w:pPr>
        <w:pStyle w:val="SourceCode"/>
      </w:pP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/backups/birdc-erp/birdc_erp_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.sql.gz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 integrity OK"</w:t>
      </w:r>
    </w:p>
    <w:p>
      <w:pPr>
        <w:pStyle w:val="Compact"/>
        <w:numPr>
          <w:ilvl w:val="0"/>
          <w:numId w:val="1079"/>
        </w:numPr>
      </w:pPr>
      <w:r>
        <w:t xml:space="preserve">Create a test database (do not use the production database):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mysql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birdc_erp_restore_test CHARACTER SET utf8mb4;"</w:t>
      </w:r>
    </w:p>
    <w:p>
      <w:pPr>
        <w:pStyle w:val="Compact"/>
        <w:numPr>
          <w:ilvl w:val="0"/>
          <w:numId w:val="1080"/>
        </w:numPr>
      </w:pPr>
      <w:r>
        <w:t xml:space="preserve">Restore the backup to the test database:</w:t>
      </w:r>
    </w:p>
    <w:p>
      <w:pPr>
        <w:pStyle w:val="SourceCode"/>
      </w:pPr>
      <w:r>
        <w:rPr>
          <w:rStyle w:val="FunctionTok"/>
        </w:rPr>
        <w:t xml:space="preserve">zcat</w:t>
      </w:r>
      <w:r>
        <w:rPr>
          <w:rStyle w:val="NormalTok"/>
        </w:rPr>
        <w:t xml:space="preserve"> /backups/birdc-erp/birdc_erp_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.sql.gz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mysql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birdc_erp_restore_test</w:t>
      </w:r>
    </w:p>
    <w:p>
      <w:pPr>
        <w:pStyle w:val="Compact"/>
        <w:numPr>
          <w:ilvl w:val="0"/>
          <w:numId w:val="1081"/>
        </w:numPr>
      </w:pPr>
      <w:r>
        <w:t xml:space="preserve">Verify the restore by running a spot-check query: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mysql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birdc_erp_restore_test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SELECT</w:t>
      </w:r>
      <w:r>
        <w:br/>
      </w:r>
      <w:r>
        <w:rPr>
          <w:rStyle w:val="StringTok"/>
        </w:rPr>
        <w:t xml:space="preserve">    (SELECT COUNT(*) FROM journal_entries) AS journal_entry_count,</w:t>
      </w:r>
      <w:r>
        <w:br/>
      </w:r>
      <w:r>
        <w:rPr>
          <w:rStyle w:val="StringTok"/>
        </w:rPr>
        <w:t xml:space="preserve">    (SELECT COUNT(*) FROM users) AS user_count,</w:t>
      </w:r>
      <w:r>
        <w:br/>
      </w:r>
      <w:r>
        <w:rPr>
          <w:rStyle w:val="StringTok"/>
        </w:rPr>
        <w:t xml:space="preserve">    (SELECT COUNT(*) FROM agents) AS agent_count;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Compare the counts against the production database — they should match (within a few rows for transactions posted since the backup was taken).</w:t>
      </w:r>
    </w:p>
    <w:p>
      <w:pPr>
        <w:pStyle w:val="Compact"/>
        <w:numPr>
          <w:ilvl w:val="0"/>
          <w:numId w:val="1082"/>
        </w:numPr>
      </w:pPr>
      <w:r>
        <w:t xml:space="preserve">Drop the test database: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mysql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 DATABASE birdc_erp_restore_test;"</w:t>
      </w:r>
    </w:p>
    <w:p>
      <w:pPr>
        <w:pStyle w:val="Compact"/>
        <w:numPr>
          <w:ilvl w:val="0"/>
          <w:numId w:val="1083"/>
        </w:numPr>
      </w:pPr>
      <w:r>
        <w:t xml:space="preserve">Record the result in the BIRDC IT backup log: date of test, backup file tested, restore result (Pass/Fail), record counts.</w:t>
      </w:r>
    </w:p>
    <w:p>
      <w:pPr>
        <w:pStyle w:val="Compact"/>
        <w:numPr>
          <w:ilvl w:val="0"/>
          <w:numId w:val="1083"/>
        </w:numPr>
      </w:pPr>
      <w:r>
        <w:t xml:space="preserve">If the restore failed,</w:t>
      </w:r>
      <w:r>
        <w:t xml:space="preserve"> </w:t>
      </w:r>
      <w:r>
        <w:rPr>
          <w:b/>
          <w:bCs/>
        </w:rPr>
        <w:t xml:space="preserve">ESCALATE</w:t>
      </w:r>
      <w:r>
        <w:t xml:space="preserve"> </w:t>
      </w:r>
      <w:r>
        <w:t xml:space="preserve">to Peter Bamuhigire immediately — investigate and fix the backup configuration before the next scheduled backup runs.</w:t>
      </w:r>
    </w:p>
    <w:bookmarkStart w:id="79" w:name="sign-off"/>
    <w:p>
      <w:pPr>
        <w:pStyle w:val="Heading3"/>
      </w:pPr>
      <w:r>
        <w:t xml:space="preserve">Sign-Off</w:t>
      </w:r>
    </w:p>
    <w:p>
      <w:pPr>
        <w:pStyle w:val="FirstParagraph"/>
      </w:pPr>
      <w:r>
        <w:t xml:space="preserve">The IT Administrator and Finance Director both sign (physically or digitally) the backup verification log entry. The log is retained for 7 years as part of the audit trail.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mnt-004-zkteco-device-maintenance"/>
    <w:p>
      <w:pPr>
        <w:pStyle w:val="Heading2"/>
      </w:pPr>
      <w:r>
        <w:t xml:space="preserve">MNT-004: ZKTeco Device Maintenance</w:t>
      </w:r>
    </w:p>
    <w:p>
      <w:pPr>
        <w:pStyle w:val="FirstParagraph"/>
      </w:pPr>
      <w:r>
        <w:rPr>
          <w:b/>
          <w:bCs/>
        </w:rPr>
        <w:t xml:space="preserve">Schedule:</w:t>
      </w:r>
      <w:r>
        <w:t xml:space="preserve"> </w:t>
      </w:r>
      <w:r>
        <w:t xml:space="preserve">Monthly (first Friday of each month)</w:t>
      </w:r>
      <w:r>
        <w:t xml:space="preserve"> </w:t>
      </w:r>
      <w:r>
        <w:rPr>
          <w:b/>
          <w:bCs/>
        </w:rPr>
        <w:t xml:space="preserve">Performed by:</w:t>
      </w:r>
      <w:r>
        <w:t xml:space="preserve"> </w:t>
      </w:r>
      <w:r>
        <w:t xml:space="preserve">IT Administrator</w:t>
      </w:r>
    </w:p>
    <w:bookmarkStart w:id="81" w:name="attendance-data-import-schedule"/>
    <w:p>
      <w:pPr>
        <w:pStyle w:val="Heading3"/>
      </w:pPr>
      <w:r>
        <w:t xml:space="preserve">Attendance Data Import Schedule</w:t>
      </w:r>
    </w:p>
    <w:p>
      <w:pPr>
        <w:pStyle w:val="FirstParagraph"/>
      </w:pPr>
      <w:r>
        <w:t xml:space="preserve">Daily attendance import runs automatically via a scheduled task. Verify the import is running:</w:t>
      </w:r>
    </w:p>
    <w:p>
      <w:pPr>
        <w:pStyle w:val="Compact"/>
        <w:numPr>
          <w:ilvl w:val="0"/>
          <w:numId w:val="1084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HR &gt; Attendance &gt; Import Log</w:t>
      </w:r>
      <w:r>
        <w:t xml:space="preserve">.</w:t>
      </w:r>
    </w:p>
    <w:p>
      <w:pPr>
        <w:pStyle w:val="Compact"/>
        <w:numPr>
          <w:ilvl w:val="0"/>
          <w:numId w:val="1084"/>
        </w:numPr>
      </w:pPr>
      <w:r>
        <w:t xml:space="preserve">Confirm a successful import entry exists for every working day in the current month.</w:t>
      </w:r>
    </w:p>
    <w:p>
      <w:pPr>
        <w:pStyle w:val="Compact"/>
        <w:numPr>
          <w:ilvl w:val="0"/>
          <w:numId w:val="1084"/>
        </w:numPr>
      </w:pPr>
      <w:r>
        <w:t xml:space="preserve">If any day shows a missed import, run a manual import for that date:</w:t>
      </w:r>
    </w:p>
    <w:p>
      <w:pPr>
        <w:pStyle w:val="Compact"/>
        <w:numPr>
          <w:ilvl w:val="1"/>
          <w:numId w:val="1085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HR &gt; Attendance &gt; Import &gt; Manual &gt; [device] &gt; [date range]</w:t>
      </w:r>
      <w:r>
        <w:t xml:space="preserve">.</w:t>
      </w:r>
    </w:p>
    <w:bookmarkEnd w:id="81"/>
    <w:bookmarkStart w:id="82" w:name="device-calibration"/>
    <w:p>
      <w:pPr>
        <w:pStyle w:val="Heading3"/>
      </w:pPr>
      <w:r>
        <w:t xml:space="preserve">Device Calibration</w:t>
      </w:r>
    </w:p>
    <w:p>
      <w:pPr>
        <w:pStyle w:val="Compact"/>
        <w:numPr>
          <w:ilvl w:val="0"/>
          <w:numId w:val="1086"/>
        </w:numPr>
      </w:pPr>
      <w:r>
        <w:t xml:space="preserve">Visit each ZKTeco device physically.</w:t>
      </w:r>
    </w:p>
    <w:p>
      <w:pPr>
        <w:pStyle w:val="Compact"/>
        <w:numPr>
          <w:ilvl w:val="0"/>
          <w:numId w:val="1086"/>
        </w:numPr>
      </w:pPr>
      <w:r>
        <w:t xml:space="preserve">Verify the device clock is set to the correct EAT time — compare against the server time:</w:t>
      </w:r>
    </w:p>
    <w:p>
      <w:pPr>
        <w:pStyle w:val="SourceCode"/>
      </w:pPr>
      <w:r>
        <w:rPr>
          <w:rStyle w:val="FunctionTok"/>
        </w:rPr>
        <w:t xml:space="preserve">date</w:t>
      </w:r>
    </w:p>
    <w:p>
      <w:pPr>
        <w:pStyle w:val="FirstParagraph"/>
      </w:pPr>
      <w:r>
        <w:t xml:space="preserve">If the device clock has drifted by more than 2 minutes, adjust it in the device's network time settings (NTP server address: point to the BIRDC ERP server or an internet NTP server).</w:t>
      </w:r>
    </w:p>
    <w:p>
      <w:pPr>
        <w:pStyle w:val="Compact"/>
        <w:numPr>
          <w:ilvl w:val="0"/>
          <w:numId w:val="1087"/>
        </w:numPr>
      </w:pPr>
      <w:r>
        <w:t xml:space="preserve">Clean the fingerprint sensor with a dry microfibre cloth — do not use cleaning fluids.</w:t>
      </w:r>
    </w:p>
    <w:p>
      <w:pPr>
        <w:pStyle w:val="Compact"/>
        <w:numPr>
          <w:ilvl w:val="0"/>
          <w:numId w:val="1087"/>
        </w:numPr>
      </w:pPr>
      <w:r>
        <w:t xml:space="preserve">Test the fingerprint reader with 5 known enrolled employees: each should authenticate within 3 seconds.</w:t>
      </w:r>
    </w:p>
    <w:p>
      <w:pPr>
        <w:pStyle w:val="Compact"/>
        <w:numPr>
          <w:ilvl w:val="0"/>
          <w:numId w:val="1087"/>
        </w:numPr>
      </w:pPr>
      <w:r>
        <w:t xml:space="preserve">If any employee's fingerprint fails to authenticate after 3 attempts, re-enrol their fingerprint via</w:t>
      </w:r>
      <w:r>
        <w:t xml:space="preserve"> </w:t>
      </w:r>
      <w:r>
        <w:rPr>
          <w:b/>
          <w:bCs/>
        </w:rPr>
        <w:t xml:space="preserve">HR &gt; Employees &gt; [employee] &gt; Biometric Enrolment</w:t>
      </w:r>
      <w:r>
        <w:t xml:space="preserve">.</w:t>
      </w:r>
    </w:p>
    <w:bookmarkEnd w:id="82"/>
    <w:bookmarkStart w:id="83" w:name="battery--power-check"/>
    <w:p>
      <w:pPr>
        <w:pStyle w:val="Heading3"/>
      </w:pPr>
      <w:r>
        <w:t xml:space="preserve">Battery / Power Check</w:t>
      </w:r>
    </w:p>
    <w:p>
      <w:pPr>
        <w:pStyle w:val="Compact"/>
        <w:numPr>
          <w:ilvl w:val="0"/>
          <w:numId w:val="1088"/>
        </w:numPr>
      </w:pPr>
      <w:r>
        <w:t xml:space="preserve">Verify each device is connected to a UPS or surge protector — not directly to a wall outlet.</w:t>
      </w:r>
    </w:p>
    <w:p>
      <w:pPr>
        <w:pStyle w:val="Compact"/>
        <w:numPr>
          <w:ilvl w:val="0"/>
          <w:numId w:val="1088"/>
        </w:numPr>
      </w:pPr>
      <w:r>
        <w:t xml:space="preserve">Check the device manufacturer's battery backup (if the device has an internal battery) — replace if battery runtime is less than 30 minutes.</w:t>
      </w:r>
    </w:p>
    <w:p>
      <w:pPr>
        <w:pStyle w:val="Compact"/>
        <w:numPr>
          <w:ilvl w:val="0"/>
          <w:numId w:val="1088"/>
        </w:numPr>
      </w:pPr>
      <w:r>
        <w:t xml:space="preserve">Confirm the backup power supply covers the device location in the event of a BIRDC power outage.</w:t>
      </w:r>
    </w:p>
    <w:bookmarkEnd w:id="83"/>
    <w:bookmarkStart w:id="84" w:name="monthly-report"/>
    <w:p>
      <w:pPr>
        <w:pStyle w:val="Heading3"/>
      </w:pPr>
      <w:r>
        <w:t xml:space="preserve">Monthly Report</w:t>
      </w:r>
    </w:p>
    <w:p>
      <w:pPr>
        <w:pStyle w:val="FirstParagraph"/>
      </w:pPr>
      <w:r>
        <w:t xml:space="preserve">After completing the device maintenance round, record in the BIRDC IT maintenance log:</w:t>
      </w:r>
    </w:p>
    <w:p>
      <w:pPr>
        <w:pStyle w:val="Compact"/>
        <w:numPr>
          <w:ilvl w:val="0"/>
          <w:numId w:val="1089"/>
        </w:numPr>
      </w:pPr>
      <w:r>
        <w:t xml:space="preserve">Devices inspected.</w:t>
      </w:r>
    </w:p>
    <w:p>
      <w:pPr>
        <w:pStyle w:val="Compact"/>
        <w:numPr>
          <w:ilvl w:val="0"/>
          <w:numId w:val="1089"/>
        </w:numPr>
      </w:pPr>
      <w:r>
        <w:t xml:space="preserve">Any devices with clock drift corrected.</w:t>
      </w:r>
    </w:p>
    <w:p>
      <w:pPr>
        <w:pStyle w:val="Compact"/>
        <w:numPr>
          <w:ilvl w:val="0"/>
          <w:numId w:val="1089"/>
        </w:numPr>
      </w:pPr>
      <w:r>
        <w:t xml:space="preserve">Any fingerprint re-enrolments performed.</w:t>
      </w:r>
    </w:p>
    <w:p>
      <w:pPr>
        <w:pStyle w:val="Compact"/>
        <w:numPr>
          <w:ilvl w:val="0"/>
          <w:numId w:val="1089"/>
        </w:numPr>
      </w:pPr>
      <w:r>
        <w:t xml:space="preserve">Power backup status for each device.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mnt-005-efris-api-credential-rotation"/>
    <w:p>
      <w:pPr>
        <w:pStyle w:val="Heading2"/>
      </w:pPr>
      <w:r>
        <w:t xml:space="preserve">MNT-005: EFRIS API Credential Rotation</w:t>
      </w:r>
    </w:p>
    <w:p>
      <w:pPr>
        <w:pStyle w:val="FirstParagraph"/>
      </w:pPr>
      <w:r>
        <w:rPr>
          <w:b/>
          <w:bCs/>
        </w:rPr>
        <w:t xml:space="preserve">Triggered by:</w:t>
      </w:r>
      <w:r>
        <w:t xml:space="preserve"> </w:t>
      </w:r>
      <w:r>
        <w:t xml:space="preserve">EFRIS RSA certificate expiry (URA issues certificates with a defined validity period — check the expiry date in</w:t>
      </w:r>
      <w:r>
        <w:t xml:space="preserve"> </w:t>
      </w:r>
      <w:r>
        <w:rPr>
          <w:b/>
          <w:bCs/>
        </w:rPr>
        <w:t xml:space="preserve">Admin &gt; Integrations &gt; EFRIS &gt; Certificate Info</w:t>
      </w:r>
      <w:r>
        <w:t xml:space="preserve">)</w:t>
      </w:r>
      <w:r>
        <w:t xml:space="preserve"> </w:t>
      </w:r>
      <w:r>
        <w:rPr>
          <w:b/>
          <w:bCs/>
        </w:rPr>
        <w:t xml:space="preserve">Performed by:</w:t>
      </w:r>
      <w:r>
        <w:t xml:space="preserve"> </w:t>
      </w:r>
      <w:r>
        <w:t xml:space="preserve">IT Administrator with guidance from Peter Bamuhigire</w:t>
      </w:r>
      <w:r>
        <w:t xml:space="preserve"> </w:t>
      </w:r>
      <w:r>
        <w:rPr>
          <w:b/>
          <w:bCs/>
        </w:rPr>
        <w:t xml:space="preserve">Pre-condition:</w:t>
      </w:r>
      <w:r>
        <w:t xml:space="preserve"> </w:t>
      </w:r>
      <w:r>
        <w:t xml:space="preserve">New EFRIS certificate obtained from URA.</w:t>
      </w:r>
    </w:p>
    <w:bookmarkStart w:id="86" w:name="certificate-renewal"/>
    <w:p>
      <w:pPr>
        <w:pStyle w:val="Heading3"/>
      </w:pPr>
      <w:r>
        <w:t xml:space="preserve">Certificate Renewal</w:t>
      </w:r>
    </w:p>
    <w:p>
      <w:pPr>
        <w:pStyle w:val="Compact"/>
        <w:numPr>
          <w:ilvl w:val="0"/>
          <w:numId w:val="1090"/>
        </w:numPr>
      </w:pPr>
      <w:r>
        <w:t xml:space="preserve">Contact URA EFRIS support (</w:t>
      </w:r>
      <w:hyperlink r:id="rId20">
        <w:r>
          <w:rPr>
            <w:rStyle w:val="Hyperlink"/>
          </w:rPr>
          <w:t xml:space="preserve">efris@ura.go.ug</w:t>
        </w:r>
      </w:hyperlink>
      <w:r>
        <w:t xml:space="preserve">) to initiate the certificate renewal process.</w:t>
      </w:r>
    </w:p>
    <w:p>
      <w:pPr>
        <w:pStyle w:val="Compact"/>
        <w:numPr>
          <w:ilvl w:val="0"/>
          <w:numId w:val="1090"/>
        </w:numPr>
      </w:pPr>
      <w:r>
        <w:t xml:space="preserve">URA will provide a new certificate (public key) and instructions for generating a new private key.</w:t>
      </w:r>
    </w:p>
    <w:p>
      <w:pPr>
        <w:pStyle w:val="Compact"/>
        <w:numPr>
          <w:ilvl w:val="0"/>
          <w:numId w:val="1090"/>
        </w:numPr>
      </w:pPr>
      <w:r>
        <w:t xml:space="preserve">Generate a new RSA key pair (4096-bit) on the BIRDC ERP server: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genrsa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storage/keys/efris_private_new.pem 4096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rsa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storage/keys/efris_private_new.pem </w:t>
      </w:r>
      <w:r>
        <w:rPr>
          <w:rStyle w:val="AttributeTok"/>
        </w:rPr>
        <w:t xml:space="preserve">-pubout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storage/keys/efris_public_new.pem</w:t>
      </w:r>
    </w:p>
    <w:p>
      <w:pPr>
        <w:pStyle w:val="Compact"/>
        <w:numPr>
          <w:ilvl w:val="0"/>
          <w:numId w:val="1091"/>
        </w:numPr>
      </w:pPr>
      <w:r>
        <w:t xml:space="preserve">Submit the new public key (</w:t>
      </w:r>
      <w:r>
        <w:rPr>
          <w:rStyle w:val="VerbatimChar"/>
        </w:rPr>
        <w:t xml:space="preserve">efris_public_new.pem</w:t>
      </w:r>
      <w:r>
        <w:t xml:space="preserve">) to URA as part of the certificate renewal request.</w:t>
      </w:r>
    </w:p>
    <w:p>
      <w:pPr>
        <w:pStyle w:val="Compact"/>
        <w:numPr>
          <w:ilvl w:val="0"/>
          <w:numId w:val="1091"/>
        </w:numPr>
      </w:pPr>
      <w:r>
        <w:t xml:space="preserve">URA will validate the key and return a signed certificate with a new validity period.</w:t>
      </w:r>
    </w:p>
    <w:bookmarkEnd w:id="86"/>
    <w:bookmarkStart w:id="87" w:name="test-in-sandbox"/>
    <w:p>
      <w:pPr>
        <w:pStyle w:val="Heading3"/>
      </w:pPr>
      <w:r>
        <w:t xml:space="preserve">Test in Sandbox</w:t>
      </w:r>
    </w:p>
    <w:p>
      <w:pPr>
        <w:pStyle w:val="Compact"/>
        <w:numPr>
          <w:ilvl w:val="0"/>
          <w:numId w:val="1092"/>
        </w:numPr>
      </w:pPr>
      <w:r>
        <w:t xml:space="preserve">Update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to point to the sandbox environment and the new key files:</w:t>
      </w:r>
    </w:p>
    <w:p>
      <w:pPr>
        <w:pStyle w:val="SourceCode"/>
      </w:pPr>
      <w:r>
        <w:rPr>
          <w:rStyle w:val="VerbatimChar"/>
        </w:rPr>
        <w:t xml:space="preserve">EFRIS_API_URL=https://efrisws-sandbox.ura.go.ug/...</w:t>
      </w:r>
      <w:r>
        <w:br/>
      </w:r>
      <w:r>
        <w:rPr>
          <w:rStyle w:val="VerbatimChar"/>
        </w:rPr>
        <w:t xml:space="preserve">EFRIS_PRIVATE_KEY_PATH=storage/keys/efris_private_new.pem</w:t>
      </w:r>
      <w:r>
        <w:br/>
      </w:r>
      <w:r>
        <w:rPr>
          <w:rStyle w:val="VerbatimChar"/>
        </w:rPr>
        <w:t xml:space="preserve">EFRIS_PUBLIC_KEY_PATH=storage/keys/efris_public_new.pem</w:t>
      </w:r>
    </w:p>
    <w:p>
      <w:pPr>
        <w:pStyle w:val="Compact"/>
        <w:numPr>
          <w:ilvl w:val="0"/>
          <w:numId w:val="1093"/>
        </w:numPr>
      </w:pPr>
      <w:r>
        <w:t xml:space="preserve">Restart PHP-FPM to load the new environment values: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php8.3-fpm</w:t>
      </w:r>
    </w:p>
    <w:p>
      <w:pPr>
        <w:pStyle w:val="Compact"/>
        <w:numPr>
          <w:ilvl w:val="0"/>
          <w:numId w:val="1094"/>
        </w:numPr>
      </w:pPr>
      <w:r>
        <w:t xml:space="preserve">Post a test invoice from the Sales module.</w:t>
      </w:r>
    </w:p>
    <w:p>
      <w:pPr>
        <w:pStyle w:val="Compact"/>
        <w:numPr>
          <w:ilvl w:val="0"/>
          <w:numId w:val="1094"/>
        </w:numPr>
      </w:pPr>
      <w:r>
        <w:t xml:space="preserve">Verify the EFRIS submission succeeds in sandbox and returns a valid FDN.</w:t>
      </w:r>
    </w:p>
    <w:bookmarkEnd w:id="87"/>
    <w:bookmarkStart w:id="88" w:name="Xde9c9c7483aec31da33395bac28b2bd3461d5a9"/>
    <w:p>
      <w:pPr>
        <w:pStyle w:val="Heading3"/>
      </w:pPr>
      <w:r>
        <w:t xml:space="preserve">Production Cut-Over (Zero-Downtime Procedure)</w:t>
      </w:r>
    </w:p>
    <w:p>
      <w:pPr>
        <w:pStyle w:val="FirstParagraph"/>
      </w:pPr>
      <w:r>
        <w:t xml:space="preserve">The cut-over must not interrupt active invoicing. Schedule it during a low-activity period (Sunday morning, 06:00–08:00 EAT).</w:t>
      </w:r>
    </w:p>
    <w:p>
      <w:pPr>
        <w:pStyle w:val="Compact"/>
        <w:numPr>
          <w:ilvl w:val="0"/>
          <w:numId w:val="1095"/>
        </w:numPr>
      </w:pPr>
      <w:r>
        <w:t xml:space="preserve">At the scheduled cut-over time, update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for production:</w:t>
      </w:r>
    </w:p>
    <w:p>
      <w:pPr>
        <w:pStyle w:val="SourceCode"/>
      </w:pPr>
      <w:r>
        <w:rPr>
          <w:rStyle w:val="VerbatimChar"/>
        </w:rPr>
        <w:t xml:space="preserve">EFRIS_API_URL=https://efris.ura.go.ug/efrisws/ws/taInvoice</w:t>
      </w:r>
      <w:r>
        <w:br/>
      </w:r>
      <w:r>
        <w:rPr>
          <w:rStyle w:val="VerbatimChar"/>
        </w:rPr>
        <w:t xml:space="preserve">EFRIS_PRIVATE_KEY_PATH=storage/keys/efris_private_new.pem</w:t>
      </w:r>
      <w:r>
        <w:br/>
      </w:r>
      <w:r>
        <w:rPr>
          <w:rStyle w:val="VerbatimChar"/>
        </w:rPr>
        <w:t xml:space="preserve">EFRIS_PUBLIC_KEY_PATH=storage/keys/efris_public_new.pem</w:t>
      </w:r>
    </w:p>
    <w:p>
      <w:pPr>
        <w:pStyle w:val="Compact"/>
        <w:numPr>
          <w:ilvl w:val="0"/>
          <w:numId w:val="1096"/>
        </w:numPr>
      </w:pPr>
      <w:r>
        <w:t xml:space="preserve">Restart PHP-FPM: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php8.3-fpm</w:t>
      </w:r>
    </w:p>
    <w:p>
      <w:pPr>
        <w:pStyle w:val="Compact"/>
        <w:numPr>
          <w:ilvl w:val="0"/>
          <w:numId w:val="1097"/>
        </w:numPr>
      </w:pPr>
      <w:r>
        <w:t xml:space="preserve">PHP-FPM restart takes less than 5 seconds — in-flight web requests will complete before the restart. There is no application downtime.</w:t>
      </w:r>
    </w:p>
    <w:p>
      <w:pPr>
        <w:pStyle w:val="Compact"/>
        <w:numPr>
          <w:ilvl w:val="0"/>
          <w:numId w:val="1097"/>
        </w:numPr>
      </w:pPr>
      <w:r>
        <w:t xml:space="preserve">Immediately post a test production invoice and verify the FDN is returned.</w:t>
      </w:r>
    </w:p>
    <w:p>
      <w:pPr>
        <w:pStyle w:val="Compact"/>
        <w:numPr>
          <w:ilvl w:val="0"/>
          <w:numId w:val="1097"/>
        </w:numPr>
      </w:pPr>
      <w:r>
        <w:t xml:space="preserve">If the test fails, revert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 the old key file paths and restart PHP-FPM:</w:t>
      </w:r>
    </w:p>
    <w:p>
      <w:pPr>
        <w:pStyle w:val="SourceCode"/>
      </w:pPr>
      <w:r>
        <w:rPr>
          <w:rStyle w:val="CommentTok"/>
        </w:rPr>
        <w:t xml:space="preserve"># Revert — old keys</w:t>
      </w:r>
      <w:r>
        <w:br/>
      </w:r>
      <w:r>
        <w:rPr>
          <w:rStyle w:val="VariableTok"/>
        </w:rPr>
        <w:t xml:space="preserve">EFRIS_PRIVATE_KEY_PATH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storage/keys/efris_private.pem</w:t>
      </w:r>
      <w:r>
        <w:br/>
      </w:r>
      <w:r>
        <w:rPr>
          <w:rStyle w:val="VariableTok"/>
        </w:rPr>
        <w:t xml:space="preserve">EFRIS_PUBLIC_KEY_PATH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storage/keys/efris_public.pem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php8.3-fpm</w:t>
      </w:r>
    </w:p>
    <w:p>
      <w:pPr>
        <w:numPr>
          <w:ilvl w:val="0"/>
          <w:numId w:val="1098"/>
        </w:numPr>
      </w:pPr>
      <w:r>
        <w:rPr>
          <w:b/>
          <w:bCs/>
        </w:rPr>
        <w:t xml:space="preserve">ESCALATE</w:t>
      </w:r>
      <w:r>
        <w:t xml:space="preserve"> </w:t>
      </w:r>
      <w:r>
        <w:t xml:space="preserve">to Peter Bamuhigire if the revert is needed — do not retry the production cut-over without investigation.</w:t>
      </w:r>
    </w:p>
    <w:p>
      <w:pPr>
        <w:numPr>
          <w:ilvl w:val="0"/>
          <w:numId w:val="1098"/>
        </w:numPr>
      </w:pPr>
      <w:r>
        <w:t xml:space="preserve">After successful cut-over, rename the old key files: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storage/keys/efris_private.pem storage/keys/efris_private_expired_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.pem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storage/keys/efris_public.pem storage/keys/efris_public_expired_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.pem</w:t>
      </w:r>
    </w:p>
    <w:p>
      <w:pPr>
        <w:pStyle w:val="FirstParagraph"/>
      </w:pPr>
      <w:r>
        <w:t xml:space="preserve">Do not delete old keys — retain them for the 7-year audit trail period.</w:t>
      </w:r>
    </w:p>
    <w:p>
      <w:pPr>
        <w:pStyle w:val="Compact"/>
        <w:numPr>
          <w:ilvl w:val="0"/>
          <w:numId w:val="1099"/>
        </w:numPr>
      </w:pPr>
      <w:r>
        <w:t xml:space="preserve">Update</w:t>
      </w:r>
      <w:r>
        <w:t xml:space="preserve"> </w:t>
      </w:r>
      <w:r>
        <w:rPr>
          <w:b/>
          <w:bCs/>
        </w:rPr>
        <w:t xml:space="preserve">Admin &gt; Integrations &gt; EFRIS &gt; Certificate Info</w:t>
      </w:r>
      <w:r>
        <w:t xml:space="preserve"> </w:t>
      </w:r>
      <w:r>
        <w:t xml:space="preserve">with the new expiry date.</w:t>
      </w:r>
    </w:p>
    <w:p>
      <w:pPr>
        <w:pStyle w:val="Compact"/>
        <w:numPr>
          <w:ilvl w:val="0"/>
          <w:numId w:val="1099"/>
        </w:numPr>
      </w:pPr>
      <w:r>
        <w:t xml:space="preserve">Set a calendar reminder 60 days before the new certificate's expiry date for the next renewal.</w:t>
      </w:r>
    </w:p>
    <w:bookmarkEnd w:id="88"/>
    <w:bookmarkEnd w:id="89"/>
    <w:bookmarkEnd w:id="90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6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6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67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68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69">
    <w:abstractNumId w:val="991"/>
  </w:num>
  <w:num w:numId="1070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7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7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8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9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9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9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9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9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98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9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Relationship Type="http://schemas.openxmlformats.org/officeDocument/2006/relationships/hyperlink" Id="rId20" Target="mailto:efris@ura.go.ug" TargetMode="External" /><Relationship Type="http://schemas.openxmlformats.org/officeDocument/2006/relationships/hyperlink" Id="rId19" Target="mailto:peter@techguypeter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efris@ura.go.ug" TargetMode="External" /><Relationship Type="http://schemas.openxmlformats.org/officeDocument/2006/relationships/hyperlink" Id="rId19" Target="mailto:peter@techguypeter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BIRDC ERP — Operations Runbook</dc:title>
  <dc:creator/>
  <cp:keywords/>
  <dcterms:created xsi:type="dcterms:W3CDTF">2026-04-05T16:49:11Z</dcterms:created>
  <dcterms:modified xsi:type="dcterms:W3CDTF">2026-04-05T16:49:11Z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subtitle">
    <vt:lpwstr>Prepared by Peter Bamuhigire, ICT Consultant (techguypeter.com) for PIBID/BIRDC</vt:lpwstr>
  </property>
  <property fmtid="{D5CDD505-2E9C-101B-9397-08002B2CF9AE}" pid="4" name="version">
    <vt:lpwstr>1.0</vt:lpwstr>
  </property>
</Properties>
</file>